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44F" w:rsidRDefault="0065644F" w:rsidP="00E47BE5">
      <w:pPr>
        <w:spacing w:line="480" w:lineRule="auto"/>
        <w:contextualSpacing/>
      </w:pPr>
    </w:p>
    <w:p w:rsidR="006F2F2D" w:rsidRPr="00446A57" w:rsidRDefault="00DA2BA8" w:rsidP="00E47BE5">
      <w:pPr>
        <w:spacing w:line="480" w:lineRule="auto"/>
        <w:contextualSpacing/>
      </w:pPr>
      <w:r w:rsidRPr="00446A57">
        <w:t>Partible paternity, the se</w:t>
      </w:r>
      <w:r w:rsidR="00850424" w:rsidRPr="00446A57">
        <w:t>condary sex ratio and</w:t>
      </w:r>
      <w:r w:rsidRPr="00446A57">
        <w:t xml:space="preserve"> a </w:t>
      </w:r>
      <w:r w:rsidR="00850424" w:rsidRPr="00446A57">
        <w:t xml:space="preserve">possible </w:t>
      </w:r>
      <w:proofErr w:type="spellStart"/>
      <w:r w:rsidRPr="00446A57">
        <w:t>Trivers</w:t>
      </w:r>
      <w:proofErr w:type="spellEnd"/>
      <w:r w:rsidRPr="00446A57">
        <w:t>-Willard effect.</w:t>
      </w:r>
    </w:p>
    <w:p w:rsidR="00843ED5" w:rsidRPr="00446A57" w:rsidRDefault="00843ED5" w:rsidP="00E47BE5">
      <w:pPr>
        <w:spacing w:line="480" w:lineRule="auto"/>
        <w:contextualSpacing/>
      </w:pPr>
    </w:p>
    <w:p w:rsidR="006C6BB9" w:rsidRPr="00446A57" w:rsidRDefault="006C6BB9" w:rsidP="00E47BE5">
      <w:pPr>
        <w:spacing w:line="480" w:lineRule="auto"/>
        <w:contextualSpacing/>
      </w:pPr>
      <w:r w:rsidRPr="00446A57">
        <w:t>Stephen Beckerman, Manuel Lizarra</w:t>
      </w:r>
      <w:r w:rsidR="00843ED5" w:rsidRPr="00446A57">
        <w:t xml:space="preserve">lde, , Daniela Peluso, </w:t>
      </w:r>
      <w:proofErr w:type="spellStart"/>
      <w:r w:rsidR="00843ED5" w:rsidRPr="00446A57">
        <w:t>Cédric</w:t>
      </w:r>
      <w:proofErr w:type="spellEnd"/>
      <w:r w:rsidR="00843ED5" w:rsidRPr="00446A57">
        <w:t xml:space="preserve"> </w:t>
      </w:r>
      <w:proofErr w:type="spellStart"/>
      <w:r w:rsidR="00843ED5" w:rsidRPr="00446A57">
        <w:t>Yvinec</w:t>
      </w:r>
      <w:proofErr w:type="spellEnd"/>
      <w:r w:rsidR="00843ED5" w:rsidRPr="00446A57">
        <w:t>, Nathan Harris, Daniel Parker, Robert Walker</w:t>
      </w:r>
      <w:r w:rsidR="0059457D" w:rsidRPr="00446A57">
        <w:t>, Kim Hill</w:t>
      </w:r>
    </w:p>
    <w:p w:rsidR="00923E50" w:rsidRPr="00446A57" w:rsidRDefault="00923E50" w:rsidP="00E47BE5">
      <w:pPr>
        <w:spacing w:line="480" w:lineRule="auto"/>
        <w:contextualSpacing/>
      </w:pPr>
    </w:p>
    <w:p w:rsidR="00923E50" w:rsidRPr="00446A57" w:rsidRDefault="00923E50" w:rsidP="005459E8">
      <w:pPr>
        <w:spacing w:after="0" w:line="480" w:lineRule="auto"/>
      </w:pPr>
      <w:r w:rsidRPr="00446A57">
        <w:t xml:space="preserve">Independent scholar, 231 West Linn Street, Bellefonte, PA 16823 </w:t>
      </w:r>
      <w:hyperlink r:id="rId4" w:history="1">
        <w:r w:rsidRPr="00446A57">
          <w:rPr>
            <w:rStyle w:val="Hyperlink"/>
          </w:rPr>
          <w:t>stv@psu.edu</w:t>
        </w:r>
      </w:hyperlink>
      <w:r w:rsidRPr="00446A57">
        <w:t xml:space="preserve"> </w:t>
      </w:r>
      <w:r w:rsidR="00FE15EA" w:rsidRPr="00446A57">
        <w:t>(</w:t>
      </w:r>
      <w:r w:rsidRPr="00446A57">
        <w:t>Beckerman)/ Anthropology Department, Connecticut College, New London CT</w:t>
      </w:r>
      <w:r w:rsidR="00AC3272" w:rsidRPr="00446A57">
        <w:t xml:space="preserve"> 06320 </w:t>
      </w:r>
      <w:hyperlink r:id="rId5" w:history="1">
        <w:r w:rsidR="00AC3272" w:rsidRPr="00446A57">
          <w:rPr>
            <w:rStyle w:val="Hyperlink"/>
          </w:rPr>
          <w:t>milz@conncoll.edu</w:t>
        </w:r>
      </w:hyperlink>
      <w:r w:rsidR="00AC3272" w:rsidRPr="00446A57">
        <w:t xml:space="preserve"> (Lizarralde)/ </w:t>
      </w:r>
      <w:r w:rsidR="007B44F6" w:rsidRPr="00446A57">
        <w:t xml:space="preserve">School of Anthropology and Conservation, University of Kent, The University of Kent, Canterbury, Kent, CT2 7NR, United Kingdom </w:t>
      </w:r>
      <w:hyperlink r:id="rId6" w:history="1">
        <w:r w:rsidR="00234EF3" w:rsidRPr="00446A57">
          <w:rPr>
            <w:rStyle w:val="Hyperlink"/>
          </w:rPr>
          <w:t>D.Peluso@kent.ac.uk</w:t>
        </w:r>
      </w:hyperlink>
      <w:r w:rsidR="00234EF3" w:rsidRPr="00446A57">
        <w:t xml:space="preserve"> (Peluso)/ </w:t>
      </w:r>
      <w:proofErr w:type="spellStart"/>
      <w:r w:rsidR="00550172" w:rsidRPr="00446A57">
        <w:t>Fondation</w:t>
      </w:r>
      <w:proofErr w:type="spellEnd"/>
      <w:r w:rsidR="00550172" w:rsidRPr="00446A57">
        <w:t xml:space="preserve"> Thiers, </w:t>
      </w:r>
      <w:proofErr w:type="spellStart"/>
      <w:r w:rsidR="00724743" w:rsidRPr="00446A57">
        <w:rPr>
          <w:rStyle w:val="field-content"/>
        </w:rPr>
        <w:t>Laboratoire</w:t>
      </w:r>
      <w:proofErr w:type="spellEnd"/>
      <w:r w:rsidR="00724743" w:rsidRPr="00446A57">
        <w:rPr>
          <w:rStyle w:val="field-content"/>
        </w:rPr>
        <w:t xml:space="preserve"> </w:t>
      </w:r>
      <w:proofErr w:type="spellStart"/>
      <w:r w:rsidR="00724743" w:rsidRPr="00446A57">
        <w:rPr>
          <w:rStyle w:val="field-content"/>
        </w:rPr>
        <w:t>d'Anthropologie</w:t>
      </w:r>
      <w:proofErr w:type="spellEnd"/>
      <w:r w:rsidR="00724743" w:rsidRPr="00446A57">
        <w:rPr>
          <w:rStyle w:val="field-content"/>
        </w:rPr>
        <w:t xml:space="preserve"> </w:t>
      </w:r>
      <w:proofErr w:type="spellStart"/>
      <w:r w:rsidR="00724743" w:rsidRPr="00446A57">
        <w:rPr>
          <w:rStyle w:val="field-content"/>
        </w:rPr>
        <w:t>Sociale</w:t>
      </w:r>
      <w:proofErr w:type="spellEnd"/>
      <w:r w:rsidR="00724743" w:rsidRPr="00446A57">
        <w:rPr>
          <w:rStyle w:val="field-content"/>
        </w:rPr>
        <w:t>, 52, rue du Cardinal-</w:t>
      </w:r>
      <w:proofErr w:type="spellStart"/>
      <w:r w:rsidR="00724743" w:rsidRPr="00446A57">
        <w:rPr>
          <w:rStyle w:val="field-content"/>
        </w:rPr>
        <w:t>Lemoine</w:t>
      </w:r>
      <w:proofErr w:type="spellEnd"/>
      <w:r w:rsidR="00724743" w:rsidRPr="00446A57">
        <w:rPr>
          <w:rStyle w:val="field-content"/>
        </w:rPr>
        <w:t>, 75005 Paris, France</w:t>
      </w:r>
      <w:r w:rsidR="00724743" w:rsidRPr="00446A57">
        <w:t xml:space="preserve"> </w:t>
      </w:r>
      <w:hyperlink r:id="rId7" w:history="1">
        <w:r w:rsidR="0065644F" w:rsidRPr="00446A57">
          <w:rPr>
            <w:rStyle w:val="Hyperlink"/>
          </w:rPr>
          <w:t>cedricyvinec@yahoo.fr</w:t>
        </w:r>
      </w:hyperlink>
      <w:r w:rsidR="0065644F" w:rsidRPr="00446A57">
        <w:t xml:space="preserve"> (</w:t>
      </w:r>
      <w:proofErr w:type="spellStart"/>
      <w:r w:rsidR="0065644F" w:rsidRPr="00446A57">
        <w:t>Yvinec</w:t>
      </w:r>
      <w:proofErr w:type="spellEnd"/>
      <w:r w:rsidR="0065644F" w:rsidRPr="00446A57">
        <w:t>)/</w:t>
      </w:r>
      <w:r w:rsidR="0093499B" w:rsidRPr="00446A57">
        <w:t xml:space="preserve"> D</w:t>
      </w:r>
      <w:r w:rsidR="0093499B" w:rsidRPr="00446A57">
        <w:rPr>
          <w:rFonts w:eastAsia="Times New Roman"/>
        </w:rPr>
        <w:t>epartment of Anthropology</w:t>
      </w:r>
      <w:r w:rsidR="0093499B" w:rsidRPr="00446A57">
        <w:t xml:space="preserve">, </w:t>
      </w:r>
      <w:r w:rsidR="0093499B" w:rsidRPr="00446A57">
        <w:rPr>
          <w:rFonts w:eastAsia="Times New Roman"/>
        </w:rPr>
        <w:t>270 S. 1400 E. Rm 102</w:t>
      </w:r>
      <w:r w:rsidR="0093499B" w:rsidRPr="00446A57">
        <w:t xml:space="preserve">, </w:t>
      </w:r>
      <w:r w:rsidR="0093499B" w:rsidRPr="00446A57">
        <w:rPr>
          <w:rFonts w:eastAsia="Times New Roman"/>
        </w:rPr>
        <w:t>Salt Lake City, UT 84112</w:t>
      </w:r>
      <w:r w:rsidR="0093499B" w:rsidRPr="00446A57">
        <w:rPr>
          <w:rFonts w:eastAsia="Times New Roman"/>
          <w:sz w:val="24"/>
          <w:szCs w:val="24"/>
        </w:rPr>
        <w:t xml:space="preserve"> </w:t>
      </w:r>
      <w:hyperlink r:id="rId8" w:history="1">
        <w:r w:rsidR="0093499B" w:rsidRPr="00446A57">
          <w:rPr>
            <w:rStyle w:val="Hyperlink"/>
          </w:rPr>
          <w:t>nathan.harris@anthro.utah.edu</w:t>
        </w:r>
      </w:hyperlink>
      <w:r w:rsidR="0093499B" w:rsidRPr="00446A57">
        <w:t xml:space="preserve"> (Harris)/</w:t>
      </w:r>
      <w:r w:rsidR="009E1DBC" w:rsidRPr="00446A57">
        <w:t xml:space="preserve"> </w:t>
      </w:r>
      <w:proofErr w:type="spellStart"/>
      <w:r w:rsidR="009E1DBC" w:rsidRPr="00446A57">
        <w:t>Shoklo</w:t>
      </w:r>
      <w:proofErr w:type="spellEnd"/>
      <w:r w:rsidR="009E1DBC" w:rsidRPr="00446A57">
        <w:t xml:space="preserve"> Malaria Research Unit, 68/30 </w:t>
      </w:r>
      <w:proofErr w:type="spellStart"/>
      <w:r w:rsidR="009E1DBC" w:rsidRPr="00446A57">
        <w:t>Bantung</w:t>
      </w:r>
      <w:proofErr w:type="spellEnd"/>
      <w:r w:rsidR="009E1DBC" w:rsidRPr="00446A57">
        <w:t xml:space="preserve"> Road, PO Box 46, Mae Sot, </w:t>
      </w:r>
      <w:proofErr w:type="spellStart"/>
      <w:r w:rsidR="009E1DBC" w:rsidRPr="00446A57">
        <w:t>Tak</w:t>
      </w:r>
      <w:proofErr w:type="spellEnd"/>
      <w:r w:rsidR="009E1DBC" w:rsidRPr="00446A57">
        <w:t xml:space="preserve"> 63110 Thailand</w:t>
      </w:r>
      <w:r w:rsidR="0093499B" w:rsidRPr="00446A57">
        <w:t xml:space="preserve"> </w:t>
      </w:r>
      <w:hyperlink r:id="rId9" w:history="1">
        <w:r w:rsidR="009E1DBC" w:rsidRPr="00446A57">
          <w:rPr>
            <w:rStyle w:val="Hyperlink"/>
          </w:rPr>
          <w:t>daniel@shoklo-unit.com</w:t>
        </w:r>
      </w:hyperlink>
      <w:r w:rsidR="009E1DBC" w:rsidRPr="00446A57">
        <w:t xml:space="preserve"> (Parker)/</w:t>
      </w:r>
      <w:r w:rsidR="00750F5D" w:rsidRPr="00446A57">
        <w:t xml:space="preserve"> Anthropology Department, University of Missouri, Columbia, MI 65211 </w:t>
      </w:r>
      <w:hyperlink r:id="rId10" w:history="1">
        <w:r w:rsidR="00750F5D" w:rsidRPr="00446A57">
          <w:rPr>
            <w:rStyle w:val="Hyperlink"/>
          </w:rPr>
          <w:t>WalkerRo@missouri.edu</w:t>
        </w:r>
      </w:hyperlink>
      <w:r w:rsidR="00750F5D" w:rsidRPr="00446A57">
        <w:t xml:space="preserve"> (Walker)/ </w:t>
      </w:r>
      <w:r w:rsidR="00F33657" w:rsidRPr="00446A57">
        <w:t xml:space="preserve">School of Human Evolution and Social Change, Arizona State University, Tempe, AZ  </w:t>
      </w:r>
      <w:hyperlink r:id="rId11" w:history="1">
        <w:r w:rsidR="00F33657" w:rsidRPr="00446A57">
          <w:rPr>
            <w:rStyle w:val="Hyperlink"/>
          </w:rPr>
          <w:t>85281Kim.Hill@asu.edu</w:t>
        </w:r>
      </w:hyperlink>
      <w:r w:rsidR="00F33657" w:rsidRPr="00446A57">
        <w:t xml:space="preserve"> (Hill)</w:t>
      </w:r>
    </w:p>
    <w:p w:rsidR="004131EA" w:rsidRPr="00446A57" w:rsidRDefault="004131EA" w:rsidP="00E47BE5">
      <w:pPr>
        <w:spacing w:line="480" w:lineRule="auto"/>
        <w:contextualSpacing/>
      </w:pPr>
    </w:p>
    <w:p w:rsidR="00765C3B" w:rsidRPr="00446A57" w:rsidRDefault="00765C3B" w:rsidP="00E47BE5">
      <w:pPr>
        <w:spacing w:line="480" w:lineRule="auto"/>
        <w:contextualSpacing/>
      </w:pPr>
    </w:p>
    <w:p w:rsidR="004131EA" w:rsidRPr="00446A57" w:rsidRDefault="004131EA" w:rsidP="00E47BE5">
      <w:pPr>
        <w:spacing w:line="480" w:lineRule="auto"/>
        <w:contextualSpacing/>
      </w:pPr>
      <w:r w:rsidRPr="00446A57">
        <w:t xml:space="preserve">Abstract:  Partible paternity, the belief that a child can have more than one biological father, is widespread in lowland South America.  An analysis of demographic data sets from four lowland tribes (Aché, Barí, </w:t>
      </w:r>
      <w:proofErr w:type="gramStart"/>
      <w:r w:rsidRPr="00446A57">
        <w:t>Ese</w:t>
      </w:r>
      <w:proofErr w:type="gramEnd"/>
      <w:r w:rsidRPr="00446A57">
        <w:t xml:space="preserve"> Eja, and</w:t>
      </w:r>
      <w:r w:rsidR="008A38DC" w:rsidRPr="00446A57">
        <w:t xml:space="preserve"> </w:t>
      </w:r>
      <w:proofErr w:type="spellStart"/>
      <w:r w:rsidR="008A38DC" w:rsidRPr="00446A57">
        <w:t>Surui</w:t>
      </w:r>
      <w:proofErr w:type="spellEnd"/>
      <w:r w:rsidR="008A38DC" w:rsidRPr="00446A57">
        <w:t>) reveals a</w:t>
      </w:r>
      <w:r w:rsidR="004030FE" w:rsidRPr="00446A57">
        <w:t xml:space="preserve"> </w:t>
      </w:r>
      <w:r w:rsidRPr="00446A57">
        <w:t>systematic variation in the sex ratio</w:t>
      </w:r>
      <w:r w:rsidR="00F05B64" w:rsidRPr="00446A57">
        <w:t>s</w:t>
      </w:r>
      <w:r w:rsidRPr="00446A57">
        <w:t xml:space="preserve"> of live births with respect to the number of fathers</w:t>
      </w:r>
      <w:r w:rsidR="004030FE" w:rsidRPr="00446A57">
        <w:t xml:space="preserve"> to whom the births are</w:t>
      </w:r>
      <w:r w:rsidRPr="00446A57">
        <w:t xml:space="preserve"> attributed.</w:t>
      </w:r>
      <w:r w:rsidR="000D3A03" w:rsidRPr="00446A57">
        <w:t xml:space="preserve">  Births attributed to only one father show a sex ratio </w:t>
      </w:r>
      <w:r w:rsidR="002C3207" w:rsidRPr="00446A57">
        <w:t xml:space="preserve">that is </w:t>
      </w:r>
      <w:r w:rsidR="000D3A03" w:rsidRPr="00446A57">
        <w:t xml:space="preserve">unexceptional for South America; births with </w:t>
      </w:r>
      <w:r w:rsidR="004030FE" w:rsidRPr="00446A57">
        <w:t>two fathers are highly male biased, while children with three or more are female biased.</w:t>
      </w:r>
      <w:r w:rsidR="005F495B" w:rsidRPr="00446A57">
        <w:t xml:space="preserve">  This pattern may </w:t>
      </w:r>
      <w:r w:rsidR="008A38DC" w:rsidRPr="00446A57">
        <w:t>be a manifestation of</w:t>
      </w:r>
      <w:r w:rsidR="00260EF8" w:rsidRPr="00446A57">
        <w:t xml:space="preserve"> a phenomenon predicted by the </w:t>
      </w:r>
      <w:proofErr w:type="spellStart"/>
      <w:r w:rsidR="00260EF8" w:rsidRPr="00446A57">
        <w:t>Trivers</w:t>
      </w:r>
      <w:proofErr w:type="spellEnd"/>
      <w:r w:rsidR="00260EF8" w:rsidRPr="00446A57">
        <w:t>-Willard hypothesis</w:t>
      </w:r>
      <w:r w:rsidR="00F05B64" w:rsidRPr="00446A57">
        <w:t>, which proposes that</w:t>
      </w:r>
      <w:r w:rsidR="006C6074" w:rsidRPr="00446A57">
        <w:t>,</w:t>
      </w:r>
      <w:r w:rsidR="00F05B64" w:rsidRPr="00446A57">
        <w:t xml:space="preserve"> </w:t>
      </w:r>
      <w:r w:rsidR="00FA79AB" w:rsidRPr="00446A57">
        <w:t>in many ci</w:t>
      </w:r>
      <w:r w:rsidR="006C6074" w:rsidRPr="00446A57">
        <w:t xml:space="preserve">rcumstances, </w:t>
      </w:r>
      <w:r w:rsidR="00FA79AB" w:rsidRPr="00446A57">
        <w:t>females in good condition</w:t>
      </w:r>
      <w:r w:rsidR="00832A20" w:rsidRPr="00446A57">
        <w:t xml:space="preserve"> might</w:t>
      </w:r>
      <w:r w:rsidR="00FA79AB" w:rsidRPr="00446A57">
        <w:t xml:space="preserve"> bias their offspring toward males, while those</w:t>
      </w:r>
      <w:r w:rsidR="00832A20" w:rsidRPr="00446A57">
        <w:t xml:space="preserve"> in poor condition would</w:t>
      </w:r>
      <w:r w:rsidR="00FA79AB" w:rsidRPr="00446A57">
        <w:t xml:space="preserve"> produce a preponderance of females.</w:t>
      </w:r>
      <w:r w:rsidR="000D3A03" w:rsidRPr="00446A57">
        <w:t xml:space="preserve">  If</w:t>
      </w:r>
      <w:r w:rsidR="00834132" w:rsidRPr="00446A57">
        <w:t xml:space="preserve">, as suggested below, a woman with a husband and a single extramarital </w:t>
      </w:r>
      <w:r w:rsidR="008671F7" w:rsidRPr="00446A57">
        <w:t xml:space="preserve">lover tends to be </w:t>
      </w:r>
      <w:r w:rsidR="008663E4" w:rsidRPr="00446A57">
        <w:t>better cared for</w:t>
      </w:r>
      <w:r w:rsidR="00834132" w:rsidRPr="00446A57">
        <w:t xml:space="preserve"> before and during a pregnancy than other women, this difference might result in the improved maternal condition required by</w:t>
      </w:r>
      <w:r w:rsidR="008663E4" w:rsidRPr="00446A57">
        <w:t xml:space="preserve"> the </w:t>
      </w:r>
      <w:proofErr w:type="spellStart"/>
      <w:r w:rsidR="008663E4" w:rsidRPr="00446A57">
        <w:t>Trivers</w:t>
      </w:r>
      <w:proofErr w:type="spellEnd"/>
      <w:r w:rsidR="008663E4" w:rsidRPr="00446A57">
        <w:t>-Willard hypothesis</w:t>
      </w:r>
      <w:r w:rsidR="00762809" w:rsidRPr="00446A57">
        <w:t xml:space="preserve"> for excess males</w:t>
      </w:r>
      <w:r w:rsidR="008663E4" w:rsidRPr="00446A57">
        <w:t>,</w:t>
      </w:r>
      <w:r w:rsidR="008671F7" w:rsidRPr="00446A57">
        <w:t xml:space="preserve"> while women </w:t>
      </w:r>
      <w:r w:rsidR="008663E4" w:rsidRPr="00446A57">
        <w:t xml:space="preserve">who accept </w:t>
      </w:r>
      <w:r w:rsidR="008671F7" w:rsidRPr="00446A57">
        <w:t>two or more lovers might</w:t>
      </w:r>
      <w:r w:rsidR="008663E4" w:rsidRPr="00446A57">
        <w:t xml:space="preserve"> be preponderantly those who are already in distress</w:t>
      </w:r>
      <w:r w:rsidR="00762809" w:rsidRPr="00446A57">
        <w:t>, thus tending to produce female biased offspring.</w:t>
      </w:r>
    </w:p>
    <w:p w:rsidR="00923E50" w:rsidRPr="00446A57" w:rsidRDefault="00923E50" w:rsidP="00E47BE5">
      <w:pPr>
        <w:spacing w:line="480" w:lineRule="auto"/>
        <w:contextualSpacing/>
      </w:pPr>
    </w:p>
    <w:p w:rsidR="00923E50" w:rsidRPr="00446A57" w:rsidRDefault="00923E50" w:rsidP="00E47BE5">
      <w:pPr>
        <w:spacing w:line="480" w:lineRule="auto"/>
        <w:contextualSpacing/>
      </w:pPr>
    </w:p>
    <w:p w:rsidR="00923E50" w:rsidRPr="00446A57" w:rsidRDefault="00923E50" w:rsidP="00E47BE5">
      <w:pPr>
        <w:spacing w:line="480" w:lineRule="auto"/>
        <w:contextualSpacing/>
      </w:pPr>
    </w:p>
    <w:p w:rsidR="000053E9" w:rsidRPr="00446A57" w:rsidRDefault="000053E9" w:rsidP="00E47BE5">
      <w:pPr>
        <w:spacing w:line="480" w:lineRule="auto"/>
        <w:contextualSpacing/>
      </w:pPr>
    </w:p>
    <w:p w:rsidR="000053E9" w:rsidRPr="00446A57" w:rsidRDefault="000053E9" w:rsidP="00E47BE5">
      <w:pPr>
        <w:spacing w:line="480" w:lineRule="auto"/>
        <w:contextualSpacing/>
      </w:pPr>
    </w:p>
    <w:p w:rsidR="00AE7EC6" w:rsidRPr="00446A57" w:rsidRDefault="00D811C4" w:rsidP="00BA6009">
      <w:pPr>
        <w:spacing w:line="480" w:lineRule="auto"/>
        <w:ind w:firstLine="720"/>
        <w:contextualSpacing/>
      </w:pPr>
      <w:r w:rsidRPr="00446A57">
        <w:t>In theoretical biology, t</w:t>
      </w:r>
      <w:r w:rsidR="00AE7EC6" w:rsidRPr="00446A57">
        <w:t xml:space="preserve">he </w:t>
      </w:r>
      <w:proofErr w:type="spellStart"/>
      <w:r w:rsidR="00AE7EC6" w:rsidRPr="00446A57">
        <w:t>Trivers</w:t>
      </w:r>
      <w:proofErr w:type="spellEnd"/>
      <w:r w:rsidR="00AE7EC6" w:rsidRPr="00446A57">
        <w:t xml:space="preserve">-Willard hypothesis (see below) posits a connection between the sex ratio at birth (secondary sex ratio) and the condition </w:t>
      </w:r>
      <w:r w:rsidR="00767239" w:rsidRPr="00446A57">
        <w:t xml:space="preserve">(health, nutritional status, etc.) </w:t>
      </w:r>
      <w:r w:rsidR="00AE7EC6" w:rsidRPr="00446A57">
        <w:t xml:space="preserve">of the mother.  </w:t>
      </w:r>
      <w:r w:rsidR="00767239" w:rsidRPr="00446A57">
        <w:t>Since its publication (</w:t>
      </w:r>
      <w:proofErr w:type="spellStart"/>
      <w:r w:rsidR="00767239" w:rsidRPr="00446A57">
        <w:t>Trivers</w:t>
      </w:r>
      <w:proofErr w:type="spellEnd"/>
      <w:r w:rsidR="00767239" w:rsidRPr="00446A57">
        <w:t xml:space="preserve"> and Willard 1973) it has </w:t>
      </w:r>
      <w:r w:rsidRPr="00446A57">
        <w:t xml:space="preserve">been repeatedly tested against human data </w:t>
      </w:r>
      <w:r w:rsidR="00767239" w:rsidRPr="00446A57">
        <w:t>(review</w:t>
      </w:r>
      <w:r w:rsidR="002C3207" w:rsidRPr="00446A57">
        <w:t xml:space="preserve">s in </w:t>
      </w:r>
      <w:proofErr w:type="spellStart"/>
      <w:r w:rsidR="002C3207" w:rsidRPr="00446A57">
        <w:t>Hrdy</w:t>
      </w:r>
      <w:proofErr w:type="spellEnd"/>
      <w:r w:rsidR="002C3207" w:rsidRPr="00446A57">
        <w:t xml:space="preserve"> 1987, </w:t>
      </w:r>
      <w:proofErr w:type="spellStart"/>
      <w:r w:rsidR="002C3207" w:rsidRPr="00446A57">
        <w:t>Sieff</w:t>
      </w:r>
      <w:proofErr w:type="spellEnd"/>
      <w:r w:rsidR="002C3207" w:rsidRPr="00446A57">
        <w:t xml:space="preserve"> 1990, Laza</w:t>
      </w:r>
      <w:r w:rsidR="00767239" w:rsidRPr="00446A57">
        <w:t>rus 2002, Cronk 2007</w:t>
      </w:r>
      <w:r w:rsidRPr="00446A57">
        <w:t>,) with mixed results.  Most of the</w:t>
      </w:r>
      <w:r w:rsidR="00082ABC" w:rsidRPr="00446A57">
        <w:t>se</w:t>
      </w:r>
      <w:r w:rsidRPr="00446A57">
        <w:t xml:space="preserve"> </w:t>
      </w:r>
      <w:r w:rsidR="00E81CBE" w:rsidRPr="00446A57">
        <w:t xml:space="preserve">human </w:t>
      </w:r>
      <w:r w:rsidRPr="00446A57">
        <w:t>stud</w:t>
      </w:r>
      <w:r w:rsidR="00644539" w:rsidRPr="00446A57">
        <w:t>ies use</w:t>
      </w:r>
      <w:r w:rsidRPr="00446A57">
        <w:t xml:space="preserve"> data from complex s</w:t>
      </w:r>
      <w:r w:rsidR="00644539" w:rsidRPr="00446A57">
        <w:t>ocieties with modern medicine</w:t>
      </w:r>
      <w:r w:rsidRPr="00446A57">
        <w:t xml:space="preserve"> </w:t>
      </w:r>
      <w:r w:rsidR="00C04E27" w:rsidRPr="00446A57">
        <w:t xml:space="preserve">and </w:t>
      </w:r>
      <w:r w:rsidRPr="00446A57">
        <w:t>effective methods o</w:t>
      </w:r>
      <w:r w:rsidR="00C04E27" w:rsidRPr="00446A57">
        <w:t>f birth control</w:t>
      </w:r>
      <w:r w:rsidR="00644539" w:rsidRPr="00446A57">
        <w:t>, while the original hypothesis refers</w:t>
      </w:r>
      <w:r w:rsidR="00404E8D" w:rsidRPr="00446A57">
        <w:t xml:space="preserve"> to conditions where tho</w:t>
      </w:r>
      <w:r w:rsidR="00644539" w:rsidRPr="00446A57">
        <w:t>se evolutionarily novel, potential confounders are absent.</w:t>
      </w:r>
      <w:r w:rsidR="00C04E27" w:rsidRPr="00446A57">
        <w:t xml:space="preserve">  Here, after a brief exposition of the </w:t>
      </w:r>
      <w:proofErr w:type="spellStart"/>
      <w:r w:rsidR="00C04E27" w:rsidRPr="00446A57">
        <w:t>Trivers</w:t>
      </w:r>
      <w:proofErr w:type="spellEnd"/>
      <w:r w:rsidR="00C04E27" w:rsidRPr="00446A57">
        <w:t>-Willard hypothesis, we present secondary sex ratio data from four lowland tropical forest tribes in South America</w:t>
      </w:r>
      <w:r w:rsidR="00E81CBE" w:rsidRPr="00446A57">
        <w:t xml:space="preserve">, all of them </w:t>
      </w:r>
      <w:r w:rsidR="00C04E27" w:rsidRPr="00446A57">
        <w:t>egalitarian, natural fertility populations.</w:t>
      </w:r>
      <w:r w:rsidR="00273C59" w:rsidRPr="00446A57">
        <w:t xml:space="preserve"> T</w:t>
      </w:r>
      <w:r w:rsidR="00E81CBE" w:rsidRPr="00446A57">
        <w:t xml:space="preserve">hese </w:t>
      </w:r>
      <w:r w:rsidR="00273C59" w:rsidRPr="00446A57">
        <w:t xml:space="preserve">four </w:t>
      </w:r>
      <w:r w:rsidR="00E81CBE" w:rsidRPr="00446A57">
        <w:t xml:space="preserve">tribes have the beliefs and practices of partible paternity </w:t>
      </w:r>
      <w:r w:rsidR="00273C59" w:rsidRPr="00446A57">
        <w:t>(also briefly described</w:t>
      </w:r>
      <w:r w:rsidR="00E81CBE" w:rsidRPr="00446A57">
        <w:t xml:space="preserve"> below) and we suggest that the peculiar correspondence of the partible paternity data and the sex ratio data is broadly consistent with the </w:t>
      </w:r>
      <w:proofErr w:type="spellStart"/>
      <w:r w:rsidR="00E81CBE" w:rsidRPr="00446A57">
        <w:t>Trivers</w:t>
      </w:r>
      <w:proofErr w:type="spellEnd"/>
      <w:r w:rsidR="00E81CBE" w:rsidRPr="00446A57">
        <w:t>-Willard hypothesis, if two plausible</w:t>
      </w:r>
      <w:r w:rsidR="00273C59" w:rsidRPr="00446A57">
        <w:t xml:space="preserve"> suppositions are accepted.</w:t>
      </w:r>
    </w:p>
    <w:p w:rsidR="00D811C4" w:rsidRPr="00446A57" w:rsidRDefault="00AA2FE6" w:rsidP="00D811C4">
      <w:pPr>
        <w:spacing w:line="480" w:lineRule="auto"/>
        <w:ind w:firstLine="720"/>
        <w:contextualSpacing/>
      </w:pPr>
      <w:r w:rsidRPr="00446A57">
        <w:t xml:space="preserve">The </w:t>
      </w:r>
      <w:proofErr w:type="spellStart"/>
      <w:r w:rsidRPr="00446A57">
        <w:t>Trivers</w:t>
      </w:r>
      <w:proofErr w:type="spellEnd"/>
      <w:r w:rsidRPr="00446A57">
        <w:t>-Willard hypothesis proposes</w:t>
      </w:r>
      <w:r w:rsidR="00D811C4" w:rsidRPr="00446A57">
        <w:t xml:space="preserve"> an environmentally provoked deviation fr</w:t>
      </w:r>
      <w:r w:rsidR="00CB4DD7" w:rsidRPr="00446A57">
        <w:t>om equality in</w:t>
      </w:r>
      <w:r w:rsidR="00D811C4" w:rsidRPr="00446A57">
        <w:t xml:space="preserve"> the numbers of males and the</w:t>
      </w:r>
      <w:r w:rsidR="00CB4DD7" w:rsidRPr="00446A57">
        <w:t xml:space="preserve"> numbers of females born to a hypothetical reproducing female</w:t>
      </w:r>
      <w:r w:rsidR="00D811C4" w:rsidRPr="00446A57">
        <w:t xml:space="preserve">.  As R. </w:t>
      </w:r>
      <w:r w:rsidR="00CB4DD7" w:rsidRPr="00446A57">
        <w:t xml:space="preserve">A. Fisher (1930) showed, if there is an </w:t>
      </w:r>
      <w:r w:rsidR="00CB4DD7" w:rsidRPr="00446A57">
        <w:lastRenderedPageBreak/>
        <w:t xml:space="preserve">unequal operational sex ratio in a population, evolution favors parents who </w:t>
      </w:r>
      <w:r w:rsidR="00300E03" w:rsidRPr="00446A57">
        <w:t>invest in producing</w:t>
      </w:r>
      <w:r w:rsidR="00CB4DD7" w:rsidRPr="00446A57">
        <w:t xml:space="preserve"> a preponderance of the rarer sex. Thus the rarer sex becomes more common over evolutionary time.  At equilibrium, </w:t>
      </w:r>
      <w:r w:rsidR="00D811C4" w:rsidRPr="00446A57">
        <w:t>this condition produces males and females in roughly equal numbers at the end of the period of parental investment, given the adjustment that if one sex is</w:t>
      </w:r>
      <w:r w:rsidR="002C3207" w:rsidRPr="00446A57">
        <w:t xml:space="preserve"> “cheaper” (e.g., smaller, more </w:t>
      </w:r>
      <w:r w:rsidR="00D811C4" w:rsidRPr="00446A57">
        <w:t xml:space="preserve">liable to mortality during the period of parental investment, etc.) than the other, then that sex will be more numerous at conception.  </w:t>
      </w:r>
    </w:p>
    <w:p w:rsidR="00D811C4" w:rsidRPr="00446A57" w:rsidRDefault="00D811C4" w:rsidP="00D811C4">
      <w:pPr>
        <w:spacing w:line="480" w:lineRule="auto"/>
        <w:contextualSpacing/>
      </w:pPr>
      <w:r w:rsidRPr="00446A57">
        <w:tab/>
        <w:t xml:space="preserve">Expanding on Fisher’s reasoning, </w:t>
      </w:r>
      <w:proofErr w:type="spellStart"/>
      <w:r w:rsidRPr="00446A57">
        <w:t>Trivers</w:t>
      </w:r>
      <w:proofErr w:type="spellEnd"/>
      <w:r w:rsidRPr="00446A57">
        <w:t xml:space="preserve"> and Willard (1973) pointed out that, given the common circumstance that male variance in reproductive success is greater than female variance (i.e., a few males inseminate a great many females and some never mate at all, while the great majority of females do mate and produce at least some offspring) there is a selective advantage for a female to be able to bias her offspring toward one sex or the other, if the reproductive success of her offspring is predictable.  “Predictable” may follow from nothing more complicated than the tendency of a robust, well fed mother to produce large, strong, healthy offspring—and for that advantage to be carried on throughout life</w:t>
      </w:r>
      <w:r w:rsidR="00644539" w:rsidRPr="00446A57">
        <w:t>, including mating success</w:t>
      </w:r>
      <w:r w:rsidRPr="00446A57">
        <w:t>; while a mother in poor condition will tend to produce small, weak, sickly offspring who will be handicapped as adults.</w:t>
      </w:r>
    </w:p>
    <w:p w:rsidR="00D811C4" w:rsidRPr="00446A57" w:rsidRDefault="00D811C4" w:rsidP="00D811C4">
      <w:pPr>
        <w:spacing w:line="480" w:lineRule="auto"/>
        <w:contextualSpacing/>
      </w:pPr>
      <w:r w:rsidRPr="00446A57">
        <w:tab/>
        <w:t>What this line of reasoning comes down to for present purposes is this: “(A</w:t>
      </w:r>
      <w:proofErr w:type="gramStart"/>
      <w:r w:rsidRPr="00446A57">
        <w:t>)n</w:t>
      </w:r>
      <w:proofErr w:type="gramEnd"/>
      <w:r w:rsidRPr="00446A57">
        <w:t xml:space="preserve"> adult female in good condition who produces a son will produce more </w:t>
      </w:r>
      <w:r w:rsidRPr="00446A57">
        <w:lastRenderedPageBreak/>
        <w:t>surviving grandchildren than a similar female who produces a daughter, while an adult female in poor condition who produces a daughter will leave more surviving grandchildren than a similar female who produces a son” (</w:t>
      </w:r>
      <w:proofErr w:type="spellStart"/>
      <w:r w:rsidRPr="00446A57">
        <w:t>Trivers</w:t>
      </w:r>
      <w:proofErr w:type="spellEnd"/>
      <w:r w:rsidRPr="00446A57">
        <w:t xml:space="preserve"> and Willard 1973:90.)</w:t>
      </w:r>
    </w:p>
    <w:p w:rsidR="00FE6D12" w:rsidRPr="00446A57" w:rsidRDefault="00FE6D12" w:rsidP="00AE7EC6">
      <w:pPr>
        <w:spacing w:line="480" w:lineRule="auto"/>
        <w:ind w:firstLine="720"/>
        <w:contextualSpacing/>
      </w:pPr>
      <w:r w:rsidRPr="00446A57">
        <w:t>In this report, we analyze secondary sex ratio data from four lowland tropical forest peoples of South America</w:t>
      </w:r>
      <w:r w:rsidR="00D3151B" w:rsidRPr="00446A57">
        <w:t>:</w:t>
      </w:r>
      <w:r w:rsidR="00C83C8C" w:rsidRPr="00446A57">
        <w:t xml:space="preserve"> the Barí of Venezuela, the Aché </w:t>
      </w:r>
      <w:r w:rsidR="00D3151B" w:rsidRPr="00446A57">
        <w:t>of Paraguay, the Suruí</w:t>
      </w:r>
      <w:r w:rsidR="00C83C8C" w:rsidRPr="00446A57">
        <w:t xml:space="preserve"> of Brazil and the Ese Eja of </w:t>
      </w:r>
      <w:proofErr w:type="gramStart"/>
      <w:r w:rsidR="00C83C8C" w:rsidRPr="00446A57">
        <w:t>Bolivia</w:t>
      </w:r>
      <w:r w:rsidR="00AB3F33" w:rsidRPr="00446A57">
        <w:t>.</w:t>
      </w:r>
      <w:r w:rsidR="00AB3F33" w:rsidRPr="00446A57">
        <w:rPr>
          <w:vertAlign w:val="superscript"/>
        </w:rPr>
        <w:t>1</w:t>
      </w:r>
      <w:r w:rsidR="00AB3F33" w:rsidRPr="00446A57">
        <w:t xml:space="preserve">  </w:t>
      </w:r>
      <w:r w:rsidR="00D3151B" w:rsidRPr="00446A57">
        <w:t>.</w:t>
      </w:r>
      <w:proofErr w:type="gramEnd"/>
      <w:r w:rsidRPr="00446A57">
        <w:t xml:space="preserve">  </w:t>
      </w:r>
      <w:r w:rsidR="00300E03" w:rsidRPr="00446A57">
        <w:t xml:space="preserve">It is well known that lowland </w:t>
      </w:r>
      <w:r w:rsidR="005C26A7" w:rsidRPr="00446A57">
        <w:t xml:space="preserve">South American peoples </w:t>
      </w:r>
      <w:r w:rsidR="00BA6009" w:rsidRPr="00446A57">
        <w:t xml:space="preserve">typically </w:t>
      </w:r>
      <w:r w:rsidR="008049BA" w:rsidRPr="00446A57">
        <w:t>have</w:t>
      </w:r>
      <w:r w:rsidR="005C26A7" w:rsidRPr="00446A57">
        <w:t xml:space="preserve"> high sex ratios, when compared to worldwide averages</w:t>
      </w:r>
      <w:r w:rsidR="00300E03" w:rsidRPr="00446A57">
        <w:t xml:space="preserve"> (</w:t>
      </w:r>
      <w:r w:rsidR="00487A79" w:rsidRPr="00446A57">
        <w:t>Millard and Berlin 1983</w:t>
      </w:r>
      <w:r w:rsidR="005C26A7" w:rsidRPr="00446A57">
        <w:t>,</w:t>
      </w:r>
      <w:r w:rsidR="00300E03" w:rsidRPr="00446A57">
        <w:t>)</w:t>
      </w:r>
      <w:r w:rsidR="005C26A7" w:rsidRPr="00446A57">
        <w:t xml:space="preserve"> and it is not surprising that</w:t>
      </w:r>
      <w:r w:rsidR="00C83C8C" w:rsidRPr="00446A57">
        <w:t xml:space="preserve"> all four peoples display </w:t>
      </w:r>
      <w:r w:rsidR="0071172C" w:rsidRPr="00446A57">
        <w:t>a secondary sex ratio different</w:t>
      </w:r>
      <w:r w:rsidR="00420AC2" w:rsidRPr="00446A57">
        <w:t xml:space="preserve"> from</w:t>
      </w:r>
      <w:r w:rsidR="00D3151B" w:rsidRPr="00446A57">
        <w:t xml:space="preserve"> the 105 to 106 males per 100 females </w:t>
      </w:r>
      <w:r w:rsidR="00502E9E" w:rsidRPr="00446A57">
        <w:t>usually considered</w:t>
      </w:r>
      <w:r w:rsidR="00691BE6" w:rsidRPr="00446A57">
        <w:t xml:space="preserve"> </w:t>
      </w:r>
      <w:r w:rsidR="00502E9E" w:rsidRPr="00446A57">
        <w:t>normal</w:t>
      </w:r>
      <w:r w:rsidR="00D3151B" w:rsidRPr="00446A57">
        <w:t xml:space="preserve"> for</w:t>
      </w:r>
      <w:r w:rsidR="00691BE6" w:rsidRPr="00446A57">
        <w:t xml:space="preserve"> </w:t>
      </w:r>
      <w:r w:rsidR="0071172C" w:rsidRPr="00446A57">
        <w:t>human populations</w:t>
      </w:r>
      <w:r w:rsidR="00300E03" w:rsidRPr="00446A57">
        <w:t xml:space="preserve"> (cf. Tab. 1)</w:t>
      </w:r>
      <w:r w:rsidR="0071172C" w:rsidRPr="00446A57">
        <w:t>:  Barí 109:100</w:t>
      </w:r>
      <w:r w:rsidR="00593DBB" w:rsidRPr="00446A57">
        <w:t xml:space="preserve"> (n = 739)</w:t>
      </w:r>
      <w:r w:rsidR="0071172C" w:rsidRPr="00446A57">
        <w:t>; Ache 134:100</w:t>
      </w:r>
      <w:r w:rsidR="00593DBB" w:rsidRPr="00446A57">
        <w:t xml:space="preserve"> (n = 314)</w:t>
      </w:r>
      <w:r w:rsidR="008513D0" w:rsidRPr="00446A57">
        <w:t>; Suruí</w:t>
      </w:r>
      <w:r w:rsidR="0071172C" w:rsidRPr="00446A57">
        <w:t xml:space="preserve"> 115:100</w:t>
      </w:r>
      <w:r w:rsidR="00593DBB" w:rsidRPr="00446A57">
        <w:t xml:space="preserve"> (n = 760)</w:t>
      </w:r>
      <w:r w:rsidR="0071172C" w:rsidRPr="00446A57">
        <w:t>; Ese Eja 69:100</w:t>
      </w:r>
      <w:r w:rsidR="00593DBB" w:rsidRPr="00446A57">
        <w:t xml:space="preserve"> (n = 105)</w:t>
      </w:r>
      <w:r w:rsidR="0071172C" w:rsidRPr="00446A57">
        <w:t>.</w:t>
      </w:r>
      <w:r w:rsidR="00593DBB" w:rsidRPr="00446A57">
        <w:t xml:space="preserve">  </w:t>
      </w:r>
      <w:r w:rsidR="00E13B25" w:rsidRPr="00446A57">
        <w:t xml:space="preserve">As is to be expected for small population demographic data, these ratios differ markedly from one other, particularly in the case of the </w:t>
      </w:r>
      <w:r w:rsidR="00B16FD3" w:rsidRPr="00446A57">
        <w:t xml:space="preserve">smallest example, from the </w:t>
      </w:r>
      <w:proofErr w:type="gramStart"/>
      <w:r w:rsidR="00E13B25" w:rsidRPr="00446A57">
        <w:t>Ese</w:t>
      </w:r>
      <w:proofErr w:type="gramEnd"/>
      <w:r w:rsidR="00E13B25" w:rsidRPr="00446A57">
        <w:t xml:space="preserve"> Eja</w:t>
      </w:r>
      <w:r w:rsidR="00AB3F33" w:rsidRPr="00446A57">
        <w:t xml:space="preserve">.  </w:t>
      </w:r>
      <w:r w:rsidR="00355557" w:rsidRPr="00446A57">
        <w:t>The</w:t>
      </w:r>
      <w:r w:rsidR="008F4A60" w:rsidRPr="00446A57">
        <w:t xml:space="preserve"> sex ratio</w:t>
      </w:r>
      <w:r w:rsidR="00670679" w:rsidRPr="00446A57">
        <w:t xml:space="preserve"> for </w:t>
      </w:r>
      <w:r w:rsidR="00BA6009" w:rsidRPr="00446A57">
        <w:t>the sum of these data</w:t>
      </w:r>
      <w:r w:rsidR="005904F1" w:rsidRPr="00446A57">
        <w:t xml:space="preserve"> is 112</w:t>
      </w:r>
      <w:r w:rsidR="008F4A60" w:rsidRPr="00446A57">
        <w:t>:100 (n = 1918.)</w:t>
      </w:r>
      <w:r w:rsidR="00405504" w:rsidRPr="00446A57">
        <w:t xml:space="preserve">  That</w:t>
      </w:r>
      <w:r w:rsidR="00E4444D" w:rsidRPr="00446A57">
        <w:t xml:space="preserve"> small</w:t>
      </w:r>
      <w:r w:rsidR="00420AC2" w:rsidRPr="00446A57">
        <w:t xml:space="preserve"> </w:t>
      </w:r>
      <w:r w:rsidR="000A3ECC" w:rsidRPr="00446A57">
        <w:t xml:space="preserve">overall </w:t>
      </w:r>
      <w:r w:rsidR="00E13B25" w:rsidRPr="00446A57">
        <w:t>deviation from the typically high South American ratio</w:t>
      </w:r>
      <w:r w:rsidR="00420AC2" w:rsidRPr="00446A57">
        <w:t xml:space="preserve"> is not the</w:t>
      </w:r>
      <w:r w:rsidR="00422707" w:rsidRPr="00446A57">
        <w:t xml:space="preserve"> subject</w:t>
      </w:r>
      <w:r w:rsidR="00420AC2" w:rsidRPr="00446A57">
        <w:t xml:space="preserve"> of</w:t>
      </w:r>
      <w:r w:rsidR="007862E2" w:rsidRPr="00446A57">
        <w:t xml:space="preserve"> this report, however.  </w:t>
      </w:r>
      <w:r w:rsidR="00E763B6" w:rsidRPr="00446A57">
        <w:t>Rather, w</w:t>
      </w:r>
      <w:r w:rsidR="00420AC2" w:rsidRPr="00446A57">
        <w:t xml:space="preserve">e focus on the </w:t>
      </w:r>
      <w:r w:rsidR="00670679" w:rsidRPr="00446A57">
        <w:t xml:space="preserve">secondary father status of the </w:t>
      </w:r>
      <w:r w:rsidR="009D13CE" w:rsidRPr="00446A57">
        <w:t>individual births.</w:t>
      </w:r>
    </w:p>
    <w:p w:rsidR="009D13CE" w:rsidRPr="00446A57" w:rsidRDefault="00997D78" w:rsidP="00E47BE5">
      <w:pPr>
        <w:spacing w:line="480" w:lineRule="auto"/>
        <w:contextualSpacing/>
        <w:rPr>
          <w:vertAlign w:val="superscript"/>
        </w:rPr>
      </w:pPr>
      <w:r w:rsidRPr="00446A57">
        <w:tab/>
        <w:t>All four of our live birth data bases co</w:t>
      </w:r>
      <w:r w:rsidR="00DC77BD" w:rsidRPr="00446A57">
        <w:t>me from peoples holding to</w:t>
      </w:r>
      <w:r w:rsidR="00340B27" w:rsidRPr="00446A57">
        <w:t xml:space="preserve"> the beliefs</w:t>
      </w:r>
      <w:r w:rsidR="00E4444D" w:rsidRPr="00446A57">
        <w:t xml:space="preserve"> </w:t>
      </w:r>
      <w:r w:rsidRPr="00446A57">
        <w:t>and practices of partible patern</w:t>
      </w:r>
      <w:r w:rsidR="00502E9E" w:rsidRPr="00446A57">
        <w:t xml:space="preserve">ity (Beckerman et al. </w:t>
      </w:r>
      <w:r w:rsidR="00774BC3" w:rsidRPr="00446A57">
        <w:t>199</w:t>
      </w:r>
      <w:r w:rsidR="00DC77BD" w:rsidRPr="00446A57">
        <w:t xml:space="preserve">8; 2002; Beckerman and </w:t>
      </w:r>
      <w:r w:rsidR="00DC77BD" w:rsidRPr="00446A57">
        <w:lastRenderedPageBreak/>
        <w:t>Vale</w:t>
      </w:r>
      <w:r w:rsidR="00422707" w:rsidRPr="00446A57">
        <w:t>ntine 2002.)  This</w:t>
      </w:r>
      <w:r w:rsidR="00DC77BD" w:rsidRPr="00446A57">
        <w:t xml:space="preserve"> ideology, common in lowland S</w:t>
      </w:r>
      <w:r w:rsidR="00850424" w:rsidRPr="00446A57">
        <w:t>outh America (Walker et al. 2010</w:t>
      </w:r>
      <w:r w:rsidR="00DC77BD" w:rsidRPr="00446A57">
        <w:t>) holds that a child can h</w:t>
      </w:r>
      <w:r w:rsidR="007862E2" w:rsidRPr="00446A57">
        <w:t>ave multiple biological fathers.  E</w:t>
      </w:r>
      <w:r w:rsidR="00DC77BD" w:rsidRPr="00446A57">
        <w:t>very man who has intercourse with the mother around the time of conception, or at any time throughout the pregnancy, contributes to forming the child.  The associated behavior</w:t>
      </w:r>
      <w:r w:rsidR="00E4444D" w:rsidRPr="00446A57">
        <w:t>s</w:t>
      </w:r>
      <w:r w:rsidR="00DC77BD" w:rsidRPr="00446A57">
        <w:t xml:space="preserve"> </w:t>
      </w:r>
      <w:r w:rsidR="002F0B85" w:rsidRPr="00446A57">
        <w:t>(</w:t>
      </w:r>
      <w:r w:rsidR="00612B71" w:rsidRPr="00446A57">
        <w:t xml:space="preserve">women’s liberty in sexual behavior, </w:t>
      </w:r>
      <w:r w:rsidR="00292281" w:rsidRPr="00446A57">
        <w:t xml:space="preserve">as long as they do not violate incest taboos; </w:t>
      </w:r>
      <w:r w:rsidR="00612B71" w:rsidRPr="00446A57">
        <w:t xml:space="preserve">men’s tolerance of wives’ adultery) </w:t>
      </w:r>
      <w:r w:rsidR="00E4444D" w:rsidRPr="00446A57">
        <w:t>permit</w:t>
      </w:r>
      <w:r w:rsidR="00422707" w:rsidRPr="00446A57">
        <w:t xml:space="preserve"> the mother to t</w:t>
      </w:r>
      <w:r w:rsidR="007862E2" w:rsidRPr="00446A57">
        <w:t xml:space="preserve">ake sanctioned lovers </w:t>
      </w:r>
      <w:r w:rsidR="00422707" w:rsidRPr="00446A57">
        <w:t>during pregnancy.</w:t>
      </w:r>
      <w:r w:rsidR="00C22A3C" w:rsidRPr="00446A57">
        <w:t xml:space="preserve">  </w:t>
      </w:r>
      <w:r w:rsidR="00612B71" w:rsidRPr="00446A57">
        <w:t>Whil</w:t>
      </w:r>
      <w:r w:rsidR="002F0B85" w:rsidRPr="00446A57">
        <w:t>e a woman’s husband is</w:t>
      </w:r>
      <w:r w:rsidR="00612B71" w:rsidRPr="00446A57">
        <w:t xml:space="preserve"> held to be her child’s primary father, t</w:t>
      </w:r>
      <w:r w:rsidR="00C22A3C" w:rsidRPr="00446A57">
        <w:t>hese lovers are considered to be secondary fathers of the child to whom they have contributed.</w:t>
      </w:r>
      <w:r w:rsidR="00F964F7" w:rsidRPr="00446A57">
        <w:rPr>
          <w:vertAlign w:val="superscript"/>
        </w:rPr>
        <w:t>2</w:t>
      </w:r>
    </w:p>
    <w:p w:rsidR="00B72A2F" w:rsidRPr="00446A57" w:rsidRDefault="00B72A2F" w:rsidP="00E47BE5">
      <w:pPr>
        <w:spacing w:line="480" w:lineRule="auto"/>
        <w:contextualSpacing/>
      </w:pPr>
      <w:r w:rsidRPr="00446A57">
        <w:tab/>
        <w:t xml:space="preserve">The analytical result that motivates this report is the finding that the live birth sex ratio appears to </w:t>
      </w:r>
      <w:r w:rsidR="00EE4930" w:rsidRPr="00446A57">
        <w:t xml:space="preserve">be </w:t>
      </w:r>
      <w:r w:rsidRPr="00446A57">
        <w:t>sensitive to the number of fathers to w</w:t>
      </w:r>
      <w:r w:rsidR="00E4444D" w:rsidRPr="00446A57">
        <w:t>hom a child is attributed.  The</w:t>
      </w:r>
      <w:r w:rsidRPr="00446A57">
        <w:t xml:space="preserve"> </w:t>
      </w:r>
      <w:r w:rsidR="00405504" w:rsidRPr="00446A57">
        <w:t>possibility of such a</w:t>
      </w:r>
      <w:r w:rsidR="00E4444D" w:rsidRPr="00446A57">
        <w:t xml:space="preserve"> relationship </w:t>
      </w:r>
      <w:r w:rsidR="00405504" w:rsidRPr="00446A57">
        <w:t>among the Barí was raised a few</w:t>
      </w:r>
      <w:r w:rsidR="00E4444D" w:rsidRPr="00446A57">
        <w:t xml:space="preserve"> years ago (Beckerman and Lizarralde 2013,) but did not reach statisti</w:t>
      </w:r>
      <w:r w:rsidR="00DA1EAD" w:rsidRPr="00446A57">
        <w:t>cal significance even at the [alpha] =</w:t>
      </w:r>
      <w:r w:rsidR="00E4444D" w:rsidRPr="00446A57">
        <w:t xml:space="preserve"> 0.05 level</w:t>
      </w:r>
      <w:r w:rsidR="00644539" w:rsidRPr="00446A57">
        <w:t>,</w:t>
      </w:r>
      <w:r w:rsidR="00E4444D" w:rsidRPr="00446A57">
        <w:t xml:space="preserve"> with the single data base then available. The accumulation of three additional data bases and subsequent </w:t>
      </w:r>
      <w:r w:rsidR="00E51E87" w:rsidRPr="00446A57">
        <w:t xml:space="preserve">pooled </w:t>
      </w:r>
      <w:r w:rsidR="00E4444D" w:rsidRPr="00446A57">
        <w:t xml:space="preserve">analysis suggests that the suspected relationship between multiple fathers and </w:t>
      </w:r>
      <w:r w:rsidR="00405504" w:rsidRPr="00446A57">
        <w:t xml:space="preserve">the </w:t>
      </w:r>
      <w:r w:rsidR="00E4444D" w:rsidRPr="00446A57">
        <w:t>secondary sex ratio is likely to be real</w:t>
      </w:r>
      <w:r w:rsidR="000B6525" w:rsidRPr="00446A57">
        <w:rPr>
          <w:vertAlign w:val="superscript"/>
        </w:rPr>
        <w:t>3</w:t>
      </w:r>
      <w:r w:rsidR="00E4444D" w:rsidRPr="00446A57">
        <w:t>.</w:t>
      </w:r>
    </w:p>
    <w:p w:rsidR="00D155E1" w:rsidRPr="00446A57" w:rsidRDefault="008513D0" w:rsidP="00E47BE5">
      <w:pPr>
        <w:spacing w:line="480" w:lineRule="auto"/>
        <w:contextualSpacing/>
      </w:pPr>
      <w:r w:rsidRPr="00446A57">
        <w:tab/>
      </w:r>
      <w:r w:rsidR="00603EC5" w:rsidRPr="00446A57">
        <w:t>While there are major differences among the four data bases assembled here</w:t>
      </w:r>
      <w:r w:rsidR="00D155E1" w:rsidRPr="00446A57">
        <w:t xml:space="preserve"> (Tab. 1</w:t>
      </w:r>
      <w:r w:rsidR="005B517B" w:rsidRPr="00446A57">
        <w:t>, Tab. 2</w:t>
      </w:r>
      <w:r w:rsidR="00D155E1" w:rsidRPr="00446A57">
        <w:t>)</w:t>
      </w:r>
      <w:r w:rsidR="00603EC5" w:rsidRPr="00446A57">
        <w:t xml:space="preserve">, </w:t>
      </w:r>
      <w:r w:rsidR="005B517B" w:rsidRPr="00446A57">
        <w:t xml:space="preserve">as is to be expected with such small total numbers per tribe, </w:t>
      </w:r>
      <w:r w:rsidR="00603EC5" w:rsidRPr="00446A57">
        <w:t>t</w:t>
      </w:r>
      <w:r w:rsidR="00E51E87" w:rsidRPr="00446A57">
        <w:t>he aggregated data</w:t>
      </w:r>
      <w:r w:rsidRPr="00446A57">
        <w:t xml:space="preserve"> </w:t>
      </w:r>
      <w:r w:rsidR="00603EC5" w:rsidRPr="00446A57">
        <w:t>suggest</w:t>
      </w:r>
      <w:r w:rsidR="00D155E1" w:rsidRPr="00446A57">
        <w:t xml:space="preserve">, </w:t>
      </w:r>
      <w:r w:rsidR="00C22A3C" w:rsidRPr="00446A57">
        <w:t>especially when viewed</w:t>
      </w:r>
      <w:r w:rsidR="00D155E1" w:rsidRPr="00446A57">
        <w:t xml:space="preserve"> as a </w:t>
      </w:r>
      <w:r w:rsidR="00BF024A" w:rsidRPr="00446A57">
        <w:t xml:space="preserve">2x3 </w:t>
      </w:r>
      <w:r w:rsidR="00D155E1" w:rsidRPr="00446A57">
        <w:t>contingency table</w:t>
      </w:r>
      <w:r w:rsidR="00603EC5" w:rsidRPr="00446A57">
        <w:t xml:space="preserve"> </w:t>
      </w:r>
      <w:r w:rsidR="003C2E4E" w:rsidRPr="00446A57">
        <w:t xml:space="preserve">for the </w:t>
      </w:r>
      <w:r w:rsidR="003C2E4E" w:rsidRPr="00446A57">
        <w:lastRenderedPageBreak/>
        <w:t xml:space="preserve">pooled data </w:t>
      </w:r>
      <w:r w:rsidR="005B517B" w:rsidRPr="00446A57">
        <w:t>(Tab. 3</w:t>
      </w:r>
      <w:r w:rsidR="00D155E1" w:rsidRPr="00446A57">
        <w:t>)</w:t>
      </w:r>
      <w:r w:rsidR="008F22DF" w:rsidRPr="00446A57">
        <w:t>,</w:t>
      </w:r>
      <w:r w:rsidR="00D155E1" w:rsidRPr="00446A57">
        <w:t xml:space="preserve"> </w:t>
      </w:r>
      <w:r w:rsidR="00603EC5" w:rsidRPr="00446A57">
        <w:t>a general t</w:t>
      </w:r>
      <w:r w:rsidR="000676FC" w:rsidRPr="00446A57">
        <w:t>endency for males to be mildly</w:t>
      </w:r>
      <w:r w:rsidR="00603EC5" w:rsidRPr="00446A57">
        <w:t xml:space="preserve"> over-represented in live births attributed to a single father</w:t>
      </w:r>
      <w:r w:rsidR="000676FC" w:rsidRPr="00446A57">
        <w:t xml:space="preserve"> (with respect</w:t>
      </w:r>
      <w:r w:rsidR="00603EC5" w:rsidRPr="00446A57">
        <w:t xml:space="preserve"> </w:t>
      </w:r>
      <w:r w:rsidR="000676FC" w:rsidRPr="00446A57">
        <w:t xml:space="preserve">to worldwide sex ratios) as is common in lowland South America </w:t>
      </w:r>
      <w:r w:rsidR="00603EC5" w:rsidRPr="00446A57">
        <w:t>(109:100; n = 1461), strikingly over-represented in births attributed to two fathers (143:100; n = 364), and under-represented in births attributed to three or more fathers (75:100; n = 93)</w:t>
      </w:r>
      <w:r w:rsidR="00FE0E42" w:rsidRPr="00446A57">
        <w:t>.</w:t>
      </w:r>
      <w:r w:rsidR="00D155E1" w:rsidRPr="00446A57">
        <w:t xml:space="preserve">  </w:t>
      </w:r>
    </w:p>
    <w:p w:rsidR="00051D17" w:rsidRPr="00446A57" w:rsidRDefault="005D7CE5" w:rsidP="00B95DBD">
      <w:pPr>
        <w:spacing w:line="480" w:lineRule="auto"/>
        <w:ind w:firstLine="720"/>
        <w:contextualSpacing/>
      </w:pPr>
      <w:r w:rsidRPr="00446A57">
        <w:t>A</w:t>
      </w:r>
      <w:r w:rsidR="00DA2BA8" w:rsidRPr="00446A57">
        <w:t xml:space="preserve"> </w:t>
      </w:r>
      <w:r w:rsidR="00DA50B1" w:rsidRPr="00446A57">
        <w:t xml:space="preserve">statistical </w:t>
      </w:r>
      <w:r w:rsidR="003C2E4E" w:rsidRPr="00446A57">
        <w:t>analysis</w:t>
      </w:r>
      <w:r w:rsidR="00DA2BA8" w:rsidRPr="00446A57">
        <w:t xml:space="preserve"> of</w:t>
      </w:r>
      <w:r w:rsidR="00B66955" w:rsidRPr="00446A57">
        <w:t xml:space="preserve"> </w:t>
      </w:r>
      <w:r w:rsidR="00E80A98" w:rsidRPr="00446A57">
        <w:t xml:space="preserve">the data of </w:t>
      </w:r>
      <w:r w:rsidR="00B66955" w:rsidRPr="00446A57">
        <w:t xml:space="preserve">Tab. 2 </w:t>
      </w:r>
      <w:r w:rsidR="00E80A98" w:rsidRPr="00446A57">
        <w:t>yields</w:t>
      </w:r>
      <w:r w:rsidR="00DA2BA8" w:rsidRPr="00446A57">
        <w:t xml:space="preserve"> a </w:t>
      </w:r>
      <w:r w:rsidR="00DA50B1" w:rsidRPr="00446A57">
        <w:t xml:space="preserve">chi-squared </w:t>
      </w:r>
      <w:r w:rsidR="00DA2BA8" w:rsidRPr="00446A57">
        <w:t>value of 9.11 (</w:t>
      </w:r>
      <w:proofErr w:type="spellStart"/>
      <w:r w:rsidR="00DA2BA8" w:rsidRPr="00446A57">
        <w:t>df</w:t>
      </w:r>
      <w:proofErr w:type="spellEnd"/>
      <w:r w:rsidR="00DA2BA8" w:rsidRPr="00446A57">
        <w:t xml:space="preserve"> = 2; p = 0.01)</w:t>
      </w:r>
      <w:r w:rsidR="007862E2" w:rsidRPr="00446A57">
        <w:t>;</w:t>
      </w:r>
      <w:r w:rsidR="00EE4930" w:rsidRPr="00446A57">
        <w:t xml:space="preserve"> a </w:t>
      </w:r>
      <w:r w:rsidR="00D252C7" w:rsidRPr="00446A57">
        <w:t>test using Fisher’s</w:t>
      </w:r>
      <w:r w:rsidR="00F0760C" w:rsidRPr="00446A57">
        <w:t xml:space="preserve"> e</w:t>
      </w:r>
      <w:r w:rsidR="005E65BC" w:rsidRPr="00446A57">
        <w:t>xact</w:t>
      </w:r>
      <w:r w:rsidR="00D252C7" w:rsidRPr="00446A57">
        <w:t xml:space="preserve"> method</w:t>
      </w:r>
      <w:r w:rsidR="00F0760C" w:rsidRPr="00446A57">
        <w:t xml:space="preserve"> extended to a 2 x 3 contingency table </w:t>
      </w:r>
      <w:r w:rsidR="007862E2" w:rsidRPr="00446A57">
        <w:t>also produces a result of p = 0.01</w:t>
      </w:r>
      <w:r w:rsidR="00DA50B1" w:rsidRPr="00446A57">
        <w:t xml:space="preserve">, </w:t>
      </w:r>
      <w:r w:rsidR="007862E2" w:rsidRPr="00446A57">
        <w:t xml:space="preserve">both </w:t>
      </w:r>
      <w:r w:rsidR="00DA50B1" w:rsidRPr="00446A57">
        <w:t xml:space="preserve">considerably </w:t>
      </w:r>
      <w:r w:rsidR="009174DD" w:rsidRPr="00446A57">
        <w:t>by</w:t>
      </w:r>
      <w:r w:rsidR="00DA50B1" w:rsidRPr="00446A57">
        <w:t xml:space="preserve">passing the </w:t>
      </w:r>
      <w:r w:rsidR="008F22DF" w:rsidRPr="00446A57">
        <w:t xml:space="preserve">p </w:t>
      </w:r>
      <w:r w:rsidR="00DA50B1" w:rsidRPr="00446A57">
        <w:t>&lt;</w:t>
      </w:r>
      <w:r w:rsidR="008F22DF" w:rsidRPr="00446A57">
        <w:t xml:space="preserve"> </w:t>
      </w:r>
      <w:r w:rsidR="00DA50B1" w:rsidRPr="00446A57">
        <w:t xml:space="preserve">0.05 level </w:t>
      </w:r>
      <w:r w:rsidR="008F22DF" w:rsidRPr="00446A57">
        <w:t xml:space="preserve">earlier </w:t>
      </w:r>
      <w:r w:rsidR="00DA50B1" w:rsidRPr="00446A57">
        <w:t>chose</w:t>
      </w:r>
      <w:r w:rsidR="008F22DF" w:rsidRPr="00446A57">
        <w:t>n</w:t>
      </w:r>
      <w:r w:rsidR="00DA50B1" w:rsidRPr="00446A57">
        <w:t xml:space="preserve"> for the Barí data alone</w:t>
      </w:r>
    </w:p>
    <w:p w:rsidR="00CC652F" w:rsidRPr="00446A57" w:rsidRDefault="00BF024A" w:rsidP="0066165A">
      <w:pPr>
        <w:spacing w:line="480" w:lineRule="auto"/>
        <w:ind w:firstLine="720"/>
        <w:contextualSpacing/>
      </w:pPr>
      <w:r w:rsidRPr="00446A57">
        <w:t>Perhaps m</w:t>
      </w:r>
      <w:r w:rsidR="005D7CE5" w:rsidRPr="00446A57">
        <w:t xml:space="preserve">ore interesting, for reasons discussed below, is that </w:t>
      </w:r>
      <w:r w:rsidR="00051D17" w:rsidRPr="00446A57">
        <w:t xml:space="preserve">the overweighting of males among children with two fathers contrasts dramatically with the overweighting of females </w:t>
      </w:r>
      <w:r w:rsidR="00B0072E" w:rsidRPr="00446A57">
        <w:t xml:space="preserve">among children </w:t>
      </w:r>
      <w:r w:rsidR="00051D17" w:rsidRPr="00446A57">
        <w:t xml:space="preserve">with three or more fathers.  </w:t>
      </w:r>
      <w:r w:rsidR="00CC652F" w:rsidRPr="00446A57">
        <w:t>A</w:t>
      </w:r>
      <w:r w:rsidRPr="00446A57">
        <w:t xml:space="preserve"> comparison of the live birth sex ratios </w:t>
      </w:r>
      <w:r w:rsidR="00405504" w:rsidRPr="00446A57">
        <w:t xml:space="preserve">only </w:t>
      </w:r>
      <w:r w:rsidRPr="00446A57">
        <w:t>of children attributed to two fathers</w:t>
      </w:r>
      <w:r w:rsidR="003C2E4E" w:rsidRPr="00446A57">
        <w:t xml:space="preserve"> (i.e., those with only a single</w:t>
      </w:r>
      <w:r w:rsidRPr="00446A57">
        <w:t xml:space="preserve"> </w:t>
      </w:r>
      <w:r w:rsidR="003C2E4E" w:rsidRPr="00446A57">
        <w:t xml:space="preserve">secondary father) </w:t>
      </w:r>
      <w:r w:rsidRPr="00446A57">
        <w:t>and child</w:t>
      </w:r>
      <w:r w:rsidR="00CC652F" w:rsidRPr="00446A57">
        <w:t>ren attributed to three or more</w:t>
      </w:r>
      <w:r w:rsidRPr="00446A57">
        <w:t xml:space="preserve"> </w:t>
      </w:r>
      <w:r w:rsidR="00405504" w:rsidRPr="00446A57">
        <w:t xml:space="preserve">fathers </w:t>
      </w:r>
      <w:r w:rsidR="003C2E4E" w:rsidRPr="00446A57">
        <w:t xml:space="preserve">(those with two or more secondary fathers) </w:t>
      </w:r>
      <w:r w:rsidR="00405504" w:rsidRPr="00446A57">
        <w:t xml:space="preserve">produces a chi-square value of </w:t>
      </w:r>
      <w:r w:rsidR="00644539" w:rsidRPr="00446A57">
        <w:t xml:space="preserve"> 7.47 (</w:t>
      </w:r>
      <w:proofErr w:type="spellStart"/>
      <w:r w:rsidR="00644539" w:rsidRPr="00446A57">
        <w:t>df</w:t>
      </w:r>
      <w:proofErr w:type="spellEnd"/>
      <w:r w:rsidR="00644539" w:rsidRPr="00446A57">
        <w:t xml:space="preserve"> = 1</w:t>
      </w:r>
      <w:r w:rsidR="00405504" w:rsidRPr="00446A57">
        <w:t>) sign</w:t>
      </w:r>
      <w:r w:rsidRPr="00446A57">
        <w:t xml:space="preserve">ificant at the </w:t>
      </w:r>
      <w:r w:rsidR="00405504" w:rsidRPr="00446A57">
        <w:t xml:space="preserve">p = </w:t>
      </w:r>
      <w:r w:rsidRPr="00446A57">
        <w:t>0.0</w:t>
      </w:r>
      <w:r w:rsidR="00644539" w:rsidRPr="00446A57">
        <w:t>06</w:t>
      </w:r>
      <w:r w:rsidRPr="00446A57">
        <w:t xml:space="preserve"> level</w:t>
      </w:r>
      <w:r w:rsidR="003C2E4E" w:rsidRPr="00446A57">
        <w:t xml:space="preserve">. The difference is </w:t>
      </w:r>
      <w:r w:rsidR="00A61D7D" w:rsidRPr="00446A57">
        <w:t xml:space="preserve">similarly </w:t>
      </w:r>
      <w:r w:rsidR="003C2E4E" w:rsidRPr="00446A57">
        <w:t>significant at the p =</w:t>
      </w:r>
      <w:r w:rsidR="00051D17" w:rsidRPr="00446A57">
        <w:t xml:space="preserve"> 0.007 </w:t>
      </w:r>
      <w:r w:rsidR="003C2E4E" w:rsidRPr="00446A57">
        <w:t xml:space="preserve">level </w:t>
      </w:r>
      <w:r w:rsidR="00051D17" w:rsidRPr="00446A57">
        <w:t>by</w:t>
      </w:r>
      <w:r w:rsidR="00EE4930" w:rsidRPr="00446A57">
        <w:t xml:space="preserve"> Fisher’s method</w:t>
      </w:r>
      <w:r w:rsidR="00A61D7D" w:rsidRPr="00446A57">
        <w:t>, although t</w:t>
      </w:r>
      <w:r w:rsidR="00644539" w:rsidRPr="00446A57">
        <w:t>he category</w:t>
      </w:r>
      <w:r w:rsidR="00A75375" w:rsidRPr="00446A57">
        <w:t xml:space="preserve"> </w:t>
      </w:r>
      <w:r w:rsidR="00644539" w:rsidRPr="00446A57">
        <w:t xml:space="preserve">of children attributed to </w:t>
      </w:r>
      <w:r w:rsidR="00A75375" w:rsidRPr="00446A57">
        <w:t>two or more e</w:t>
      </w:r>
      <w:r w:rsidR="00A61D7D" w:rsidRPr="00446A57">
        <w:t>xtra fathers</w:t>
      </w:r>
      <w:r w:rsidR="00644539" w:rsidRPr="00446A57">
        <w:t xml:space="preserve"> has a</w:t>
      </w:r>
      <w:r w:rsidR="00A75375" w:rsidRPr="00446A57">
        <w:t xml:space="preserve"> small sample size</w:t>
      </w:r>
      <w:r w:rsidR="00644539" w:rsidRPr="00446A57">
        <w:t xml:space="preserve"> (n = 93) and needs to be interpreted cautiously</w:t>
      </w:r>
      <w:r w:rsidR="00A75375" w:rsidRPr="00446A57">
        <w:t>.</w:t>
      </w:r>
    </w:p>
    <w:p w:rsidR="00066C2E" w:rsidRPr="00446A57" w:rsidRDefault="005178F5" w:rsidP="00E47BE5">
      <w:pPr>
        <w:spacing w:line="480" w:lineRule="auto"/>
        <w:contextualSpacing/>
      </w:pPr>
      <w:r w:rsidRPr="00446A57">
        <w:lastRenderedPageBreak/>
        <w:tab/>
        <w:t xml:space="preserve">The </w:t>
      </w:r>
      <w:r w:rsidR="00E0229F" w:rsidRPr="00446A57">
        <w:t xml:space="preserve">live </w:t>
      </w:r>
      <w:r w:rsidR="00515818" w:rsidRPr="00446A57">
        <w:t xml:space="preserve">birth </w:t>
      </w:r>
      <w:r w:rsidR="00E0229F" w:rsidRPr="00446A57">
        <w:t xml:space="preserve">sex </w:t>
      </w:r>
      <w:r w:rsidR="00515818" w:rsidRPr="00446A57">
        <w:t xml:space="preserve">ratio </w:t>
      </w:r>
      <w:r w:rsidRPr="00446A57">
        <w:t xml:space="preserve">results reported above are consistent with </w:t>
      </w:r>
      <w:r w:rsidR="005C26A7" w:rsidRPr="00446A57">
        <w:t>the</w:t>
      </w:r>
      <w:r w:rsidR="00B71CC3" w:rsidRPr="00446A57">
        <w:t xml:space="preserve"> prediction</w:t>
      </w:r>
      <w:r w:rsidR="005C26A7" w:rsidRPr="00446A57">
        <w:t xml:space="preserve">s of the </w:t>
      </w:r>
      <w:proofErr w:type="spellStart"/>
      <w:r w:rsidR="005C26A7" w:rsidRPr="00446A57">
        <w:t>Trivers</w:t>
      </w:r>
      <w:proofErr w:type="spellEnd"/>
      <w:r w:rsidR="005C26A7" w:rsidRPr="00446A57">
        <w:t>-Willard hypothesis</w:t>
      </w:r>
      <w:r w:rsidR="00B71CC3" w:rsidRPr="00446A57">
        <w:t>, if one tentativel</w:t>
      </w:r>
      <w:r w:rsidR="00DA1EAD" w:rsidRPr="00446A57">
        <w:t xml:space="preserve">y accepts the  propositions </w:t>
      </w:r>
      <w:r w:rsidR="00E0229F" w:rsidRPr="00446A57">
        <w:t xml:space="preserve">1) </w:t>
      </w:r>
      <w:r w:rsidRPr="00446A57">
        <w:t xml:space="preserve">that a woman who has a </w:t>
      </w:r>
      <w:r w:rsidR="00AE08CD" w:rsidRPr="00446A57">
        <w:t xml:space="preserve">single </w:t>
      </w:r>
      <w:r w:rsidRPr="00446A57">
        <w:t xml:space="preserve">lover as well as a husband tends in some way to be in better condition </w:t>
      </w:r>
      <w:r w:rsidR="008049BA" w:rsidRPr="00446A57">
        <w:t xml:space="preserve">before and/or </w:t>
      </w:r>
      <w:r w:rsidRPr="00446A57">
        <w:t xml:space="preserve">during pregnancy than a woman with </w:t>
      </w:r>
      <w:r w:rsidR="00E0229F" w:rsidRPr="00446A57">
        <w:t>only a husband to support her (b</w:t>
      </w:r>
      <w:r w:rsidR="00DA1EAD" w:rsidRPr="00446A57">
        <w:t xml:space="preserve">etter nutrition </w:t>
      </w:r>
      <w:r w:rsidRPr="00446A57">
        <w:t xml:space="preserve">due to </w:t>
      </w:r>
      <w:r w:rsidR="006E4124" w:rsidRPr="00446A57">
        <w:t xml:space="preserve">increased </w:t>
      </w:r>
      <w:r w:rsidRPr="00446A57">
        <w:t>provisioning by two men</w:t>
      </w:r>
      <w:r w:rsidR="00992A3B" w:rsidRPr="00446A57">
        <w:t>,</w:t>
      </w:r>
      <w:r w:rsidRPr="00446A57">
        <w:t xml:space="preserve"> and lower stress due</w:t>
      </w:r>
      <w:r w:rsidR="00C45429" w:rsidRPr="00446A57">
        <w:t xml:space="preserve"> to</w:t>
      </w:r>
      <w:r w:rsidRPr="00446A57">
        <w:t xml:space="preserve"> social support </w:t>
      </w:r>
      <w:r w:rsidR="00C45429" w:rsidRPr="00446A57">
        <w:t>by two men</w:t>
      </w:r>
      <w:r w:rsidR="00992A3B" w:rsidRPr="00446A57">
        <w:t>,</w:t>
      </w:r>
      <w:r w:rsidR="00C45429" w:rsidRPr="00446A57">
        <w:t xml:space="preserve"> </w:t>
      </w:r>
      <w:r w:rsidRPr="00446A57">
        <w:t xml:space="preserve">are obvious </w:t>
      </w:r>
      <w:r w:rsidR="00E0229F" w:rsidRPr="00446A57">
        <w:t>possibilities here)</w:t>
      </w:r>
      <w:r w:rsidR="00B71CC3" w:rsidRPr="00446A57">
        <w:t>;</w:t>
      </w:r>
      <w:r w:rsidR="00E0229F" w:rsidRPr="00446A57">
        <w:t xml:space="preserve"> and 2) that a woman who takes two or more lovers in addition to her husband</w:t>
      </w:r>
      <w:r w:rsidR="00C3085C" w:rsidRPr="00446A57">
        <w:t xml:space="preserve"> </w:t>
      </w:r>
      <w:r w:rsidR="00F20FE1" w:rsidRPr="00446A57">
        <w:t>t</w:t>
      </w:r>
      <w:r w:rsidR="00C3085C" w:rsidRPr="00446A57">
        <w:t>ends to be</w:t>
      </w:r>
      <w:r w:rsidR="00E0229F" w:rsidRPr="00446A57">
        <w:t xml:space="preserve"> compromised</w:t>
      </w:r>
      <w:r w:rsidR="00C3085C" w:rsidRPr="00446A57">
        <w:t xml:space="preserve"> in some way with respect to nutrition, health, or support.</w:t>
      </w:r>
      <w:r w:rsidR="008049BA" w:rsidRPr="00446A57">
        <w:t xml:space="preserve">  </w:t>
      </w:r>
    </w:p>
    <w:p w:rsidR="00E0229F" w:rsidRPr="00446A57" w:rsidRDefault="008049BA" w:rsidP="00066C2E">
      <w:pPr>
        <w:spacing w:line="480" w:lineRule="auto"/>
        <w:ind w:firstLine="720"/>
        <w:contextualSpacing/>
      </w:pPr>
      <w:r w:rsidRPr="00446A57">
        <w:t xml:space="preserve">There is </w:t>
      </w:r>
      <w:r w:rsidR="00066C2E" w:rsidRPr="00446A57">
        <w:t xml:space="preserve">unfortunately </w:t>
      </w:r>
      <w:r w:rsidRPr="00446A57">
        <w:t xml:space="preserve">little ethnographic evidence bearing on the first of these propositions.   </w:t>
      </w:r>
      <w:r w:rsidR="00066C2E" w:rsidRPr="00446A57">
        <w:t>Courtship prestations are pro</w:t>
      </w:r>
      <w:r w:rsidR="0044678F" w:rsidRPr="00446A57">
        <w:t xml:space="preserve">bably a </w:t>
      </w:r>
      <w:r w:rsidR="008D31D2" w:rsidRPr="00446A57">
        <w:t>cultural universal, and Aché,</w:t>
      </w:r>
      <w:r w:rsidR="0044678F" w:rsidRPr="00446A57">
        <w:t xml:space="preserve"> </w:t>
      </w:r>
      <w:r w:rsidR="00066C2E" w:rsidRPr="00446A57">
        <w:t>Barí</w:t>
      </w:r>
      <w:r w:rsidR="008D31D2" w:rsidRPr="00446A57">
        <w:t xml:space="preserve">, and </w:t>
      </w:r>
      <w:proofErr w:type="gramStart"/>
      <w:r w:rsidR="008D31D2" w:rsidRPr="00446A57">
        <w:t>Ese</w:t>
      </w:r>
      <w:proofErr w:type="gramEnd"/>
      <w:r w:rsidR="008D31D2" w:rsidRPr="00446A57">
        <w:t xml:space="preserve"> Eja</w:t>
      </w:r>
      <w:r w:rsidR="00066C2E" w:rsidRPr="00446A57">
        <w:t xml:space="preserve"> lovers do provide</w:t>
      </w:r>
      <w:r w:rsidR="0044678F" w:rsidRPr="00446A57">
        <w:t xml:space="preserve"> gifts of</w:t>
      </w:r>
      <w:r w:rsidRPr="00446A57">
        <w:t xml:space="preserve"> game </w:t>
      </w:r>
      <w:r w:rsidR="0044678F" w:rsidRPr="00446A57">
        <w:t xml:space="preserve">and/or fish </w:t>
      </w:r>
      <w:r w:rsidR="008D31D2" w:rsidRPr="00446A57">
        <w:t>to</w:t>
      </w:r>
      <w:r w:rsidR="00066C2E" w:rsidRPr="00446A57">
        <w:t xml:space="preserve"> </w:t>
      </w:r>
      <w:r w:rsidRPr="00446A57">
        <w:t>women with whom they are having affairs</w:t>
      </w:r>
      <w:r w:rsidR="0044678F" w:rsidRPr="00446A57">
        <w:t xml:space="preserve">.  </w:t>
      </w:r>
    </w:p>
    <w:p w:rsidR="005178F5" w:rsidRPr="00446A57" w:rsidRDefault="00083DE9" w:rsidP="00C3085C">
      <w:pPr>
        <w:spacing w:line="480" w:lineRule="auto"/>
        <w:ind w:firstLine="720"/>
        <w:contextualSpacing/>
      </w:pPr>
      <w:r w:rsidRPr="00446A57">
        <w:t xml:space="preserve">While there are no data with respect to </w:t>
      </w:r>
      <w:r w:rsidR="00625B9E" w:rsidRPr="00446A57">
        <w:t xml:space="preserve">differential </w:t>
      </w:r>
      <w:r w:rsidRPr="00446A57">
        <w:t xml:space="preserve">maternal condition </w:t>
      </w:r>
      <w:r w:rsidR="00066C2E" w:rsidRPr="00446A57">
        <w:t xml:space="preserve">before and/or </w:t>
      </w:r>
      <w:r w:rsidR="00625B9E" w:rsidRPr="00446A57">
        <w:t xml:space="preserve">during pregnancy </w:t>
      </w:r>
      <w:r w:rsidRPr="00446A57">
        <w:t xml:space="preserve">for </w:t>
      </w:r>
      <w:r w:rsidR="00B3787D" w:rsidRPr="00446A57">
        <w:t xml:space="preserve">women in </w:t>
      </w:r>
      <w:r w:rsidRPr="00446A57">
        <w:t>any of the four tribes under consideration</w:t>
      </w:r>
      <w:r w:rsidR="00CA5CCE" w:rsidRPr="00446A57">
        <w:t xml:space="preserve"> here</w:t>
      </w:r>
      <w:r w:rsidRPr="00446A57">
        <w:t>, t</w:t>
      </w:r>
      <w:r w:rsidR="00515818" w:rsidRPr="00446A57">
        <w:t xml:space="preserve">here is </w:t>
      </w:r>
      <w:r w:rsidR="005178F5" w:rsidRPr="00446A57">
        <w:t xml:space="preserve">evidence </w:t>
      </w:r>
      <w:r w:rsidR="00CA5CCE" w:rsidRPr="00446A57">
        <w:t>from two of them that children of pregnancies attribut</w:t>
      </w:r>
      <w:r w:rsidR="00515818" w:rsidRPr="00446A57">
        <w:t>ed to two fathers</w:t>
      </w:r>
      <w:r w:rsidR="00F20FE1" w:rsidRPr="00446A57">
        <w:t>--a primary and a single secondary father</w:t>
      </w:r>
      <w:r w:rsidR="00066C2E" w:rsidRPr="00446A57">
        <w:t>—may be</w:t>
      </w:r>
      <w:r w:rsidR="00515818" w:rsidRPr="00446A57">
        <w:t xml:space="preserve"> more robust than those who have only one father</w:t>
      </w:r>
      <w:r w:rsidR="00CA5CCE" w:rsidRPr="00446A57">
        <w:t>.</w:t>
      </w:r>
      <w:r w:rsidR="00A963B9" w:rsidRPr="00446A57">
        <w:t xml:space="preserve">  </w:t>
      </w:r>
    </w:p>
    <w:p w:rsidR="00F20FE1" w:rsidRPr="00446A57" w:rsidRDefault="00F20FE1" w:rsidP="00F20FE1">
      <w:pPr>
        <w:spacing w:line="480" w:lineRule="auto"/>
        <w:ind w:firstLine="720"/>
        <w:contextualSpacing/>
      </w:pPr>
      <w:r w:rsidRPr="00446A57">
        <w:t>It has been shown in the cases of the Aché (Hill and Hurtado 1996; Beckerman 2002) and the Barí (Beckerman et al</w:t>
      </w:r>
      <w:r w:rsidR="00AE08CD" w:rsidRPr="00446A57">
        <w:t>.</w:t>
      </w:r>
      <w:r w:rsidRPr="00446A57">
        <w:t xml:space="preserve"> 1998; Beckerman et al. 2002) </w:t>
      </w:r>
      <w:r w:rsidRPr="00446A57">
        <w:lastRenderedPageBreak/>
        <w:t>that children with both a primary father (the mother’s husband) and</w:t>
      </w:r>
      <w:r w:rsidR="00CA61D6" w:rsidRPr="00446A57">
        <w:t xml:space="preserve"> a single secondary father have</w:t>
      </w:r>
      <w:r w:rsidR="00066C2E" w:rsidRPr="00446A57">
        <w:t xml:space="preserve"> </w:t>
      </w:r>
      <w:r w:rsidRPr="00446A57">
        <w:t xml:space="preserve">higher survivorship than children with only a primary father, or children with two or more secondary fathers.  </w:t>
      </w:r>
      <w:r w:rsidR="00066C2E" w:rsidRPr="00446A57">
        <w:t xml:space="preserve">Better health is the most likely </w:t>
      </w:r>
      <w:r w:rsidR="00EB53B3" w:rsidRPr="00446A57">
        <w:t>reason, although of course there are other possib</w:t>
      </w:r>
      <w:r w:rsidR="008754EB" w:rsidRPr="00446A57">
        <w:t>ilities</w:t>
      </w:r>
      <w:r w:rsidR="00EB53B3" w:rsidRPr="00446A57">
        <w:t xml:space="preserve">.  </w:t>
      </w:r>
      <w:r w:rsidR="00FD0223" w:rsidRPr="00446A57">
        <w:t>Whether this</w:t>
      </w:r>
      <w:r w:rsidRPr="00446A57">
        <w:t xml:space="preserve"> advantage </w:t>
      </w:r>
      <w:r w:rsidR="007F3A84" w:rsidRPr="00446A57">
        <w:t xml:space="preserve">(cf. Beckerman et al. 2002) </w:t>
      </w:r>
      <w:r w:rsidRPr="00446A57">
        <w:t xml:space="preserve">translates into augmented reproductive success in adulthood is not known.  </w:t>
      </w:r>
    </w:p>
    <w:p w:rsidR="00355D38" w:rsidRPr="00446A57" w:rsidRDefault="00A963B9" w:rsidP="00E47BE5">
      <w:pPr>
        <w:spacing w:line="480" w:lineRule="auto"/>
        <w:contextualSpacing/>
      </w:pPr>
      <w:r w:rsidRPr="00446A57">
        <w:tab/>
      </w:r>
      <w:r w:rsidR="002C13F7" w:rsidRPr="00446A57">
        <w:t xml:space="preserve">At the other end of </w:t>
      </w:r>
      <w:r w:rsidR="00873821" w:rsidRPr="00446A57">
        <w:t xml:space="preserve">the secondary </w:t>
      </w:r>
      <w:r w:rsidR="002C13F7" w:rsidRPr="00446A57">
        <w:t>fathers scale</w:t>
      </w:r>
      <w:r w:rsidRPr="00446A57">
        <w:t>, data also suggest that too many seco</w:t>
      </w:r>
      <w:r w:rsidR="00F20FE1" w:rsidRPr="00446A57">
        <w:t>ndary fathers may be associated with elevated risk</w:t>
      </w:r>
      <w:r w:rsidRPr="00446A57">
        <w:t xml:space="preserve"> to a child</w:t>
      </w:r>
      <w:r w:rsidR="009225C2" w:rsidRPr="00446A57">
        <w:t xml:space="preserve">.  Writing of the Aché, </w:t>
      </w:r>
      <w:r w:rsidRPr="00446A57">
        <w:t xml:space="preserve">Hill and Hurtado </w:t>
      </w:r>
      <w:r w:rsidR="009225C2" w:rsidRPr="00446A57">
        <w:t>(</w:t>
      </w:r>
      <w:r w:rsidRPr="00446A57">
        <w:t>1996: 444)</w:t>
      </w:r>
      <w:r w:rsidR="009225C2" w:rsidRPr="00446A57">
        <w:t xml:space="preserve"> report</w:t>
      </w:r>
      <w:r w:rsidR="004B424E" w:rsidRPr="00446A57">
        <w:t>ed</w:t>
      </w:r>
      <w:r w:rsidRPr="00446A57">
        <w:t xml:space="preserve"> “Those children with one primary and one secondary father show the highest survival in our data set, and one secondary father is also the most common number reported during out reproductive interviews…children with three or more fathers appear to have fared worse than those with only one or two fathers.”</w:t>
      </w:r>
      <w:r w:rsidR="00355D38" w:rsidRPr="00446A57">
        <w:t xml:space="preserve">  This difference, however, did not reach statistical significance in their data (Hill and Hurtado 1996: 465.)</w:t>
      </w:r>
      <w:r w:rsidR="00873821" w:rsidRPr="00446A57">
        <w:t xml:space="preserve">  </w:t>
      </w:r>
    </w:p>
    <w:p w:rsidR="00A963B9" w:rsidRPr="00446A57" w:rsidRDefault="00355D38" w:rsidP="00355D38">
      <w:pPr>
        <w:spacing w:line="480" w:lineRule="auto"/>
        <w:ind w:firstLine="720"/>
        <w:contextualSpacing/>
      </w:pPr>
      <w:r w:rsidRPr="00446A57">
        <w:t>Exploring the same issue among the Barí</w:t>
      </w:r>
      <w:r w:rsidR="00CD1FEC" w:rsidRPr="00446A57">
        <w:t>, Becke</w:t>
      </w:r>
      <w:r w:rsidRPr="00446A57">
        <w:t>rman et al. (2002: 37) found that</w:t>
      </w:r>
      <w:r w:rsidR="00873821" w:rsidRPr="00446A57">
        <w:t xml:space="preserve"> </w:t>
      </w:r>
      <w:r w:rsidRPr="00446A57">
        <w:t>“Comparing the odds of dying before 15 for a child with two or more secondary fathers and a child with no secondary father, the odds ratio was 0.632; ns.  Comparing the odds of dying before 15 for a child with two or more secondary fathers and a child with one only, the odds ratio w</w:t>
      </w:r>
      <w:r w:rsidR="004B424E" w:rsidRPr="00446A57">
        <w:t>a</w:t>
      </w:r>
      <w:r w:rsidRPr="00446A57">
        <w:t>s 5.188, p = 0.0</w:t>
      </w:r>
      <w:r w:rsidR="004B424E" w:rsidRPr="00446A57">
        <w:t>0</w:t>
      </w:r>
      <w:r w:rsidRPr="00446A57">
        <w:t>01.</w:t>
      </w:r>
      <w:r w:rsidR="004B424E" w:rsidRPr="00446A57">
        <w:t>”  They concluded</w:t>
      </w:r>
      <w:r w:rsidRPr="00446A57">
        <w:t xml:space="preserve"> </w:t>
      </w:r>
      <w:r w:rsidR="004B424E" w:rsidRPr="00446A57">
        <w:t xml:space="preserve">that </w:t>
      </w:r>
      <w:r w:rsidR="00CD1FEC" w:rsidRPr="00446A57">
        <w:t xml:space="preserve">“women took several secondary fathers per child only when they </w:t>
      </w:r>
      <w:r w:rsidR="00CD1FEC" w:rsidRPr="00446A57">
        <w:lastRenderedPageBreak/>
        <w:t>were unmarried and distressed and were, in effect, supporting themselves by something like prostitution.  Such women were likely to be chronically undernourished, as were their children.”</w:t>
      </w:r>
      <w:r w:rsidR="00873821" w:rsidRPr="00446A57">
        <w:t xml:space="preserve"> </w:t>
      </w:r>
      <w:r w:rsidR="00FD0223" w:rsidRPr="00446A57">
        <w:t xml:space="preserve"> While no skinfold measurements were taken, Beckerman and Lizarralde recall these few women and their children as </w:t>
      </w:r>
      <w:proofErr w:type="gramStart"/>
      <w:r w:rsidR="00FD0223" w:rsidRPr="00446A57">
        <w:t>leaner and</w:t>
      </w:r>
      <w:proofErr w:type="gramEnd"/>
      <w:r w:rsidR="00FD0223" w:rsidRPr="00446A57">
        <w:t xml:space="preserve"> less energetic than their peers.</w:t>
      </w:r>
    </w:p>
    <w:p w:rsidR="00F43C17" w:rsidRPr="00446A57" w:rsidRDefault="00774BC3" w:rsidP="00E47BE5">
      <w:pPr>
        <w:spacing w:line="480" w:lineRule="auto"/>
        <w:contextualSpacing/>
      </w:pPr>
      <w:r w:rsidRPr="00446A57">
        <w:tab/>
      </w:r>
      <w:r w:rsidR="00A114EA" w:rsidRPr="00446A57">
        <w:t xml:space="preserve">Even though there are no data relating maternal condition </w:t>
      </w:r>
      <w:r w:rsidR="00873821" w:rsidRPr="00446A57">
        <w:t xml:space="preserve">before or </w:t>
      </w:r>
      <w:r w:rsidR="00A114EA" w:rsidRPr="00446A57">
        <w:t>during pregnancy to the number of fathers a woman provides for her child,</w:t>
      </w:r>
      <w:r w:rsidR="00E529DF" w:rsidRPr="00446A57">
        <w:t xml:space="preserve"> there are some data</w:t>
      </w:r>
      <w:r w:rsidR="00B3787D" w:rsidRPr="00446A57">
        <w:t xml:space="preserve"> </w:t>
      </w:r>
      <w:r w:rsidR="00A8132F" w:rsidRPr="00446A57">
        <w:t>consistent with the possibility</w:t>
      </w:r>
      <w:r w:rsidR="00174065" w:rsidRPr="00446A57">
        <w:t xml:space="preserve"> that</w:t>
      </w:r>
      <w:r w:rsidR="00E61063" w:rsidRPr="00446A57">
        <w:t xml:space="preserve"> male</w:t>
      </w:r>
      <w:r w:rsidR="00174065" w:rsidRPr="00446A57">
        <w:t xml:space="preserve"> infants</w:t>
      </w:r>
      <w:r w:rsidR="00E61063" w:rsidRPr="00446A57">
        <w:t xml:space="preserve"> with both a primar</w:t>
      </w:r>
      <w:r w:rsidR="00174065" w:rsidRPr="00446A57">
        <w:t>y and a single secondary father</w:t>
      </w:r>
      <w:r w:rsidR="00E61063" w:rsidRPr="00446A57">
        <w:t xml:space="preserve"> may</w:t>
      </w:r>
      <w:r w:rsidR="00094DFD" w:rsidRPr="00446A57">
        <w:t xml:space="preserve"> eventually</w:t>
      </w:r>
      <w:r w:rsidR="00E61063" w:rsidRPr="00446A57">
        <w:t xml:space="preserve"> have higher mating success than </w:t>
      </w:r>
      <w:r w:rsidR="00094DFD" w:rsidRPr="00446A57">
        <w:t>other males.</w:t>
      </w:r>
      <w:r w:rsidR="00E529DF" w:rsidRPr="00446A57">
        <w:t xml:space="preserve">  If the survival adva</w:t>
      </w:r>
      <w:r w:rsidR="00174065" w:rsidRPr="00446A57">
        <w:t>ntage of the</w:t>
      </w:r>
      <w:r w:rsidR="00405504" w:rsidRPr="00446A57">
        <w:t xml:space="preserve"> sons of single</w:t>
      </w:r>
      <w:r w:rsidR="00E529DF" w:rsidRPr="00446A57">
        <w:t xml:space="preserve"> secondary fathers is</w:t>
      </w:r>
      <w:r w:rsidR="00174065" w:rsidRPr="00446A57">
        <w:t xml:space="preserve"> a result of better health, and that health is related to</w:t>
      </w:r>
      <w:r w:rsidR="00E529DF" w:rsidRPr="00446A57">
        <w:t xml:space="preserve"> higher bi</w:t>
      </w:r>
      <w:r w:rsidR="00473F89" w:rsidRPr="00446A57">
        <w:t>rthweight, then</w:t>
      </w:r>
      <w:r w:rsidR="00F43C17" w:rsidRPr="00446A57">
        <w:t xml:space="preserve"> that</w:t>
      </w:r>
      <w:r w:rsidR="00B113D5" w:rsidRPr="00446A57">
        <w:t xml:space="preserve"> benefit </w:t>
      </w:r>
      <w:r w:rsidR="00473F89" w:rsidRPr="00446A57">
        <w:t>might</w:t>
      </w:r>
      <w:r w:rsidR="00E529DF" w:rsidRPr="00446A57">
        <w:t xml:space="preserve"> carry over into adulthood</w:t>
      </w:r>
      <w:r w:rsidR="0076566A" w:rsidRPr="00446A57">
        <w:t xml:space="preserve">.  </w:t>
      </w:r>
    </w:p>
    <w:p w:rsidR="00B113D5" w:rsidRPr="00446A57" w:rsidRDefault="0076566A" w:rsidP="00F43C17">
      <w:pPr>
        <w:spacing w:line="480" w:lineRule="auto"/>
        <w:ind w:firstLine="720"/>
        <w:contextualSpacing/>
      </w:pPr>
      <w:r w:rsidRPr="00446A57">
        <w:t>Hill and Hurtado (1996</w:t>
      </w:r>
      <w:r w:rsidR="00F43C17" w:rsidRPr="00446A57">
        <w:t>: 354-5; 371-2</w:t>
      </w:r>
      <w:r w:rsidRPr="00446A57">
        <w:t>)</w:t>
      </w:r>
      <w:r w:rsidR="00E529DF" w:rsidRPr="00446A57">
        <w:t xml:space="preserve"> </w:t>
      </w:r>
      <w:r w:rsidR="00F43C17" w:rsidRPr="00446A57">
        <w:t>found that</w:t>
      </w:r>
      <w:r w:rsidR="00B113D5" w:rsidRPr="00446A57">
        <w:t>,</w:t>
      </w:r>
      <w:r w:rsidR="00F43C17" w:rsidRPr="00446A57">
        <w:t xml:space="preserve"> among the Aché</w:t>
      </w:r>
      <w:r w:rsidR="00B113D5" w:rsidRPr="00446A57">
        <w:t>,</w:t>
      </w:r>
      <w:r w:rsidR="00F43C17" w:rsidRPr="00446A57">
        <w:t xml:space="preserve"> male fertility increased with adult body weight</w:t>
      </w:r>
      <w:r w:rsidR="0043190E" w:rsidRPr="00446A57">
        <w:t xml:space="preserve"> for most</w:t>
      </w:r>
      <w:r w:rsidR="00B113D5" w:rsidRPr="00446A57">
        <w:t xml:space="preserve"> of the male population, with a negative relationship for the very heaviest males</w:t>
      </w:r>
      <w:r w:rsidR="00E529DF" w:rsidRPr="00446A57">
        <w:t>.</w:t>
      </w:r>
      <w:r w:rsidR="000F04FB" w:rsidRPr="00446A57">
        <w:t xml:space="preserve">  </w:t>
      </w:r>
      <w:r w:rsidR="00B113D5" w:rsidRPr="00446A57">
        <w:t>They suggested that “(a</w:t>
      </w:r>
      <w:proofErr w:type="gramStart"/>
      <w:r w:rsidR="00B113D5" w:rsidRPr="00446A57">
        <w:t>)</w:t>
      </w:r>
      <w:proofErr w:type="spellStart"/>
      <w:r w:rsidR="00B113D5" w:rsidRPr="00446A57">
        <w:t>lthough</w:t>
      </w:r>
      <w:proofErr w:type="spellEnd"/>
      <w:proofErr w:type="gramEnd"/>
      <w:r w:rsidR="00B113D5" w:rsidRPr="00446A57">
        <w:t xml:space="preserve"> large men may be at an advantage in </w:t>
      </w:r>
      <w:proofErr w:type="spellStart"/>
      <w:r w:rsidR="00B113D5" w:rsidRPr="00446A57">
        <w:t>intrasexual</w:t>
      </w:r>
      <w:proofErr w:type="spellEnd"/>
      <w:r w:rsidR="00B113D5" w:rsidRPr="00446A57">
        <w:t xml:space="preserve"> competition, as hunters they are not as effective as intermediate-sized males.”</w:t>
      </w:r>
    </w:p>
    <w:p w:rsidR="0008194C" w:rsidRPr="00446A57" w:rsidRDefault="00DA1EAD" w:rsidP="00F43C17">
      <w:pPr>
        <w:spacing w:line="480" w:lineRule="auto"/>
        <w:ind w:firstLine="720"/>
        <w:contextualSpacing/>
      </w:pPr>
      <w:r w:rsidRPr="00446A57">
        <w:t>Previously unpublished h</w:t>
      </w:r>
      <w:r w:rsidR="00906071" w:rsidRPr="00446A57">
        <w:t>eight</w:t>
      </w:r>
      <w:r w:rsidR="0008194C" w:rsidRPr="00446A57">
        <w:t xml:space="preserve"> </w:t>
      </w:r>
      <w:r w:rsidR="00953DC4" w:rsidRPr="00446A57">
        <w:t>data</w:t>
      </w:r>
      <w:r w:rsidR="00174065" w:rsidRPr="00446A57">
        <w:rPr>
          <w:vertAlign w:val="superscript"/>
        </w:rPr>
        <w:t>4</w:t>
      </w:r>
      <w:r w:rsidR="00953DC4" w:rsidRPr="00446A57">
        <w:t xml:space="preserve"> </w:t>
      </w:r>
      <w:r w:rsidR="0008194C" w:rsidRPr="00446A57">
        <w:t xml:space="preserve">collected </w:t>
      </w:r>
      <w:r w:rsidR="00B71CC3" w:rsidRPr="00446A57">
        <w:t xml:space="preserve">by Roberto Lizarralde </w:t>
      </w:r>
      <w:r w:rsidR="0008194C" w:rsidRPr="00446A57">
        <w:t xml:space="preserve">among the Barí </w:t>
      </w:r>
      <w:r w:rsidR="00906071" w:rsidRPr="00446A57">
        <w:t>in 1963</w:t>
      </w:r>
      <w:r w:rsidR="0043190E" w:rsidRPr="00446A57">
        <w:t>-64</w:t>
      </w:r>
      <w:r w:rsidR="004F1F70" w:rsidRPr="00446A57">
        <w:t>,</w:t>
      </w:r>
      <w:r w:rsidR="00906071" w:rsidRPr="00446A57">
        <w:t xml:space="preserve"> </w:t>
      </w:r>
      <w:r w:rsidR="006410C2" w:rsidRPr="00446A57">
        <w:t xml:space="preserve">for </w:t>
      </w:r>
      <w:r w:rsidR="0043190E" w:rsidRPr="00446A57">
        <w:t xml:space="preserve">men </w:t>
      </w:r>
      <w:r w:rsidR="00906071" w:rsidRPr="00446A57">
        <w:t xml:space="preserve">whom we were </w:t>
      </w:r>
      <w:r w:rsidR="00953DC4" w:rsidRPr="00446A57">
        <w:t>able to track for their eventual completed fertility (construed as the number of children b</w:t>
      </w:r>
      <w:r w:rsidR="0043190E" w:rsidRPr="00446A57">
        <w:t xml:space="preserve">orn to </w:t>
      </w:r>
      <w:r w:rsidR="00B71CC3" w:rsidRPr="00446A57">
        <w:t xml:space="preserve">all </w:t>
      </w:r>
      <w:r w:rsidR="0043190E" w:rsidRPr="00446A57">
        <w:t xml:space="preserve">their wives) </w:t>
      </w:r>
      <w:r w:rsidR="0043190E" w:rsidRPr="00446A57">
        <w:lastRenderedPageBreak/>
        <w:t>showed a tendency for taller men t</w:t>
      </w:r>
      <w:r w:rsidR="00B71CC3" w:rsidRPr="00446A57">
        <w:t>o produce more children (Fig. 1</w:t>
      </w:r>
      <w:r w:rsidR="00F53185" w:rsidRPr="00446A57">
        <w:t>; Tab. 3</w:t>
      </w:r>
      <w:r w:rsidR="0043190E" w:rsidRPr="00446A57">
        <w:t>)</w:t>
      </w:r>
      <w:r w:rsidR="00A222BF" w:rsidRPr="00446A57">
        <w:t>,</w:t>
      </w:r>
      <w:r w:rsidR="00A61D7D" w:rsidRPr="00446A57">
        <w:t xml:space="preserve"> with</w:t>
      </w:r>
      <w:r w:rsidR="00A222BF" w:rsidRPr="00446A57">
        <w:t>out</w:t>
      </w:r>
      <w:r w:rsidR="00A61D7D" w:rsidRPr="00446A57">
        <w:t xml:space="preserve"> </w:t>
      </w:r>
      <w:r w:rsidR="00A222BF" w:rsidRPr="00446A57">
        <w:t>the</w:t>
      </w:r>
      <w:r w:rsidR="00B71CC3" w:rsidRPr="00446A57">
        <w:t xml:space="preserve"> drop-off for the very largest men reported by Hill and Hurtado.</w:t>
      </w:r>
    </w:p>
    <w:p w:rsidR="00B3787D" w:rsidRPr="00446A57" w:rsidRDefault="0030376F" w:rsidP="00F43C17">
      <w:pPr>
        <w:spacing w:line="480" w:lineRule="auto"/>
        <w:ind w:firstLine="720"/>
        <w:contextualSpacing/>
      </w:pPr>
      <w:r w:rsidRPr="00446A57">
        <w:t>In a parallel case</w:t>
      </w:r>
      <w:r w:rsidR="00174065" w:rsidRPr="00446A57">
        <w:t xml:space="preserve"> that raises the possibility that this </w:t>
      </w:r>
      <w:r w:rsidR="00CA34A4" w:rsidRPr="00446A57">
        <w:t>reproductive advantage to size</w:t>
      </w:r>
      <w:r w:rsidR="00174065" w:rsidRPr="00446A57">
        <w:t xml:space="preserve"> may be widespread in lowland South America, </w:t>
      </w:r>
      <w:proofErr w:type="spellStart"/>
      <w:r w:rsidR="0043190E" w:rsidRPr="00446A57">
        <w:t>Gregor</w:t>
      </w:r>
      <w:proofErr w:type="spellEnd"/>
      <w:r w:rsidR="0043190E" w:rsidRPr="00446A57">
        <w:t xml:space="preserve"> (1979</w:t>
      </w:r>
      <w:r w:rsidR="006410C2" w:rsidRPr="00446A57">
        <w:t>:15</w:t>
      </w:r>
      <w:r w:rsidRPr="00446A57">
        <w:t>)</w:t>
      </w:r>
      <w:r w:rsidR="0043190E" w:rsidRPr="00446A57">
        <w:t xml:space="preserve"> reported</w:t>
      </w:r>
      <w:r w:rsidR="00B949E7" w:rsidRPr="00446A57">
        <w:t xml:space="preserve"> that among the </w:t>
      </w:r>
      <w:proofErr w:type="spellStart"/>
      <w:r w:rsidR="00B949E7" w:rsidRPr="00446A57">
        <w:t>Mehinaku</w:t>
      </w:r>
      <w:proofErr w:type="spellEnd"/>
      <w:r w:rsidR="00B949E7" w:rsidRPr="00446A57">
        <w:t xml:space="preserve"> of Brazil, taller men had considerably elevated amorous success when compared to their shorter fellows: “In our village, the three tallest men had as many affairs as the seven shortest men, even though their average estimated ages were identical (thirty-seven).</w:t>
      </w:r>
      <w:r w:rsidR="00552BBC" w:rsidRPr="00446A57">
        <w:t>”</w:t>
      </w:r>
      <w:r w:rsidR="00366DF9" w:rsidRPr="00446A57">
        <w:t xml:space="preserve">  </w:t>
      </w:r>
    </w:p>
    <w:p w:rsidR="000909D2" w:rsidRPr="00446A57" w:rsidRDefault="001D4D2F" w:rsidP="00F43C17">
      <w:pPr>
        <w:spacing w:line="480" w:lineRule="auto"/>
        <w:ind w:firstLine="720"/>
        <w:contextualSpacing/>
      </w:pPr>
      <w:r w:rsidRPr="00446A57">
        <w:t>The data sets presented above are in no wa</w:t>
      </w:r>
      <w:r w:rsidR="00073FB2" w:rsidRPr="00446A57">
        <w:t xml:space="preserve">y </w:t>
      </w:r>
      <w:r w:rsidR="00CA34A4" w:rsidRPr="00446A57">
        <w:t>decisive in considering</w:t>
      </w:r>
      <w:r w:rsidR="00073FB2" w:rsidRPr="00446A57">
        <w:t xml:space="preserve"> the proposal</w:t>
      </w:r>
      <w:r w:rsidR="00175025" w:rsidRPr="00446A57">
        <w:t xml:space="preserve"> </w:t>
      </w:r>
      <w:r w:rsidRPr="00446A57">
        <w:t>that the human live birth sex ratio diff</w:t>
      </w:r>
      <w:r w:rsidR="005E0FD0" w:rsidRPr="00446A57">
        <w:t xml:space="preserve">erences reported here are </w:t>
      </w:r>
      <w:r w:rsidRPr="00446A57">
        <w:t xml:space="preserve">the manifestation of a </w:t>
      </w:r>
      <w:proofErr w:type="spellStart"/>
      <w:r w:rsidRPr="00446A57">
        <w:t>Trivers</w:t>
      </w:r>
      <w:proofErr w:type="spellEnd"/>
      <w:r w:rsidRPr="00446A57">
        <w:t>-Willard effect</w:t>
      </w:r>
      <w:r w:rsidR="00073FB2" w:rsidRPr="00446A57">
        <w:t xml:space="preserve">, which is quite a difficult proposition to establish (cf. Clutton-Brock and </w:t>
      </w:r>
      <w:proofErr w:type="spellStart"/>
      <w:r w:rsidR="00073FB2" w:rsidRPr="00446A57">
        <w:t>Iason</w:t>
      </w:r>
      <w:proofErr w:type="spellEnd"/>
      <w:r w:rsidR="00073FB2" w:rsidRPr="00446A57">
        <w:t xml:space="preserve"> 1986</w:t>
      </w:r>
      <w:r w:rsidR="002D37AD" w:rsidRPr="00446A57">
        <w:t>.</w:t>
      </w:r>
      <w:r w:rsidR="00073FB2" w:rsidRPr="00446A57">
        <w:t>)</w:t>
      </w:r>
      <w:r w:rsidR="002D37AD" w:rsidRPr="00446A57">
        <w:t xml:space="preserve">  Indeed, a</w:t>
      </w:r>
      <w:r w:rsidR="002D2C54" w:rsidRPr="00446A57">
        <w:t xml:space="preserve"> conclusive</w:t>
      </w:r>
      <w:r w:rsidR="000909D2" w:rsidRPr="00446A57">
        <w:t xml:space="preserve"> exploration of the possibility would </w:t>
      </w:r>
      <w:r w:rsidR="00140078" w:rsidRPr="00446A57">
        <w:t xml:space="preserve">require </w:t>
      </w:r>
      <w:r w:rsidR="000909D2" w:rsidRPr="00446A57">
        <w:t>a multigenerational pros</w:t>
      </w:r>
      <w:r w:rsidRPr="00446A57">
        <w:t>pective study involving ongoing biomedical measurements,</w:t>
      </w:r>
      <w:r w:rsidR="000909D2" w:rsidRPr="00446A57">
        <w:t xml:space="preserve"> </w:t>
      </w:r>
      <w:r w:rsidR="00AA34F6" w:rsidRPr="00446A57">
        <w:t xml:space="preserve">including </w:t>
      </w:r>
      <w:r w:rsidR="006410C2" w:rsidRPr="00446A57">
        <w:t xml:space="preserve">regular and </w:t>
      </w:r>
      <w:r w:rsidR="00CE7940" w:rsidRPr="00446A57">
        <w:t xml:space="preserve">frequent </w:t>
      </w:r>
      <w:r w:rsidR="000909D2" w:rsidRPr="00446A57">
        <w:t>collection of blood</w:t>
      </w:r>
      <w:r w:rsidR="00CE7940" w:rsidRPr="00446A57">
        <w:t>, urine</w:t>
      </w:r>
      <w:r w:rsidR="00AA34F6" w:rsidRPr="00446A57">
        <w:t xml:space="preserve"> and saliva samples, along with</w:t>
      </w:r>
      <w:r w:rsidR="00CE7940" w:rsidRPr="00446A57">
        <w:t xml:space="preserve"> </w:t>
      </w:r>
      <w:r w:rsidRPr="00446A57">
        <w:t>uninterrupted ethnographic study</w:t>
      </w:r>
      <w:r w:rsidR="00073FB2" w:rsidRPr="00446A57">
        <w:t xml:space="preserve"> of demography and life history</w:t>
      </w:r>
      <w:r w:rsidR="006076E2" w:rsidRPr="00446A57">
        <w:t>, all conducted in a society effect</w:t>
      </w:r>
      <w:r w:rsidR="00AA34F6" w:rsidRPr="00446A57">
        <w:t>ively insulated from the acculturative effects</w:t>
      </w:r>
      <w:r w:rsidR="006076E2" w:rsidRPr="00446A57">
        <w:t xml:space="preserve"> of the modern world</w:t>
      </w:r>
      <w:r w:rsidRPr="00446A57">
        <w:t>—a virtually impossible task.  Such being the case, we have prepared t</w:t>
      </w:r>
      <w:r w:rsidR="00140078" w:rsidRPr="00446A57">
        <w:t xml:space="preserve">his </w:t>
      </w:r>
      <w:r w:rsidRPr="00446A57">
        <w:t>report in the hope that South Ameri</w:t>
      </w:r>
      <w:r w:rsidR="005E0FD0" w:rsidRPr="00446A57">
        <w:t xml:space="preserve">canists who have, or may in the future collect, </w:t>
      </w:r>
      <w:r w:rsidR="006410C2" w:rsidRPr="00446A57">
        <w:t xml:space="preserve">incremental </w:t>
      </w:r>
      <w:r w:rsidR="006076E2" w:rsidRPr="00446A57">
        <w:t>data that bear on the issue</w:t>
      </w:r>
      <w:r w:rsidR="005E0FD0" w:rsidRPr="00446A57">
        <w:t xml:space="preserve"> will consider addressing </w:t>
      </w:r>
      <w:r w:rsidR="006076E2" w:rsidRPr="00446A57">
        <w:t>the proposition suggested above.</w:t>
      </w:r>
      <w:r w:rsidR="006410C2" w:rsidRPr="00446A57">
        <w:t xml:space="preserve">  If additional data disconfirm </w:t>
      </w:r>
      <w:r w:rsidR="006410C2" w:rsidRPr="00446A57">
        <w:lastRenderedPageBreak/>
        <w:t xml:space="preserve">our suggestion of a human </w:t>
      </w:r>
      <w:proofErr w:type="spellStart"/>
      <w:r w:rsidR="006410C2" w:rsidRPr="00446A57">
        <w:t>Trivers</w:t>
      </w:r>
      <w:proofErr w:type="spellEnd"/>
      <w:r w:rsidR="006410C2" w:rsidRPr="00446A57">
        <w:t>-Willard effect, the live-birth sex ratio disparities reported above w</w:t>
      </w:r>
      <w:r w:rsidR="002E0D9D" w:rsidRPr="00446A57">
        <w:t xml:space="preserve">ill be relegated to the status of </w:t>
      </w:r>
      <w:r w:rsidR="00C44D56" w:rsidRPr="00446A57">
        <w:t xml:space="preserve">a curiosity, </w:t>
      </w:r>
      <w:r w:rsidR="002E0D9D" w:rsidRPr="00446A57">
        <w:t xml:space="preserve">an unexplained peculiarity </w:t>
      </w:r>
      <w:r w:rsidR="0043238E" w:rsidRPr="00446A57">
        <w:t>of small-sample of</w:t>
      </w:r>
      <w:r w:rsidR="002E0D9D" w:rsidRPr="00446A57">
        <w:t xml:space="preserve"> anthropolog</w:t>
      </w:r>
      <w:r w:rsidR="0043238E" w:rsidRPr="00446A57">
        <w:t>ical demography</w:t>
      </w:r>
      <w:r w:rsidR="006410C2" w:rsidRPr="00446A57">
        <w:t>.  If they tend to corroborate it, that support will suggest</w:t>
      </w:r>
      <w:r w:rsidR="00067967" w:rsidRPr="00446A57">
        <w:t xml:space="preserve"> </w:t>
      </w:r>
      <w:r w:rsidR="006410C2" w:rsidRPr="00446A57">
        <w:t>interesting avenues of research in</w:t>
      </w:r>
      <w:r w:rsidR="002B52EC" w:rsidRPr="00446A57">
        <w:t>to</w:t>
      </w:r>
      <w:r w:rsidR="006410C2" w:rsidRPr="00446A57">
        <w:t xml:space="preserve"> the evolutionary ecology of human reproduction. </w:t>
      </w:r>
    </w:p>
    <w:p w:rsidR="00067967" w:rsidRPr="00446A57" w:rsidRDefault="00067967" w:rsidP="00F43C17">
      <w:pPr>
        <w:spacing w:line="480" w:lineRule="auto"/>
        <w:ind w:firstLine="720"/>
        <w:contextualSpacing/>
      </w:pPr>
    </w:p>
    <w:p w:rsidR="00F33657" w:rsidRPr="00446A57" w:rsidRDefault="00F33657" w:rsidP="00F43C17">
      <w:pPr>
        <w:spacing w:line="480" w:lineRule="auto"/>
        <w:ind w:firstLine="720"/>
        <w:contextualSpacing/>
      </w:pPr>
    </w:p>
    <w:p w:rsidR="00F33657" w:rsidRPr="00446A57" w:rsidRDefault="00F33657" w:rsidP="00F43C17">
      <w:pPr>
        <w:spacing w:line="480" w:lineRule="auto"/>
        <w:ind w:firstLine="720"/>
        <w:contextualSpacing/>
      </w:pPr>
    </w:p>
    <w:p w:rsidR="00F33657" w:rsidRPr="00446A57" w:rsidRDefault="00F33657" w:rsidP="00F43C17">
      <w:pPr>
        <w:spacing w:line="480" w:lineRule="auto"/>
        <w:ind w:firstLine="720"/>
        <w:contextualSpacing/>
      </w:pPr>
    </w:p>
    <w:p w:rsidR="00F33657" w:rsidRPr="00446A57" w:rsidRDefault="00F33657" w:rsidP="00F43C17">
      <w:pPr>
        <w:spacing w:line="480" w:lineRule="auto"/>
        <w:ind w:firstLine="720"/>
        <w:contextualSpacing/>
      </w:pPr>
    </w:p>
    <w:p w:rsidR="00F33657" w:rsidRPr="00446A57" w:rsidRDefault="00F33657" w:rsidP="00F43C17">
      <w:pPr>
        <w:spacing w:line="480" w:lineRule="auto"/>
        <w:ind w:firstLine="720"/>
        <w:contextualSpacing/>
      </w:pPr>
    </w:p>
    <w:p w:rsidR="00F33657" w:rsidRPr="00446A57" w:rsidRDefault="00F33657" w:rsidP="00F43C17">
      <w:pPr>
        <w:spacing w:line="480" w:lineRule="auto"/>
        <w:ind w:firstLine="720"/>
        <w:contextualSpacing/>
      </w:pPr>
    </w:p>
    <w:p w:rsidR="00F33657" w:rsidRPr="00446A57" w:rsidRDefault="00F33657" w:rsidP="00F43C17">
      <w:pPr>
        <w:spacing w:line="480" w:lineRule="auto"/>
        <w:ind w:firstLine="720"/>
        <w:contextualSpacing/>
      </w:pPr>
    </w:p>
    <w:p w:rsidR="00F33657" w:rsidRPr="00446A57" w:rsidRDefault="00F33657" w:rsidP="00F43C17">
      <w:pPr>
        <w:spacing w:line="480" w:lineRule="auto"/>
        <w:ind w:firstLine="720"/>
        <w:contextualSpacing/>
      </w:pPr>
    </w:p>
    <w:p w:rsidR="00B76C49" w:rsidRPr="00446A57" w:rsidRDefault="00B76C49" w:rsidP="00F43C17">
      <w:pPr>
        <w:spacing w:line="480" w:lineRule="auto"/>
        <w:ind w:firstLine="720"/>
        <w:contextualSpacing/>
      </w:pPr>
    </w:p>
    <w:p w:rsidR="00B76C49" w:rsidRPr="00446A57" w:rsidRDefault="00B76C49" w:rsidP="00F43C17">
      <w:pPr>
        <w:spacing w:line="480" w:lineRule="auto"/>
        <w:ind w:firstLine="720"/>
        <w:contextualSpacing/>
      </w:pPr>
    </w:p>
    <w:p w:rsidR="00B76C49" w:rsidRPr="00446A57" w:rsidRDefault="00B76C49" w:rsidP="00F43C17">
      <w:pPr>
        <w:spacing w:line="480" w:lineRule="auto"/>
        <w:ind w:firstLine="720"/>
        <w:contextualSpacing/>
      </w:pPr>
    </w:p>
    <w:p w:rsidR="00B76C49" w:rsidRPr="00446A57" w:rsidRDefault="00B76C49" w:rsidP="00F43C17">
      <w:pPr>
        <w:spacing w:line="480" w:lineRule="auto"/>
        <w:ind w:firstLine="720"/>
        <w:contextualSpacing/>
      </w:pPr>
    </w:p>
    <w:p w:rsidR="00F33657" w:rsidRPr="00446A57" w:rsidRDefault="00F33657" w:rsidP="00F43C17">
      <w:pPr>
        <w:spacing w:line="480" w:lineRule="auto"/>
        <w:ind w:firstLine="720"/>
        <w:contextualSpacing/>
      </w:pPr>
    </w:p>
    <w:p w:rsidR="00F33657" w:rsidRPr="00446A57" w:rsidRDefault="00F33657" w:rsidP="00F43C17">
      <w:pPr>
        <w:spacing w:line="480" w:lineRule="auto"/>
        <w:ind w:firstLine="720"/>
        <w:contextualSpacing/>
      </w:pPr>
    </w:p>
    <w:p w:rsidR="00B76C49" w:rsidRPr="00446A57" w:rsidRDefault="00B76C49" w:rsidP="006076E2"/>
    <w:p w:rsidR="00B76C49" w:rsidRPr="00446A57" w:rsidRDefault="00B76C49" w:rsidP="006076E2"/>
    <w:p w:rsidR="00B76C49" w:rsidRPr="00446A57" w:rsidRDefault="00B76C49" w:rsidP="006076E2"/>
    <w:p w:rsidR="00B76C49" w:rsidRPr="00446A57" w:rsidRDefault="00B76C49" w:rsidP="006076E2"/>
    <w:p w:rsidR="00B76C49" w:rsidRPr="00446A57" w:rsidRDefault="00B76C49" w:rsidP="006076E2"/>
    <w:p w:rsidR="00B76C49" w:rsidRPr="00446A57" w:rsidRDefault="00B76C49" w:rsidP="006076E2"/>
    <w:p w:rsidR="006076E2" w:rsidRPr="00446A57" w:rsidRDefault="006076E2" w:rsidP="006076E2">
      <w:r w:rsidRPr="00446A57">
        <w:tab/>
      </w:r>
      <w:r w:rsidRPr="00446A57">
        <w:tab/>
      </w:r>
      <w:r w:rsidRPr="00446A57">
        <w:tab/>
        <w:t xml:space="preserve">    Males</w:t>
      </w:r>
      <w:r w:rsidRPr="00446A57">
        <w:tab/>
      </w:r>
      <w:r w:rsidRPr="00446A57">
        <w:tab/>
      </w:r>
      <w:r w:rsidRPr="00446A57">
        <w:tab/>
      </w:r>
      <w:r w:rsidRPr="00446A57">
        <w:tab/>
      </w:r>
      <w:r w:rsidRPr="00446A57">
        <w:tab/>
        <w:t>Females</w:t>
      </w:r>
    </w:p>
    <w:p w:rsidR="006076E2" w:rsidRPr="00446A57" w:rsidRDefault="006076E2" w:rsidP="006076E2">
      <w:pPr>
        <w:ind w:firstLine="720"/>
      </w:pPr>
      <w:r w:rsidRPr="00446A57">
        <w:t xml:space="preserve">       Number of </w:t>
      </w:r>
      <w:r w:rsidR="007A1CDF" w:rsidRPr="00446A57">
        <w:t xml:space="preserve">Secondary </w:t>
      </w:r>
      <w:r w:rsidRPr="00446A57">
        <w:t>Fathers</w:t>
      </w:r>
      <w:r w:rsidR="00067967" w:rsidRPr="00446A57">
        <w:tab/>
        <w:t xml:space="preserve">   </w:t>
      </w:r>
      <w:r w:rsidRPr="00446A57">
        <w:t xml:space="preserve"> Number of </w:t>
      </w:r>
      <w:r w:rsidR="007A1CDF" w:rsidRPr="00446A57">
        <w:t xml:space="preserve">Secondary </w:t>
      </w:r>
      <w:r w:rsidRPr="00446A57">
        <w:t>Fathers</w:t>
      </w:r>
    </w:p>
    <w:p w:rsidR="006076E2" w:rsidRPr="00446A57" w:rsidRDefault="006076E2" w:rsidP="006076E2">
      <w:pPr>
        <w:ind w:firstLine="720"/>
        <w:rPr>
          <w:u w:val="single"/>
        </w:rPr>
      </w:pPr>
      <w:r w:rsidRPr="00446A57">
        <w:rPr>
          <w:u w:val="single"/>
        </w:rPr>
        <w:t xml:space="preserve">      </w:t>
      </w:r>
      <w:r w:rsidR="007A1CDF" w:rsidRPr="00446A57">
        <w:rPr>
          <w:u w:val="single"/>
        </w:rPr>
        <w:t>0</w:t>
      </w:r>
      <w:r w:rsidRPr="00446A57">
        <w:rPr>
          <w:u w:val="single"/>
        </w:rPr>
        <w:tab/>
        <w:t xml:space="preserve">              </w:t>
      </w:r>
      <w:r w:rsidR="007A1CDF" w:rsidRPr="00446A57">
        <w:rPr>
          <w:u w:val="single"/>
        </w:rPr>
        <w:t>1</w:t>
      </w:r>
      <w:r w:rsidRPr="00446A57">
        <w:rPr>
          <w:u w:val="single"/>
        </w:rPr>
        <w:tab/>
        <w:t xml:space="preserve">     </w:t>
      </w:r>
      <w:r w:rsidR="007A1CDF" w:rsidRPr="00446A57">
        <w:rPr>
          <w:u w:val="single"/>
        </w:rPr>
        <w:t>2</w:t>
      </w:r>
      <w:r w:rsidRPr="00446A57">
        <w:rPr>
          <w:u w:val="single"/>
        </w:rPr>
        <w:t xml:space="preserve"> or more</w:t>
      </w:r>
      <w:r w:rsidRPr="00446A57">
        <w:rPr>
          <w:u w:val="single"/>
        </w:rPr>
        <w:tab/>
        <w:t xml:space="preserve">    </w:t>
      </w:r>
      <w:r w:rsidR="007A1CDF" w:rsidRPr="00446A57">
        <w:rPr>
          <w:u w:val="single"/>
        </w:rPr>
        <w:tab/>
        <w:t xml:space="preserve">     0</w:t>
      </w:r>
      <w:r w:rsidRPr="00446A57">
        <w:rPr>
          <w:u w:val="single"/>
        </w:rPr>
        <w:tab/>
        <w:t xml:space="preserve">          </w:t>
      </w:r>
      <w:r w:rsidR="007A1CDF" w:rsidRPr="00446A57">
        <w:rPr>
          <w:u w:val="single"/>
        </w:rPr>
        <w:t>1           2</w:t>
      </w:r>
      <w:r w:rsidRPr="00446A57">
        <w:rPr>
          <w:u w:val="single"/>
        </w:rPr>
        <w:t xml:space="preserve"> or more</w:t>
      </w:r>
    </w:p>
    <w:p w:rsidR="006076E2" w:rsidRPr="00446A57" w:rsidRDefault="006076E2" w:rsidP="006076E2">
      <w:r w:rsidRPr="00446A57">
        <w:t>Barí</w:t>
      </w:r>
      <w:r w:rsidRPr="00446A57">
        <w:tab/>
        <w:t xml:space="preserve">    288</w:t>
      </w:r>
      <w:r w:rsidRPr="00446A57">
        <w:tab/>
      </w:r>
      <w:r w:rsidRPr="00446A57">
        <w:tab/>
        <w:t xml:space="preserve">   91</w:t>
      </w:r>
      <w:r w:rsidRPr="00446A57">
        <w:tab/>
      </w:r>
      <w:r w:rsidRPr="00446A57">
        <w:tab/>
        <w:t>6</w:t>
      </w:r>
      <w:r w:rsidRPr="00446A57">
        <w:tab/>
      </w:r>
      <w:r w:rsidRPr="00446A57">
        <w:tab/>
        <w:t xml:space="preserve">  267</w:t>
      </w:r>
      <w:r w:rsidRPr="00446A57">
        <w:tab/>
      </w:r>
      <w:r w:rsidRPr="00446A57">
        <w:tab/>
        <w:t>74</w:t>
      </w:r>
      <w:r w:rsidRPr="00446A57">
        <w:tab/>
        <w:t xml:space="preserve">       13</w:t>
      </w:r>
    </w:p>
    <w:p w:rsidR="006076E2" w:rsidRPr="00446A57" w:rsidRDefault="006076E2" w:rsidP="006076E2">
      <w:r w:rsidRPr="00446A57">
        <w:t>Aché</w:t>
      </w:r>
      <w:r w:rsidRPr="00446A57">
        <w:tab/>
        <w:t xml:space="preserve">      67</w:t>
      </w:r>
      <w:r w:rsidRPr="00446A57">
        <w:tab/>
      </w:r>
      <w:r w:rsidRPr="00446A57">
        <w:tab/>
        <w:t xml:space="preserve">   83</w:t>
      </w:r>
      <w:r w:rsidRPr="00446A57">
        <w:tab/>
        <w:t xml:space="preserve">        30</w:t>
      </w:r>
      <w:r w:rsidRPr="00446A57">
        <w:tab/>
      </w:r>
      <w:r w:rsidRPr="00446A57">
        <w:tab/>
        <w:t xml:space="preserve">    55</w:t>
      </w:r>
      <w:r w:rsidRPr="00446A57">
        <w:tab/>
      </w:r>
      <w:r w:rsidRPr="00446A57">
        <w:tab/>
        <w:t>45</w:t>
      </w:r>
      <w:r w:rsidRPr="00446A57">
        <w:tab/>
        <w:t xml:space="preserve">       34</w:t>
      </w:r>
    </w:p>
    <w:p w:rsidR="006076E2" w:rsidRPr="00446A57" w:rsidRDefault="006076E2" w:rsidP="006076E2">
      <w:r w:rsidRPr="00446A57">
        <w:t>Suruí</w:t>
      </w:r>
      <w:r w:rsidRPr="00446A57">
        <w:tab/>
        <w:t xml:space="preserve">    384</w:t>
      </w:r>
      <w:r w:rsidRPr="00446A57">
        <w:tab/>
      </w:r>
      <w:r w:rsidRPr="00446A57">
        <w:tab/>
        <w:t xml:space="preserve">   21</w:t>
      </w:r>
      <w:r w:rsidRPr="00446A57">
        <w:tab/>
        <w:t xml:space="preserve">          2</w:t>
      </w:r>
      <w:r w:rsidRPr="00446A57">
        <w:tab/>
      </w:r>
      <w:r w:rsidRPr="00446A57">
        <w:tab/>
        <w:t xml:space="preserve">  336</w:t>
      </w:r>
      <w:r w:rsidRPr="00446A57">
        <w:tab/>
        <w:t xml:space="preserve">          15               2</w:t>
      </w:r>
    </w:p>
    <w:p w:rsidR="006076E2" w:rsidRPr="00446A57" w:rsidRDefault="006076E2" w:rsidP="006076E2">
      <w:r w:rsidRPr="00446A57">
        <w:t xml:space="preserve">Ese </w:t>
      </w:r>
      <w:proofErr w:type="spellStart"/>
      <w:r w:rsidRPr="00446A57">
        <w:t>Ejá</w:t>
      </w:r>
      <w:proofErr w:type="spellEnd"/>
      <w:r w:rsidRPr="00446A57">
        <w:t xml:space="preserve">    22</w:t>
      </w:r>
      <w:r w:rsidRPr="00446A57">
        <w:tab/>
      </w:r>
      <w:r w:rsidRPr="00446A57">
        <w:tab/>
        <w:t xml:space="preserve">   19</w:t>
      </w:r>
      <w:r w:rsidRPr="00446A57">
        <w:tab/>
        <w:t xml:space="preserve">          2</w:t>
      </w:r>
      <w:r w:rsidRPr="00446A57">
        <w:tab/>
      </w:r>
      <w:r w:rsidRPr="00446A57">
        <w:tab/>
        <w:t xml:space="preserve">    42</w:t>
      </w:r>
      <w:r w:rsidRPr="00446A57">
        <w:tab/>
        <w:t xml:space="preserve">          16</w:t>
      </w:r>
      <w:r w:rsidRPr="00446A57">
        <w:tab/>
        <w:t xml:space="preserve">        4</w:t>
      </w:r>
    </w:p>
    <w:p w:rsidR="006076E2" w:rsidRPr="00446A57" w:rsidRDefault="006076E2" w:rsidP="006076E2">
      <w:r w:rsidRPr="00446A57">
        <w:t>Totals</w:t>
      </w:r>
      <w:r w:rsidRPr="00446A57">
        <w:tab/>
        <w:t xml:space="preserve">    761</w:t>
      </w:r>
      <w:r w:rsidRPr="00446A57">
        <w:tab/>
      </w:r>
      <w:r w:rsidRPr="00446A57">
        <w:tab/>
        <w:t xml:space="preserve"> 214</w:t>
      </w:r>
      <w:r w:rsidRPr="00446A57">
        <w:tab/>
        <w:t xml:space="preserve">        40</w:t>
      </w:r>
      <w:r w:rsidRPr="00446A57">
        <w:tab/>
      </w:r>
      <w:r w:rsidRPr="00446A57">
        <w:tab/>
        <w:t xml:space="preserve">  700</w:t>
      </w:r>
      <w:r w:rsidRPr="00446A57">
        <w:tab/>
        <w:t xml:space="preserve">        150</w:t>
      </w:r>
      <w:r w:rsidRPr="00446A57">
        <w:tab/>
        <w:t xml:space="preserve">      53</w:t>
      </w:r>
    </w:p>
    <w:p w:rsidR="006076E2" w:rsidRPr="00446A57" w:rsidRDefault="006076E2" w:rsidP="006076E2"/>
    <w:p w:rsidR="006076E2" w:rsidRPr="00446A57" w:rsidRDefault="007A1CDF" w:rsidP="006076E2">
      <w:pPr>
        <w:spacing w:line="480" w:lineRule="auto"/>
      </w:pPr>
      <w:r w:rsidRPr="00446A57">
        <w:t>Table 1: Numbers and sexes</w:t>
      </w:r>
      <w:r w:rsidR="000D0517" w:rsidRPr="00446A57">
        <w:t xml:space="preserve"> </w:t>
      </w:r>
      <w:r w:rsidR="006076E2" w:rsidRPr="00446A57">
        <w:t>of live births</w:t>
      </w:r>
      <w:r w:rsidRPr="00446A57">
        <w:t xml:space="preserve"> by tribe</w:t>
      </w:r>
      <w:r w:rsidR="000D0517" w:rsidRPr="00446A57">
        <w:t>,</w:t>
      </w:r>
      <w:r w:rsidR="006076E2" w:rsidRPr="00446A57">
        <w:t xml:space="preserve"> cross tabulated with number of </w:t>
      </w:r>
      <w:r w:rsidRPr="00446A57">
        <w:t xml:space="preserve">secondary </w:t>
      </w:r>
      <w:r w:rsidR="006076E2" w:rsidRPr="00446A57">
        <w:t>fathers to whom the births were attributed.</w:t>
      </w:r>
    </w:p>
    <w:p w:rsidR="00F33657" w:rsidRPr="00446A57" w:rsidRDefault="00F33657" w:rsidP="006076E2">
      <w:pPr>
        <w:spacing w:line="480" w:lineRule="auto"/>
      </w:pPr>
    </w:p>
    <w:p w:rsidR="00B76C49" w:rsidRPr="00446A57" w:rsidRDefault="00B76C49" w:rsidP="006076E2">
      <w:pPr>
        <w:spacing w:line="480" w:lineRule="auto"/>
      </w:pPr>
    </w:p>
    <w:p w:rsidR="00B76C49" w:rsidRPr="00446A57" w:rsidRDefault="00B76C49" w:rsidP="006076E2">
      <w:pPr>
        <w:spacing w:line="480" w:lineRule="auto"/>
      </w:pPr>
    </w:p>
    <w:p w:rsidR="00B76C49" w:rsidRPr="00446A57" w:rsidRDefault="00B76C49" w:rsidP="006076E2">
      <w:pPr>
        <w:spacing w:line="480" w:lineRule="auto"/>
      </w:pPr>
    </w:p>
    <w:p w:rsidR="00B76C49" w:rsidRPr="00446A57" w:rsidRDefault="00B76C49" w:rsidP="006076E2">
      <w:pPr>
        <w:spacing w:line="480" w:lineRule="auto"/>
      </w:pPr>
    </w:p>
    <w:p w:rsidR="00B76C49" w:rsidRPr="00446A57" w:rsidRDefault="00B76C49" w:rsidP="006076E2">
      <w:pPr>
        <w:spacing w:line="480" w:lineRule="auto"/>
      </w:pPr>
    </w:p>
    <w:p w:rsidR="00B76C49" w:rsidRPr="00446A57" w:rsidRDefault="00B76C49" w:rsidP="006076E2">
      <w:pPr>
        <w:spacing w:line="480" w:lineRule="auto"/>
      </w:pPr>
    </w:p>
    <w:p w:rsidR="00B76C49" w:rsidRPr="00446A57" w:rsidRDefault="00B76C49" w:rsidP="006076E2">
      <w:pPr>
        <w:spacing w:line="480" w:lineRule="auto"/>
      </w:pPr>
    </w:p>
    <w:p w:rsidR="00B76C49" w:rsidRPr="00446A57" w:rsidRDefault="00B76C49" w:rsidP="006076E2">
      <w:pPr>
        <w:spacing w:line="480" w:lineRule="auto"/>
      </w:pPr>
    </w:p>
    <w:p w:rsidR="0062660E" w:rsidRPr="00446A57" w:rsidRDefault="0062660E" w:rsidP="0062660E">
      <w:pPr>
        <w:spacing w:line="480" w:lineRule="auto"/>
        <w:contextualSpacing/>
      </w:pPr>
      <w:r w:rsidRPr="00446A57">
        <w:tab/>
      </w:r>
      <w:r w:rsidRPr="00446A57">
        <w:tab/>
        <w:t xml:space="preserve"> Number of Secondary Fathers</w:t>
      </w:r>
    </w:p>
    <w:p w:rsidR="0062660E" w:rsidRPr="00446A57" w:rsidRDefault="0062660E" w:rsidP="0062660E">
      <w:pPr>
        <w:spacing w:line="480" w:lineRule="auto"/>
        <w:contextualSpacing/>
        <w:rPr>
          <w:u w:val="single"/>
        </w:rPr>
      </w:pPr>
      <w:r w:rsidRPr="00446A57">
        <w:tab/>
      </w:r>
      <w:r w:rsidRPr="00446A57">
        <w:tab/>
      </w:r>
      <w:r w:rsidRPr="00446A57">
        <w:rPr>
          <w:u w:val="single"/>
        </w:rPr>
        <w:t>0</w:t>
      </w:r>
      <w:r w:rsidRPr="00446A57">
        <w:rPr>
          <w:u w:val="single"/>
        </w:rPr>
        <w:tab/>
      </w:r>
      <w:r w:rsidRPr="00446A57">
        <w:rPr>
          <w:u w:val="single"/>
        </w:rPr>
        <w:tab/>
        <w:t>1</w:t>
      </w:r>
      <w:r w:rsidRPr="00446A57">
        <w:rPr>
          <w:u w:val="single"/>
        </w:rPr>
        <w:tab/>
      </w:r>
      <w:r w:rsidRPr="00446A57">
        <w:rPr>
          <w:u w:val="single"/>
        </w:rPr>
        <w:tab/>
        <w:t>2 or more</w:t>
      </w:r>
    </w:p>
    <w:p w:rsidR="0062660E" w:rsidRPr="00446A57" w:rsidRDefault="0062660E" w:rsidP="0062660E">
      <w:pPr>
        <w:spacing w:line="480" w:lineRule="auto"/>
        <w:contextualSpacing/>
      </w:pPr>
      <w:r w:rsidRPr="00446A57">
        <w:t>Barí</w:t>
      </w:r>
      <w:r w:rsidRPr="00446A57">
        <w:tab/>
      </w:r>
      <w:r w:rsidRPr="00446A57">
        <w:tab/>
        <w:t>1.08</w:t>
      </w:r>
      <w:r w:rsidRPr="00446A57">
        <w:tab/>
      </w:r>
      <w:r w:rsidRPr="00446A57">
        <w:tab/>
        <w:t>1.23</w:t>
      </w:r>
      <w:r w:rsidRPr="00446A57">
        <w:tab/>
      </w:r>
      <w:r w:rsidRPr="00446A57">
        <w:tab/>
        <w:t xml:space="preserve">    0.23</w:t>
      </w:r>
    </w:p>
    <w:p w:rsidR="0062660E" w:rsidRPr="00446A57" w:rsidRDefault="0062660E" w:rsidP="0062660E">
      <w:pPr>
        <w:spacing w:line="480" w:lineRule="auto"/>
        <w:contextualSpacing/>
      </w:pPr>
      <w:r w:rsidRPr="00446A57">
        <w:t>Aché</w:t>
      </w:r>
      <w:r w:rsidRPr="00446A57">
        <w:tab/>
      </w:r>
      <w:r w:rsidRPr="00446A57">
        <w:tab/>
        <w:t>1.23</w:t>
      </w:r>
      <w:r w:rsidRPr="00446A57">
        <w:tab/>
      </w:r>
      <w:r w:rsidRPr="00446A57">
        <w:tab/>
        <w:t>1.84</w:t>
      </w:r>
      <w:r w:rsidRPr="00446A57">
        <w:tab/>
      </w:r>
      <w:r w:rsidRPr="00446A57">
        <w:tab/>
        <w:t xml:space="preserve">    0.88</w:t>
      </w:r>
    </w:p>
    <w:p w:rsidR="0062660E" w:rsidRPr="00446A57" w:rsidRDefault="0062660E" w:rsidP="0062660E">
      <w:pPr>
        <w:spacing w:line="480" w:lineRule="auto"/>
        <w:contextualSpacing/>
      </w:pPr>
      <w:r w:rsidRPr="00446A57">
        <w:t>Suruí</w:t>
      </w:r>
      <w:r w:rsidRPr="00446A57">
        <w:tab/>
      </w:r>
      <w:r w:rsidRPr="00446A57">
        <w:tab/>
        <w:t>1.14</w:t>
      </w:r>
      <w:r w:rsidRPr="00446A57">
        <w:tab/>
      </w:r>
      <w:r w:rsidRPr="00446A57">
        <w:tab/>
        <w:t>1.40</w:t>
      </w:r>
      <w:r w:rsidRPr="00446A57">
        <w:tab/>
      </w:r>
      <w:r w:rsidRPr="00446A57">
        <w:tab/>
        <w:t xml:space="preserve">    1.00</w:t>
      </w:r>
    </w:p>
    <w:p w:rsidR="0062660E" w:rsidRPr="00446A57" w:rsidRDefault="0062660E" w:rsidP="0062660E">
      <w:pPr>
        <w:spacing w:line="480" w:lineRule="auto"/>
        <w:contextualSpacing/>
      </w:pPr>
      <w:r w:rsidRPr="00446A57">
        <w:t>Ese Eja</w:t>
      </w:r>
      <w:r w:rsidRPr="00446A57">
        <w:tab/>
        <w:t>0.52</w:t>
      </w:r>
      <w:r w:rsidRPr="00446A57">
        <w:tab/>
      </w:r>
      <w:r w:rsidRPr="00446A57">
        <w:tab/>
        <w:t>1.19</w:t>
      </w:r>
      <w:r w:rsidRPr="00446A57">
        <w:tab/>
      </w:r>
      <w:r w:rsidRPr="00446A57">
        <w:tab/>
        <w:t xml:space="preserve">    0.50</w:t>
      </w:r>
    </w:p>
    <w:p w:rsidR="0062660E" w:rsidRPr="00446A57" w:rsidRDefault="0062660E" w:rsidP="0062660E">
      <w:pPr>
        <w:spacing w:line="480" w:lineRule="auto"/>
        <w:contextualSpacing/>
      </w:pPr>
    </w:p>
    <w:p w:rsidR="0062660E" w:rsidRPr="00446A57" w:rsidRDefault="0062660E" w:rsidP="0062660E">
      <w:pPr>
        <w:spacing w:line="480" w:lineRule="auto"/>
        <w:contextualSpacing/>
      </w:pPr>
      <w:r w:rsidRPr="00446A57">
        <w:t>Table 2: Secondary sex ratios by tribe and number of fathers to whom births were attributed</w:t>
      </w:r>
    </w:p>
    <w:p w:rsidR="00F33657" w:rsidRPr="00446A57" w:rsidRDefault="00F33657" w:rsidP="006076E2">
      <w:pPr>
        <w:spacing w:line="480" w:lineRule="auto"/>
      </w:pPr>
    </w:p>
    <w:p w:rsidR="00067967" w:rsidRPr="00446A57" w:rsidRDefault="00067967" w:rsidP="006076E2">
      <w:pPr>
        <w:spacing w:line="480" w:lineRule="auto"/>
      </w:pPr>
    </w:p>
    <w:p w:rsidR="00B76C49" w:rsidRPr="00446A57" w:rsidRDefault="00B76C49" w:rsidP="006076E2">
      <w:pPr>
        <w:spacing w:line="480" w:lineRule="auto"/>
      </w:pPr>
    </w:p>
    <w:p w:rsidR="00B76C49" w:rsidRPr="00446A57" w:rsidRDefault="00B76C49" w:rsidP="006076E2">
      <w:pPr>
        <w:spacing w:line="480" w:lineRule="auto"/>
      </w:pPr>
    </w:p>
    <w:p w:rsidR="00B76C49" w:rsidRPr="00446A57" w:rsidRDefault="00B76C49" w:rsidP="006076E2">
      <w:pPr>
        <w:spacing w:line="480" w:lineRule="auto"/>
      </w:pPr>
    </w:p>
    <w:p w:rsidR="00B76C49" w:rsidRPr="00446A57" w:rsidRDefault="00B76C49" w:rsidP="006076E2">
      <w:pPr>
        <w:spacing w:line="480" w:lineRule="auto"/>
      </w:pPr>
    </w:p>
    <w:p w:rsidR="00B76C49" w:rsidRPr="00446A57" w:rsidRDefault="00B76C49" w:rsidP="006076E2">
      <w:pPr>
        <w:spacing w:line="480" w:lineRule="auto"/>
      </w:pPr>
    </w:p>
    <w:p w:rsidR="00940BF6" w:rsidRPr="00446A57" w:rsidRDefault="00552BBC" w:rsidP="00940BF6">
      <w:r w:rsidRPr="00446A57">
        <w:tab/>
      </w:r>
      <w:r w:rsidR="00940BF6" w:rsidRPr="00446A57">
        <w:tab/>
      </w:r>
      <w:r w:rsidR="00940BF6" w:rsidRPr="00446A57">
        <w:tab/>
      </w:r>
      <w:r w:rsidR="00940BF6" w:rsidRPr="00446A57">
        <w:tab/>
      </w:r>
    </w:p>
    <w:p w:rsidR="00940BF6" w:rsidRPr="00446A57" w:rsidRDefault="00940BF6" w:rsidP="00940BF6">
      <w:pPr>
        <w:ind w:firstLine="720"/>
      </w:pPr>
      <w:r w:rsidRPr="00446A57">
        <w:t xml:space="preserve">     </w:t>
      </w:r>
      <w:r w:rsidRPr="00446A57">
        <w:tab/>
        <w:t xml:space="preserve">     Number of Secondary Fathers</w:t>
      </w:r>
      <w:r w:rsidRPr="00446A57">
        <w:tab/>
      </w:r>
    </w:p>
    <w:p w:rsidR="00940BF6" w:rsidRPr="00446A57" w:rsidRDefault="00940BF6" w:rsidP="00940BF6">
      <w:pPr>
        <w:ind w:left="720" w:firstLine="720"/>
        <w:rPr>
          <w:u w:val="single"/>
        </w:rPr>
      </w:pPr>
      <w:r w:rsidRPr="00446A57">
        <w:rPr>
          <w:u w:val="single"/>
        </w:rPr>
        <w:t xml:space="preserve">      0</w:t>
      </w:r>
      <w:r w:rsidRPr="00446A57">
        <w:rPr>
          <w:u w:val="single"/>
        </w:rPr>
        <w:tab/>
        <w:t xml:space="preserve">              1</w:t>
      </w:r>
      <w:r w:rsidRPr="00446A57">
        <w:rPr>
          <w:u w:val="single"/>
        </w:rPr>
        <w:tab/>
        <w:t xml:space="preserve">         2 or more</w:t>
      </w:r>
    </w:p>
    <w:p w:rsidR="00940BF6" w:rsidRPr="00446A57" w:rsidRDefault="00940BF6" w:rsidP="00940BF6">
      <w:r w:rsidRPr="00446A57">
        <w:t xml:space="preserve">Males    </w:t>
      </w:r>
      <w:r w:rsidRPr="00446A57">
        <w:tab/>
        <w:t xml:space="preserve">  761</w:t>
      </w:r>
      <w:r w:rsidRPr="00446A57">
        <w:tab/>
      </w:r>
      <w:r w:rsidRPr="00446A57">
        <w:tab/>
        <w:t xml:space="preserve"> 214</w:t>
      </w:r>
      <w:r w:rsidRPr="00446A57">
        <w:tab/>
        <w:t xml:space="preserve">            40</w:t>
      </w:r>
      <w:r w:rsidRPr="00446A57">
        <w:tab/>
      </w:r>
      <w:r w:rsidRPr="00446A57">
        <w:tab/>
      </w:r>
    </w:p>
    <w:p w:rsidR="00940BF6" w:rsidRPr="00446A57" w:rsidRDefault="00940BF6" w:rsidP="00940BF6">
      <w:r w:rsidRPr="00446A57">
        <w:t xml:space="preserve">Females </w:t>
      </w:r>
      <w:r w:rsidRPr="00446A57">
        <w:tab/>
        <w:t xml:space="preserve">  700</w:t>
      </w:r>
      <w:r w:rsidRPr="00446A57">
        <w:tab/>
        <w:t xml:space="preserve">           150</w:t>
      </w:r>
      <w:r w:rsidRPr="00446A57">
        <w:tab/>
        <w:t xml:space="preserve">            53</w:t>
      </w:r>
    </w:p>
    <w:p w:rsidR="000A3ECC" w:rsidRPr="00446A57" w:rsidRDefault="000A3ECC" w:rsidP="00E47BE5">
      <w:pPr>
        <w:spacing w:line="480" w:lineRule="auto"/>
        <w:contextualSpacing/>
      </w:pPr>
    </w:p>
    <w:p w:rsidR="0062660E" w:rsidRPr="00446A57" w:rsidRDefault="0062660E" w:rsidP="0062660E">
      <w:pPr>
        <w:spacing w:line="480" w:lineRule="auto"/>
        <w:contextualSpacing/>
      </w:pPr>
      <w:r w:rsidRPr="00446A57">
        <w:t>Table 3: Pooled numbers and sexes of live births, cross tabulated with number of secondary fathers to whom the births were attributed.</w:t>
      </w:r>
    </w:p>
    <w:p w:rsidR="00B76C49" w:rsidRPr="00446A57" w:rsidRDefault="00B76C49" w:rsidP="0062660E">
      <w:pPr>
        <w:spacing w:line="480" w:lineRule="auto"/>
        <w:contextualSpacing/>
      </w:pPr>
    </w:p>
    <w:p w:rsidR="00B76C49" w:rsidRPr="00446A57" w:rsidRDefault="00B76C49" w:rsidP="0062660E">
      <w:pPr>
        <w:spacing w:line="480" w:lineRule="auto"/>
        <w:contextualSpacing/>
      </w:pPr>
    </w:p>
    <w:p w:rsidR="00B76C49" w:rsidRPr="00446A57" w:rsidRDefault="00B76C49" w:rsidP="0062660E">
      <w:pPr>
        <w:spacing w:line="480" w:lineRule="auto"/>
        <w:contextualSpacing/>
      </w:pPr>
    </w:p>
    <w:p w:rsidR="00B76C49" w:rsidRPr="00446A57" w:rsidRDefault="00B76C49" w:rsidP="0062660E">
      <w:pPr>
        <w:spacing w:line="480" w:lineRule="auto"/>
        <w:contextualSpacing/>
      </w:pPr>
    </w:p>
    <w:p w:rsidR="00B76C49" w:rsidRPr="00446A57" w:rsidRDefault="00B76C49" w:rsidP="0062660E">
      <w:pPr>
        <w:spacing w:line="480" w:lineRule="auto"/>
        <w:contextualSpacing/>
      </w:pPr>
    </w:p>
    <w:p w:rsidR="00B76C49" w:rsidRPr="00446A57" w:rsidRDefault="00B76C49" w:rsidP="0062660E">
      <w:pPr>
        <w:spacing w:line="480" w:lineRule="auto"/>
        <w:contextualSpacing/>
      </w:pPr>
    </w:p>
    <w:p w:rsidR="00B76C49" w:rsidRPr="00446A57" w:rsidRDefault="00B76C49" w:rsidP="00E47BE5">
      <w:pPr>
        <w:spacing w:line="480" w:lineRule="auto"/>
        <w:contextualSpacing/>
        <w:rPr>
          <w:noProof/>
        </w:rPr>
      </w:pPr>
    </w:p>
    <w:p w:rsidR="00B76C49" w:rsidRPr="00446A57" w:rsidRDefault="00B76C49" w:rsidP="00E47BE5">
      <w:pPr>
        <w:spacing w:line="480" w:lineRule="auto"/>
        <w:contextualSpacing/>
        <w:rPr>
          <w:noProof/>
        </w:rPr>
      </w:pPr>
    </w:p>
    <w:p w:rsidR="00B76C49" w:rsidRPr="00446A57" w:rsidRDefault="00B76C49" w:rsidP="00E47BE5">
      <w:pPr>
        <w:spacing w:line="480" w:lineRule="auto"/>
        <w:contextualSpacing/>
        <w:rPr>
          <w:noProof/>
        </w:rPr>
      </w:pPr>
    </w:p>
    <w:p w:rsidR="00B76C49" w:rsidRPr="00446A57" w:rsidRDefault="00B76C49" w:rsidP="00E47BE5">
      <w:pPr>
        <w:spacing w:line="480" w:lineRule="auto"/>
        <w:contextualSpacing/>
        <w:rPr>
          <w:noProof/>
        </w:rPr>
      </w:pPr>
    </w:p>
    <w:p w:rsidR="00B76C49" w:rsidRPr="00446A57" w:rsidRDefault="00B76C49" w:rsidP="00E47BE5">
      <w:pPr>
        <w:spacing w:line="480" w:lineRule="auto"/>
        <w:contextualSpacing/>
        <w:rPr>
          <w:noProof/>
        </w:rPr>
      </w:pPr>
    </w:p>
    <w:p w:rsidR="00B76C49" w:rsidRPr="00446A57" w:rsidRDefault="00B76C49" w:rsidP="00E47BE5">
      <w:pPr>
        <w:spacing w:line="480" w:lineRule="auto"/>
        <w:contextualSpacing/>
        <w:rPr>
          <w:noProof/>
        </w:rPr>
      </w:pPr>
    </w:p>
    <w:p w:rsidR="00B76C49" w:rsidRPr="00446A57" w:rsidRDefault="00B76C49" w:rsidP="00B76C49">
      <w:pPr>
        <w:spacing w:line="480" w:lineRule="auto"/>
        <w:contextualSpacing/>
        <w:jc w:val="center"/>
        <w:rPr>
          <w:noProof/>
        </w:rPr>
      </w:pPr>
      <w:r w:rsidRPr="00446A57">
        <w:rPr>
          <w:noProof/>
        </w:rPr>
        <w:t>Figure 1</w:t>
      </w:r>
    </w:p>
    <w:p w:rsidR="00B76C49" w:rsidRPr="00446A57" w:rsidRDefault="00B76C49" w:rsidP="00E47BE5">
      <w:pPr>
        <w:spacing w:line="480" w:lineRule="auto"/>
        <w:contextualSpacing/>
        <w:rPr>
          <w:noProof/>
        </w:rPr>
      </w:pPr>
    </w:p>
    <w:p w:rsidR="00841CB3" w:rsidRPr="00446A57" w:rsidRDefault="00300BF7" w:rsidP="00E47BE5">
      <w:pPr>
        <w:spacing w:line="480" w:lineRule="auto"/>
        <w:contextualSpacing/>
      </w:pPr>
      <w:r w:rsidRPr="00446A57">
        <w:rPr>
          <w:noProof/>
        </w:rPr>
        <w:drawing>
          <wp:inline distT="0" distB="0" distL="0" distR="0">
            <wp:extent cx="5546725" cy="4230370"/>
            <wp:effectExtent l="0" t="0" r="0" b="0"/>
            <wp:docPr id="3" name="Picture 3" descr="C:\Users\Stephen\Desktop\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n\Desktop\image0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6725" cy="4230370"/>
                    </a:xfrm>
                    <a:prstGeom prst="rect">
                      <a:avLst/>
                    </a:prstGeom>
                    <a:noFill/>
                    <a:ln>
                      <a:noFill/>
                    </a:ln>
                  </pic:spPr>
                </pic:pic>
              </a:graphicData>
            </a:graphic>
          </wp:inline>
        </w:drawing>
      </w:r>
    </w:p>
    <w:p w:rsidR="00F33657" w:rsidRPr="00446A57" w:rsidRDefault="00F33657" w:rsidP="004F1B4E">
      <w:pPr>
        <w:spacing w:line="480" w:lineRule="auto"/>
        <w:contextualSpacing/>
      </w:pPr>
    </w:p>
    <w:p w:rsidR="00F33657" w:rsidRPr="00446A57" w:rsidRDefault="00F33657" w:rsidP="004F1B4E">
      <w:pPr>
        <w:spacing w:line="480" w:lineRule="auto"/>
        <w:contextualSpacing/>
      </w:pPr>
    </w:p>
    <w:p w:rsidR="005135DC" w:rsidRPr="00446A57" w:rsidRDefault="005135DC" w:rsidP="004F1B4E">
      <w:pPr>
        <w:spacing w:line="480" w:lineRule="auto"/>
        <w:contextualSpacing/>
      </w:pPr>
    </w:p>
    <w:p w:rsidR="005135DC" w:rsidRPr="00446A57" w:rsidRDefault="005135DC" w:rsidP="004F1B4E">
      <w:pPr>
        <w:spacing w:line="480" w:lineRule="auto"/>
        <w:contextualSpacing/>
      </w:pPr>
    </w:p>
    <w:p w:rsidR="005135DC" w:rsidRPr="00446A57" w:rsidRDefault="005135DC" w:rsidP="004F1B4E">
      <w:pPr>
        <w:spacing w:line="480" w:lineRule="auto"/>
        <w:contextualSpacing/>
      </w:pPr>
    </w:p>
    <w:p w:rsidR="00515AC4" w:rsidRPr="00446A57" w:rsidRDefault="00515AC4" w:rsidP="00515AC4">
      <w:pPr>
        <w:spacing w:line="480" w:lineRule="auto"/>
        <w:contextualSpacing/>
      </w:pPr>
      <w:r w:rsidRPr="00446A57">
        <w:lastRenderedPageBreak/>
        <w:t xml:space="preserve">Figure 1: </w:t>
      </w:r>
      <w:proofErr w:type="spellStart"/>
      <w:r w:rsidRPr="00446A57">
        <w:t>Scattergram</w:t>
      </w:r>
      <w:proofErr w:type="spellEnd"/>
      <w:r w:rsidRPr="00446A57">
        <w:t xml:space="preserve"> of number of children born to Barí fathers vs. height in cm of the fathers; intercept = -78.8; slope = 0.57; r</w:t>
      </w:r>
      <w:r w:rsidRPr="00446A57">
        <w:rPr>
          <w:vertAlign w:val="superscript"/>
        </w:rPr>
        <w:t xml:space="preserve">2 </w:t>
      </w:r>
      <w:r w:rsidRPr="00446A57">
        <w:t xml:space="preserve">= 0.23; p = 0.05.  </w:t>
      </w:r>
    </w:p>
    <w:p w:rsidR="00F33657" w:rsidRPr="00446A57" w:rsidRDefault="00F33657" w:rsidP="004F1B4E">
      <w:pPr>
        <w:spacing w:line="480" w:lineRule="auto"/>
        <w:contextualSpacing/>
      </w:pPr>
    </w:p>
    <w:p w:rsidR="00F33657" w:rsidRPr="00446A57" w:rsidRDefault="00F33657" w:rsidP="004F1B4E">
      <w:pPr>
        <w:spacing w:line="480" w:lineRule="auto"/>
        <w:contextualSpacing/>
      </w:pPr>
    </w:p>
    <w:p w:rsidR="00F33657" w:rsidRPr="00446A57" w:rsidRDefault="00F33657" w:rsidP="004F1B4E">
      <w:pPr>
        <w:spacing w:line="480" w:lineRule="auto"/>
        <w:contextualSpacing/>
      </w:pPr>
    </w:p>
    <w:p w:rsidR="00F33657" w:rsidRPr="00446A57" w:rsidRDefault="00F33657" w:rsidP="004F1B4E">
      <w:pPr>
        <w:spacing w:line="480" w:lineRule="auto"/>
        <w:contextualSpacing/>
      </w:pPr>
    </w:p>
    <w:p w:rsidR="00DD7395" w:rsidRPr="00446A57" w:rsidRDefault="00DD7395" w:rsidP="00C330C9">
      <w:pPr>
        <w:spacing w:before="100" w:beforeAutospacing="1" w:after="100" w:afterAutospacing="1" w:line="480" w:lineRule="auto"/>
        <w:contextualSpacing/>
        <w:rPr>
          <w:rFonts w:eastAsia="Times New Roman"/>
        </w:rPr>
      </w:pPr>
    </w:p>
    <w:p w:rsidR="005135DC" w:rsidRPr="00446A57" w:rsidRDefault="005135DC" w:rsidP="00C330C9">
      <w:pPr>
        <w:spacing w:before="100" w:beforeAutospacing="1" w:after="100" w:afterAutospacing="1" w:line="480" w:lineRule="auto"/>
        <w:contextualSpacing/>
        <w:rPr>
          <w:rFonts w:eastAsia="Times New Roman"/>
        </w:rPr>
      </w:pPr>
    </w:p>
    <w:p w:rsidR="005135DC" w:rsidRPr="00446A57" w:rsidRDefault="005135DC" w:rsidP="00C330C9">
      <w:pPr>
        <w:spacing w:before="100" w:beforeAutospacing="1" w:after="100" w:afterAutospacing="1" w:line="480" w:lineRule="auto"/>
        <w:contextualSpacing/>
        <w:rPr>
          <w:rFonts w:eastAsia="Times New Roman"/>
        </w:rPr>
      </w:pPr>
    </w:p>
    <w:p w:rsidR="005135DC" w:rsidRPr="00446A57" w:rsidRDefault="005135DC" w:rsidP="00C330C9">
      <w:pPr>
        <w:spacing w:before="100" w:beforeAutospacing="1" w:after="100" w:afterAutospacing="1" w:line="480" w:lineRule="auto"/>
        <w:contextualSpacing/>
        <w:rPr>
          <w:rFonts w:eastAsia="Times New Roman"/>
        </w:rPr>
      </w:pPr>
    </w:p>
    <w:p w:rsidR="005135DC" w:rsidRPr="00446A57" w:rsidRDefault="005135DC" w:rsidP="00C330C9">
      <w:pPr>
        <w:spacing w:before="100" w:beforeAutospacing="1" w:after="100" w:afterAutospacing="1" w:line="480" w:lineRule="auto"/>
        <w:contextualSpacing/>
        <w:rPr>
          <w:rFonts w:eastAsia="Times New Roman"/>
        </w:rPr>
      </w:pPr>
    </w:p>
    <w:p w:rsidR="005B62C3" w:rsidRPr="00446A57" w:rsidRDefault="005B62C3" w:rsidP="00C330C9">
      <w:pPr>
        <w:spacing w:before="100" w:beforeAutospacing="1" w:after="100" w:afterAutospacing="1" w:line="480" w:lineRule="auto"/>
        <w:contextualSpacing/>
        <w:rPr>
          <w:rFonts w:eastAsia="Times New Roman"/>
        </w:rPr>
      </w:pPr>
    </w:p>
    <w:p w:rsidR="005135DC" w:rsidRPr="00446A57" w:rsidRDefault="005135DC" w:rsidP="00C330C9">
      <w:pPr>
        <w:spacing w:before="100" w:beforeAutospacing="1" w:after="100" w:afterAutospacing="1" w:line="480" w:lineRule="auto"/>
        <w:contextualSpacing/>
        <w:rPr>
          <w:rFonts w:eastAsia="Times New Roman"/>
        </w:rPr>
      </w:pPr>
    </w:p>
    <w:p w:rsidR="005135DC" w:rsidRPr="00446A57" w:rsidRDefault="005135DC" w:rsidP="00C330C9">
      <w:pPr>
        <w:spacing w:before="100" w:beforeAutospacing="1" w:after="100" w:afterAutospacing="1" w:line="480" w:lineRule="auto"/>
        <w:contextualSpacing/>
        <w:rPr>
          <w:rFonts w:eastAsia="Times New Roman"/>
        </w:rPr>
      </w:pPr>
    </w:p>
    <w:p w:rsidR="005135DC" w:rsidRPr="00446A57" w:rsidRDefault="005135DC" w:rsidP="00C330C9">
      <w:pPr>
        <w:spacing w:before="100" w:beforeAutospacing="1" w:after="100" w:afterAutospacing="1" w:line="480" w:lineRule="auto"/>
        <w:contextualSpacing/>
        <w:rPr>
          <w:rFonts w:eastAsia="Times New Roman"/>
        </w:rPr>
      </w:pPr>
    </w:p>
    <w:p w:rsidR="005135DC" w:rsidRPr="00446A57" w:rsidRDefault="005135DC" w:rsidP="00C330C9">
      <w:pPr>
        <w:spacing w:before="100" w:beforeAutospacing="1" w:after="100" w:afterAutospacing="1" w:line="480" w:lineRule="auto"/>
        <w:contextualSpacing/>
        <w:rPr>
          <w:rFonts w:eastAsia="Times New Roman"/>
        </w:rPr>
      </w:pPr>
    </w:p>
    <w:p w:rsidR="005135DC" w:rsidRPr="00446A57" w:rsidRDefault="005135DC" w:rsidP="00C330C9">
      <w:pPr>
        <w:spacing w:before="100" w:beforeAutospacing="1" w:after="100" w:afterAutospacing="1" w:line="480" w:lineRule="auto"/>
        <w:contextualSpacing/>
        <w:rPr>
          <w:rFonts w:eastAsia="Times New Roman"/>
        </w:rPr>
      </w:pPr>
    </w:p>
    <w:p w:rsidR="005135DC" w:rsidRPr="00446A57" w:rsidRDefault="005135DC" w:rsidP="00C330C9">
      <w:pPr>
        <w:spacing w:before="100" w:beforeAutospacing="1" w:after="100" w:afterAutospacing="1" w:line="480" w:lineRule="auto"/>
        <w:contextualSpacing/>
        <w:rPr>
          <w:rFonts w:eastAsia="Times New Roman"/>
        </w:rPr>
      </w:pPr>
    </w:p>
    <w:p w:rsidR="005135DC" w:rsidRPr="00446A57" w:rsidRDefault="005135DC" w:rsidP="00C330C9">
      <w:pPr>
        <w:spacing w:before="100" w:beforeAutospacing="1" w:after="100" w:afterAutospacing="1" w:line="480" w:lineRule="auto"/>
        <w:contextualSpacing/>
        <w:rPr>
          <w:rFonts w:eastAsia="Times New Roman"/>
        </w:rPr>
      </w:pPr>
    </w:p>
    <w:p w:rsidR="005135DC" w:rsidRPr="00446A57" w:rsidRDefault="005135DC" w:rsidP="00C330C9">
      <w:pPr>
        <w:spacing w:before="100" w:beforeAutospacing="1" w:after="100" w:afterAutospacing="1" w:line="480" w:lineRule="auto"/>
        <w:contextualSpacing/>
        <w:rPr>
          <w:rFonts w:eastAsia="Times New Roman"/>
        </w:rPr>
      </w:pPr>
    </w:p>
    <w:p w:rsidR="004F1B4E" w:rsidRPr="00446A57" w:rsidRDefault="00B8076E" w:rsidP="00C330C9">
      <w:pPr>
        <w:spacing w:before="100" w:beforeAutospacing="1" w:after="100" w:afterAutospacing="1" w:line="480" w:lineRule="auto"/>
        <w:contextualSpacing/>
        <w:rPr>
          <w:rFonts w:eastAsia="Times New Roman"/>
        </w:rPr>
      </w:pPr>
      <w:r w:rsidRPr="00446A57">
        <w:rPr>
          <w:rFonts w:eastAsia="Times New Roman"/>
        </w:rPr>
        <w:lastRenderedPageBreak/>
        <w:t>References cited</w:t>
      </w:r>
      <w:r w:rsidR="00DD7395" w:rsidRPr="00446A57">
        <w:rPr>
          <w:rFonts w:eastAsia="Times New Roman"/>
        </w:rPr>
        <w:t>:</w:t>
      </w:r>
    </w:p>
    <w:p w:rsidR="009A2CE1" w:rsidRPr="00446A57" w:rsidRDefault="009A2CE1" w:rsidP="009A2CE1">
      <w:pPr>
        <w:spacing w:before="100" w:beforeAutospacing="1" w:after="100" w:afterAutospacing="1" w:line="480" w:lineRule="auto"/>
        <w:ind w:right="-475"/>
        <w:contextualSpacing/>
        <w:rPr>
          <w:rFonts w:eastAsia="Times New Roman"/>
        </w:rPr>
      </w:pPr>
      <w:proofErr w:type="spellStart"/>
      <w:r w:rsidRPr="00446A57">
        <w:rPr>
          <w:rFonts w:eastAsia="Times New Roman"/>
          <w:bCs/>
          <w:spacing w:val="-2"/>
        </w:rPr>
        <w:t>Alexiades</w:t>
      </w:r>
      <w:proofErr w:type="spellEnd"/>
      <w:r w:rsidRPr="00446A57">
        <w:rPr>
          <w:rFonts w:eastAsia="Times New Roman"/>
          <w:bCs/>
          <w:spacing w:val="-2"/>
        </w:rPr>
        <w:t xml:space="preserve"> M. and D. M. Peluso</w:t>
      </w:r>
      <w:r w:rsidR="00DD0925" w:rsidRPr="00446A57">
        <w:rPr>
          <w:rFonts w:eastAsia="Times New Roman"/>
          <w:bCs/>
          <w:spacing w:val="-2"/>
        </w:rPr>
        <w:t>.</w:t>
      </w:r>
      <w:r w:rsidRPr="00446A57">
        <w:rPr>
          <w:rFonts w:eastAsia="Times New Roman"/>
          <w:bCs/>
        </w:rPr>
        <w:t xml:space="preserve"> </w:t>
      </w:r>
      <w:r w:rsidR="003B4739" w:rsidRPr="00446A57">
        <w:rPr>
          <w:rFonts w:eastAsia="Times New Roman"/>
          <w:bCs/>
          <w:spacing w:val="-2"/>
        </w:rPr>
        <w:t>2009.</w:t>
      </w:r>
      <w:r w:rsidRPr="00446A57">
        <w:rPr>
          <w:rFonts w:eastAsia="Times New Roman"/>
        </w:rPr>
        <w:t xml:space="preserve"> </w:t>
      </w:r>
      <w:r w:rsidRPr="00446A57">
        <w:rPr>
          <w:rFonts w:eastAsia="Times New Roman"/>
          <w:iCs/>
        </w:rPr>
        <w:t xml:space="preserve">Plants </w:t>
      </w:r>
      <w:r w:rsidR="00F40BED" w:rsidRPr="00446A57">
        <w:rPr>
          <w:rFonts w:eastAsia="Times New Roman"/>
          <w:iCs/>
        </w:rPr>
        <w:t>‘</w:t>
      </w:r>
      <w:r w:rsidRPr="00446A57">
        <w:rPr>
          <w:rFonts w:eastAsia="Times New Roman"/>
          <w:iCs/>
        </w:rPr>
        <w:t>of the ancestors,</w:t>
      </w:r>
      <w:r w:rsidR="00F40BED" w:rsidRPr="00446A57">
        <w:rPr>
          <w:rFonts w:eastAsia="Times New Roman"/>
          <w:iCs/>
        </w:rPr>
        <w:t>’</w:t>
      </w:r>
      <w:r w:rsidRPr="00446A57">
        <w:rPr>
          <w:rFonts w:eastAsia="Times New Roman"/>
          <w:iCs/>
        </w:rPr>
        <w:t xml:space="preserve"> plants </w:t>
      </w:r>
      <w:r w:rsidR="00F40BED" w:rsidRPr="00446A57">
        <w:rPr>
          <w:rFonts w:eastAsia="Times New Roman"/>
          <w:iCs/>
        </w:rPr>
        <w:t>‘</w:t>
      </w:r>
      <w:r w:rsidRPr="00446A57">
        <w:rPr>
          <w:rFonts w:eastAsia="Times New Roman"/>
          <w:iCs/>
        </w:rPr>
        <w:t>of the outsiders</w:t>
      </w:r>
      <w:r w:rsidR="00F40BED" w:rsidRPr="00446A57">
        <w:rPr>
          <w:rFonts w:eastAsia="Times New Roman"/>
          <w:iCs/>
        </w:rPr>
        <w:t>’</w:t>
      </w:r>
      <w:r w:rsidRPr="00446A57">
        <w:rPr>
          <w:rFonts w:eastAsia="Times New Roman"/>
          <w:iCs/>
        </w:rPr>
        <w:t xml:space="preserve">: Migration, social change and ethnobotanical knowledge among the Amazonian </w:t>
      </w:r>
      <w:proofErr w:type="gramStart"/>
      <w:r w:rsidRPr="00446A57">
        <w:rPr>
          <w:rFonts w:eastAsia="Times New Roman"/>
          <w:iCs/>
        </w:rPr>
        <w:t>Ese</w:t>
      </w:r>
      <w:proofErr w:type="gramEnd"/>
      <w:r w:rsidRPr="00446A57">
        <w:rPr>
          <w:rFonts w:eastAsia="Times New Roman"/>
          <w:iCs/>
        </w:rPr>
        <w:t xml:space="preserve"> Eja, Bolivia and Peru.</w:t>
      </w:r>
      <w:r w:rsidRPr="00446A57">
        <w:rPr>
          <w:rFonts w:eastAsia="Times New Roman"/>
        </w:rPr>
        <w:t xml:space="preserve"> </w:t>
      </w:r>
      <w:r w:rsidR="00F40BED" w:rsidRPr="00446A57">
        <w:rPr>
          <w:rFonts w:eastAsia="Times New Roman"/>
        </w:rPr>
        <w:t>Pp. 220-248</w:t>
      </w:r>
      <w:r w:rsidRPr="00446A57">
        <w:rPr>
          <w:rFonts w:eastAsia="Times New Roman"/>
        </w:rPr>
        <w:t xml:space="preserve"> in (Miguel N. </w:t>
      </w:r>
      <w:proofErr w:type="spellStart"/>
      <w:r w:rsidRPr="00446A57">
        <w:rPr>
          <w:rFonts w:eastAsia="Times New Roman"/>
        </w:rPr>
        <w:t>Alexiades</w:t>
      </w:r>
      <w:proofErr w:type="spellEnd"/>
      <w:r w:rsidRPr="00446A57">
        <w:rPr>
          <w:rFonts w:eastAsia="Times New Roman"/>
        </w:rPr>
        <w:t xml:space="preserve">., </w:t>
      </w:r>
      <w:proofErr w:type="gramStart"/>
      <w:r w:rsidRPr="00446A57">
        <w:rPr>
          <w:rFonts w:eastAsia="Times New Roman"/>
        </w:rPr>
        <w:t>ed</w:t>
      </w:r>
      <w:proofErr w:type="gramEnd"/>
      <w:r w:rsidRPr="00446A57">
        <w:rPr>
          <w:rFonts w:eastAsia="Times New Roman"/>
        </w:rPr>
        <w:t xml:space="preserve">.) </w:t>
      </w:r>
      <w:r w:rsidRPr="00446A57">
        <w:rPr>
          <w:rFonts w:eastAsia="Times New Roman"/>
          <w:i/>
        </w:rPr>
        <w:t xml:space="preserve">Mobility and Migration in Indigenous Amazonia: Contemporary </w:t>
      </w:r>
      <w:proofErr w:type="spellStart"/>
      <w:r w:rsidRPr="00446A57">
        <w:rPr>
          <w:rFonts w:eastAsia="Times New Roman"/>
          <w:i/>
        </w:rPr>
        <w:t>Ethnoecological</w:t>
      </w:r>
      <w:proofErr w:type="spellEnd"/>
      <w:r w:rsidRPr="00446A57">
        <w:rPr>
          <w:rFonts w:eastAsia="Times New Roman"/>
          <w:i/>
        </w:rPr>
        <w:t xml:space="preserve"> Perspectives</w:t>
      </w:r>
      <w:r w:rsidRPr="00446A57">
        <w:rPr>
          <w:rFonts w:eastAsia="Times New Roman"/>
        </w:rPr>
        <w:t xml:space="preserve">. </w:t>
      </w:r>
      <w:r w:rsidRPr="00446A57">
        <w:rPr>
          <w:rFonts w:eastAsia="Times New Roman"/>
          <w:spacing w:val="-2"/>
        </w:rPr>
        <w:t xml:space="preserve"> London: </w:t>
      </w:r>
      <w:proofErr w:type="spellStart"/>
      <w:r w:rsidRPr="00446A57">
        <w:rPr>
          <w:rFonts w:eastAsia="Times New Roman"/>
        </w:rPr>
        <w:t>Berghahn</w:t>
      </w:r>
      <w:proofErr w:type="spellEnd"/>
      <w:r w:rsidRPr="00446A57">
        <w:rPr>
          <w:rFonts w:eastAsia="Times New Roman"/>
        </w:rPr>
        <w:t xml:space="preserve"> Press.</w:t>
      </w:r>
    </w:p>
    <w:p w:rsidR="00B8076E" w:rsidRPr="00446A57" w:rsidRDefault="003B4739" w:rsidP="00C330C9">
      <w:pPr>
        <w:spacing w:after="0" w:line="480" w:lineRule="auto"/>
        <w:contextualSpacing/>
        <w:rPr>
          <w:rFonts w:eastAsia="Times New Roman"/>
        </w:rPr>
      </w:pPr>
      <w:r w:rsidRPr="00446A57">
        <w:t>Beckerman, Stephen</w:t>
      </w:r>
      <w:r w:rsidR="00DD0925" w:rsidRPr="00446A57">
        <w:t>.</w:t>
      </w:r>
      <w:r w:rsidRPr="00446A57">
        <w:t xml:space="preserve"> 2002.</w:t>
      </w:r>
      <w:r w:rsidR="00B8076E" w:rsidRPr="00446A57">
        <w:t xml:space="preserve"> Introduction: The concept of partible paternity among native South Americans. Pp. 1- 13 in </w:t>
      </w:r>
      <w:r w:rsidR="00B8076E" w:rsidRPr="00446A57">
        <w:rPr>
          <w:rFonts w:eastAsia="Times New Roman"/>
        </w:rPr>
        <w:t xml:space="preserve">(Stephen Beckerman and Paul Valentine, </w:t>
      </w:r>
      <w:proofErr w:type="gramStart"/>
      <w:r w:rsidR="00B8076E" w:rsidRPr="00446A57">
        <w:rPr>
          <w:rFonts w:eastAsia="Times New Roman"/>
        </w:rPr>
        <w:t>eds</w:t>
      </w:r>
      <w:proofErr w:type="gramEnd"/>
      <w:r w:rsidR="00B8076E" w:rsidRPr="00446A57">
        <w:rPr>
          <w:rFonts w:eastAsia="Times New Roman"/>
        </w:rPr>
        <w:t xml:space="preserve">.) </w:t>
      </w:r>
      <w:r w:rsidR="00B8076E" w:rsidRPr="00446A57">
        <w:rPr>
          <w:rFonts w:eastAsia="Times New Roman"/>
          <w:i/>
          <w:iCs/>
        </w:rPr>
        <w:t>Cultures of multiple fathers: The theory and practice of partible paternity in lowland South America</w:t>
      </w:r>
      <w:r w:rsidR="00B8076E" w:rsidRPr="00446A57">
        <w:rPr>
          <w:rFonts w:eastAsia="Times New Roman"/>
        </w:rPr>
        <w:t>. Gainesville: University Press of Florida.</w:t>
      </w:r>
    </w:p>
    <w:p w:rsidR="00BA6009" w:rsidRPr="00446A57" w:rsidRDefault="00BA6009" w:rsidP="00C330C9">
      <w:pPr>
        <w:spacing w:after="0" w:line="480" w:lineRule="auto"/>
        <w:contextualSpacing/>
        <w:rPr>
          <w:rFonts w:eastAsia="Times New Roman"/>
        </w:rPr>
      </w:pPr>
      <w:r w:rsidRPr="00446A57">
        <w:rPr>
          <w:rFonts w:eastAsia="Times New Roman"/>
        </w:rPr>
        <w:t>Beckerman, Stephen, and</w:t>
      </w:r>
      <w:r w:rsidR="003B4739" w:rsidRPr="00446A57">
        <w:t xml:space="preserve"> Lizarralde, Roberto.  2013.</w:t>
      </w:r>
      <w:r w:rsidRPr="00446A57">
        <w:t xml:space="preserve">  </w:t>
      </w:r>
      <w:r w:rsidR="002618B6" w:rsidRPr="00446A57">
        <w:rPr>
          <w:i/>
        </w:rPr>
        <w:t xml:space="preserve">The ecology of the Barí, </w:t>
      </w:r>
      <w:r w:rsidRPr="00446A57">
        <w:rPr>
          <w:i/>
        </w:rPr>
        <w:t xml:space="preserve">rainforest horticulturalists of South America. </w:t>
      </w:r>
      <w:r w:rsidRPr="00446A57">
        <w:t>Austin: University of Texas Press.</w:t>
      </w:r>
    </w:p>
    <w:p w:rsidR="00B8076E" w:rsidRPr="00446A57" w:rsidRDefault="00B8076E" w:rsidP="00C330C9">
      <w:pPr>
        <w:spacing w:after="0" w:line="480" w:lineRule="auto"/>
        <w:contextualSpacing/>
        <w:rPr>
          <w:rFonts w:eastAsia="Times New Roman"/>
        </w:rPr>
      </w:pPr>
      <w:r w:rsidRPr="00446A57">
        <w:rPr>
          <w:rFonts w:eastAsia="Times New Roman"/>
        </w:rPr>
        <w:t xml:space="preserve">Beckerman, Stephen, Lizarralde, R., Ballew, C., Schroeder, S., </w:t>
      </w:r>
      <w:proofErr w:type="spellStart"/>
      <w:r w:rsidRPr="00446A57">
        <w:rPr>
          <w:rFonts w:eastAsia="Times New Roman"/>
        </w:rPr>
        <w:t>Fingelton</w:t>
      </w:r>
      <w:proofErr w:type="spellEnd"/>
      <w:r w:rsidRPr="00446A57">
        <w:rPr>
          <w:rFonts w:eastAsia="Times New Roman"/>
        </w:rPr>
        <w:t>, C., Garrison, A. and Smith, H. 1998. The Barí partible paternity project: preliminary</w:t>
      </w:r>
      <w:r w:rsidR="00233EF7" w:rsidRPr="00446A57">
        <w:rPr>
          <w:rFonts w:eastAsia="Times New Roman"/>
        </w:rPr>
        <w:t xml:space="preserve"> </w:t>
      </w:r>
      <w:r w:rsidRPr="00446A57">
        <w:rPr>
          <w:rFonts w:eastAsia="Times New Roman"/>
        </w:rPr>
        <w:t xml:space="preserve">results. </w:t>
      </w:r>
      <w:r w:rsidRPr="00446A57">
        <w:rPr>
          <w:rFonts w:eastAsia="Times New Roman"/>
          <w:i/>
          <w:iCs/>
        </w:rPr>
        <w:t>Current Anthropology</w:t>
      </w:r>
      <w:r w:rsidRPr="00446A57">
        <w:rPr>
          <w:rFonts w:eastAsia="Times New Roman"/>
        </w:rPr>
        <w:t xml:space="preserve">, </w:t>
      </w:r>
      <w:r w:rsidRPr="00446A57">
        <w:rPr>
          <w:rFonts w:eastAsia="Times New Roman"/>
          <w:iCs/>
        </w:rPr>
        <w:t>39</w:t>
      </w:r>
      <w:r w:rsidRPr="00446A57">
        <w:rPr>
          <w:rFonts w:eastAsia="Times New Roman"/>
        </w:rPr>
        <w:t>(1), pp.164-168.</w:t>
      </w:r>
    </w:p>
    <w:p w:rsidR="00B8076E" w:rsidRPr="00446A57" w:rsidRDefault="00B8076E" w:rsidP="00C330C9">
      <w:pPr>
        <w:spacing w:after="0" w:line="480" w:lineRule="auto"/>
        <w:contextualSpacing/>
        <w:rPr>
          <w:rFonts w:eastAsia="Times New Roman"/>
        </w:rPr>
      </w:pPr>
      <w:r w:rsidRPr="00446A57">
        <w:rPr>
          <w:rFonts w:eastAsia="Times New Roman"/>
        </w:rPr>
        <w:t xml:space="preserve">Beckerman, Stephen, Lizarralde, R., Lizarralde, M., Bai, J., Ballew, C., Schroeder, S., </w:t>
      </w:r>
      <w:proofErr w:type="spellStart"/>
      <w:r w:rsidRPr="00446A57">
        <w:rPr>
          <w:rFonts w:eastAsia="Times New Roman"/>
        </w:rPr>
        <w:t>Dajani</w:t>
      </w:r>
      <w:proofErr w:type="spellEnd"/>
      <w:r w:rsidRPr="00446A57">
        <w:rPr>
          <w:rFonts w:eastAsia="Times New Roman"/>
        </w:rPr>
        <w:t xml:space="preserve">, D., Walkup, L., </w:t>
      </w:r>
      <w:proofErr w:type="spellStart"/>
      <w:r w:rsidRPr="00446A57">
        <w:rPr>
          <w:rFonts w:eastAsia="Times New Roman"/>
        </w:rPr>
        <w:t>Hsiung</w:t>
      </w:r>
      <w:proofErr w:type="spellEnd"/>
      <w:r w:rsidRPr="00446A57">
        <w:rPr>
          <w:rFonts w:eastAsia="Times New Roman"/>
        </w:rPr>
        <w:t>, M., Raw</w:t>
      </w:r>
      <w:r w:rsidR="00D57792" w:rsidRPr="00446A57">
        <w:rPr>
          <w:rFonts w:eastAsia="Times New Roman"/>
        </w:rPr>
        <w:t>lins, N., and Palermo, M. 2002.</w:t>
      </w:r>
      <w:r w:rsidRPr="00446A57">
        <w:rPr>
          <w:rFonts w:eastAsia="Times New Roman"/>
        </w:rPr>
        <w:t xml:space="preserve"> The Barí partible paternity project, phase one.  Pp. 27-41 in (Stephen Beckerman and Paul Valentine, </w:t>
      </w:r>
      <w:proofErr w:type="gramStart"/>
      <w:r w:rsidRPr="00446A57">
        <w:rPr>
          <w:rFonts w:eastAsia="Times New Roman"/>
        </w:rPr>
        <w:t>eds</w:t>
      </w:r>
      <w:proofErr w:type="gramEnd"/>
      <w:r w:rsidRPr="00446A57">
        <w:rPr>
          <w:rFonts w:eastAsia="Times New Roman"/>
        </w:rPr>
        <w:t xml:space="preserve">.) </w:t>
      </w:r>
      <w:r w:rsidRPr="00446A57">
        <w:rPr>
          <w:rFonts w:eastAsia="Times New Roman"/>
          <w:i/>
          <w:iCs/>
        </w:rPr>
        <w:t xml:space="preserve">Cultures of multiple fathers: The theory and practice of </w:t>
      </w:r>
      <w:r w:rsidRPr="00446A57">
        <w:rPr>
          <w:rFonts w:eastAsia="Times New Roman"/>
          <w:i/>
          <w:iCs/>
        </w:rPr>
        <w:lastRenderedPageBreak/>
        <w:t>partible paternity in lowland South America</w:t>
      </w:r>
      <w:r w:rsidRPr="00446A57">
        <w:rPr>
          <w:rFonts w:eastAsia="Times New Roman"/>
        </w:rPr>
        <w:t>. Gainesville: University Press of Florida.</w:t>
      </w:r>
    </w:p>
    <w:p w:rsidR="00B8076E" w:rsidRPr="00446A57" w:rsidRDefault="00B8076E" w:rsidP="00C330C9">
      <w:pPr>
        <w:spacing w:after="0" w:line="480" w:lineRule="auto"/>
        <w:contextualSpacing/>
        <w:rPr>
          <w:rFonts w:eastAsia="Times New Roman"/>
        </w:rPr>
      </w:pPr>
      <w:r w:rsidRPr="00446A57">
        <w:rPr>
          <w:rFonts w:eastAsia="Times New Roman"/>
        </w:rPr>
        <w:t xml:space="preserve">Beckerman, Stephen and </w:t>
      </w:r>
      <w:r w:rsidR="00DD0925" w:rsidRPr="00446A57">
        <w:rPr>
          <w:rFonts w:eastAsia="Times New Roman"/>
        </w:rPr>
        <w:t>Paul Valentine,</w:t>
      </w:r>
      <w:r w:rsidRPr="00446A57">
        <w:rPr>
          <w:rFonts w:eastAsia="Times New Roman"/>
        </w:rPr>
        <w:t xml:space="preserve"> eds. 2002. </w:t>
      </w:r>
      <w:r w:rsidRPr="00446A57">
        <w:rPr>
          <w:rFonts w:eastAsia="Times New Roman"/>
          <w:i/>
          <w:iCs/>
        </w:rPr>
        <w:t>Cultures of multiple fathers: The theory and practice of partible paternity in lowland South America</w:t>
      </w:r>
      <w:r w:rsidRPr="00446A57">
        <w:rPr>
          <w:rFonts w:eastAsia="Times New Roman"/>
        </w:rPr>
        <w:t>. Gainesville:  University Press of Florida.</w:t>
      </w:r>
    </w:p>
    <w:p w:rsidR="00B8076E" w:rsidRPr="00446A57" w:rsidRDefault="00B8076E" w:rsidP="00C330C9">
      <w:pPr>
        <w:spacing w:after="0" w:line="480" w:lineRule="auto"/>
        <w:contextualSpacing/>
        <w:rPr>
          <w:rFonts w:eastAsia="Times New Roman"/>
        </w:rPr>
      </w:pPr>
      <w:r w:rsidRPr="00446A57">
        <w:rPr>
          <w:rFonts w:eastAsia="Times New Roman"/>
        </w:rPr>
        <w:t xml:space="preserve">Clutton-Brock, Timothy. H. and </w:t>
      </w:r>
      <w:proofErr w:type="spellStart"/>
      <w:r w:rsidRPr="00446A57">
        <w:rPr>
          <w:rFonts w:eastAsia="Times New Roman"/>
        </w:rPr>
        <w:t>Iason</w:t>
      </w:r>
      <w:proofErr w:type="spellEnd"/>
      <w:r w:rsidRPr="00446A57">
        <w:rPr>
          <w:rFonts w:eastAsia="Times New Roman"/>
        </w:rPr>
        <w:t xml:space="preserve">, Glenn R. 1986. Sex ratio variation in mammals. </w:t>
      </w:r>
      <w:r w:rsidRPr="00446A57">
        <w:rPr>
          <w:rFonts w:eastAsia="Times New Roman"/>
          <w:i/>
          <w:iCs/>
        </w:rPr>
        <w:t>Quarterly Review of Biology</w:t>
      </w:r>
      <w:r w:rsidRPr="00446A57">
        <w:rPr>
          <w:rFonts w:eastAsia="Times New Roman"/>
        </w:rPr>
        <w:t xml:space="preserve"> 61(3): 339-374.</w:t>
      </w:r>
    </w:p>
    <w:p w:rsidR="00B8076E" w:rsidRPr="00446A57" w:rsidRDefault="00B8076E" w:rsidP="00C330C9">
      <w:pPr>
        <w:spacing w:after="0" w:line="480" w:lineRule="auto"/>
        <w:contextualSpacing/>
        <w:rPr>
          <w:rFonts w:eastAsia="Times New Roman"/>
        </w:rPr>
      </w:pPr>
      <w:r w:rsidRPr="00446A57">
        <w:rPr>
          <w:rFonts w:eastAsia="Times New Roman"/>
        </w:rPr>
        <w:t>Cronk, L</w:t>
      </w:r>
      <w:r w:rsidR="00C330C9" w:rsidRPr="00446A57">
        <w:rPr>
          <w:rFonts w:eastAsia="Times New Roman"/>
        </w:rPr>
        <w:t>ee</w:t>
      </w:r>
      <w:r w:rsidR="00DD0925" w:rsidRPr="00446A57">
        <w:rPr>
          <w:rFonts w:eastAsia="Times New Roman"/>
        </w:rPr>
        <w:t>.</w:t>
      </w:r>
      <w:r w:rsidRPr="00446A57">
        <w:rPr>
          <w:rFonts w:eastAsia="Times New Roman"/>
        </w:rPr>
        <w:t xml:space="preserve"> 2007. Boy or girl: gender preferences from a Darwinian point of view. </w:t>
      </w:r>
      <w:r w:rsidRPr="00446A57">
        <w:rPr>
          <w:rFonts w:eastAsia="Times New Roman"/>
          <w:i/>
          <w:iCs/>
        </w:rPr>
        <w:t>Reproductive biomedicine online</w:t>
      </w:r>
      <w:r w:rsidRPr="00446A57">
        <w:rPr>
          <w:rFonts w:eastAsia="Times New Roman"/>
        </w:rPr>
        <w:t xml:space="preserve">, </w:t>
      </w:r>
      <w:r w:rsidRPr="00446A57">
        <w:rPr>
          <w:rFonts w:eastAsia="Times New Roman"/>
          <w:iCs/>
        </w:rPr>
        <w:t>15</w:t>
      </w:r>
      <w:r w:rsidRPr="00446A57">
        <w:rPr>
          <w:rFonts w:eastAsia="Times New Roman"/>
        </w:rPr>
        <w:t>, pp.23-32.</w:t>
      </w:r>
    </w:p>
    <w:p w:rsidR="00B8076E" w:rsidRPr="00446A57" w:rsidRDefault="00DD0925" w:rsidP="00C330C9">
      <w:pPr>
        <w:spacing w:after="0" w:line="480" w:lineRule="auto"/>
        <w:contextualSpacing/>
        <w:rPr>
          <w:rFonts w:eastAsia="Times New Roman"/>
        </w:rPr>
      </w:pPr>
      <w:r w:rsidRPr="00446A57">
        <w:rPr>
          <w:rFonts w:eastAsia="Times New Roman"/>
        </w:rPr>
        <w:t>Fisher, R.A.</w:t>
      </w:r>
      <w:r w:rsidR="00B8076E" w:rsidRPr="00446A57">
        <w:rPr>
          <w:rFonts w:eastAsia="Times New Roman"/>
        </w:rPr>
        <w:t xml:space="preserve"> 1930. </w:t>
      </w:r>
      <w:r w:rsidR="00B8076E" w:rsidRPr="00446A57">
        <w:rPr>
          <w:rFonts w:eastAsia="Times New Roman"/>
          <w:i/>
          <w:iCs/>
        </w:rPr>
        <w:t xml:space="preserve">The </w:t>
      </w:r>
      <w:proofErr w:type="spellStart"/>
      <w:r w:rsidR="00B8076E" w:rsidRPr="00446A57">
        <w:rPr>
          <w:rFonts w:eastAsia="Times New Roman"/>
          <w:i/>
          <w:iCs/>
        </w:rPr>
        <w:t>genetical</w:t>
      </w:r>
      <w:proofErr w:type="spellEnd"/>
      <w:r w:rsidR="00B8076E" w:rsidRPr="00446A57">
        <w:rPr>
          <w:rFonts w:eastAsia="Times New Roman"/>
          <w:i/>
          <w:iCs/>
        </w:rPr>
        <w:t xml:space="preserve"> theory of natural selection: a complete variorum edition</w:t>
      </w:r>
      <w:r w:rsidR="00B8076E" w:rsidRPr="00446A57">
        <w:rPr>
          <w:rFonts w:eastAsia="Times New Roman"/>
        </w:rPr>
        <w:t>. Oxford: Oxford University Press.</w:t>
      </w:r>
    </w:p>
    <w:p w:rsidR="00B8076E" w:rsidRPr="00446A57" w:rsidRDefault="00B8076E" w:rsidP="00C330C9">
      <w:pPr>
        <w:spacing w:after="0" w:line="480" w:lineRule="auto"/>
        <w:contextualSpacing/>
      </w:pPr>
      <w:proofErr w:type="spellStart"/>
      <w:r w:rsidRPr="00446A57">
        <w:t>Gregor</w:t>
      </w:r>
      <w:proofErr w:type="spellEnd"/>
      <w:r w:rsidRPr="00446A57">
        <w:t>, T</w:t>
      </w:r>
      <w:r w:rsidR="00FF4109" w:rsidRPr="00446A57">
        <w:t>homas</w:t>
      </w:r>
      <w:r w:rsidRPr="00446A57">
        <w:t xml:space="preserve">, 1979. Short people. </w:t>
      </w:r>
      <w:r w:rsidRPr="00446A57">
        <w:rPr>
          <w:i/>
          <w:iCs/>
        </w:rPr>
        <w:t>Natural History</w:t>
      </w:r>
      <w:r w:rsidRPr="00446A57">
        <w:t xml:space="preserve">, </w:t>
      </w:r>
      <w:r w:rsidRPr="00446A57">
        <w:rPr>
          <w:iCs/>
        </w:rPr>
        <w:t>88</w:t>
      </w:r>
      <w:r w:rsidRPr="00446A57">
        <w:t>(2): 14-15.</w:t>
      </w:r>
    </w:p>
    <w:p w:rsidR="00B8076E" w:rsidRPr="00446A57" w:rsidRDefault="00B8076E" w:rsidP="00C330C9">
      <w:pPr>
        <w:spacing w:after="0" w:line="480" w:lineRule="auto"/>
        <w:contextualSpacing/>
        <w:rPr>
          <w:rFonts w:eastAsia="Times New Roman"/>
        </w:rPr>
      </w:pPr>
      <w:r w:rsidRPr="00446A57">
        <w:rPr>
          <w:rFonts w:eastAsia="Times New Roman"/>
        </w:rPr>
        <w:t>Hill, Kim R. and Hurtado, Ana M</w:t>
      </w:r>
      <w:r w:rsidR="00D57792" w:rsidRPr="00446A57">
        <w:rPr>
          <w:rFonts w:eastAsia="Times New Roman"/>
        </w:rPr>
        <w:t>agdalena</w:t>
      </w:r>
      <w:r w:rsidR="00DD0925" w:rsidRPr="00446A57">
        <w:rPr>
          <w:rFonts w:eastAsia="Times New Roman"/>
        </w:rPr>
        <w:t>.</w:t>
      </w:r>
      <w:r w:rsidR="00D57792" w:rsidRPr="00446A57">
        <w:rPr>
          <w:rFonts w:eastAsia="Times New Roman"/>
        </w:rPr>
        <w:t xml:space="preserve"> </w:t>
      </w:r>
      <w:r w:rsidRPr="00446A57">
        <w:rPr>
          <w:rFonts w:eastAsia="Times New Roman"/>
        </w:rPr>
        <w:t xml:space="preserve">1996. </w:t>
      </w:r>
      <w:r w:rsidRPr="00446A57">
        <w:rPr>
          <w:rFonts w:eastAsia="Times New Roman"/>
          <w:i/>
          <w:iCs/>
        </w:rPr>
        <w:t>Ache life history: The ecology and demography of a foraging people</w:t>
      </w:r>
      <w:r w:rsidRPr="00446A57">
        <w:rPr>
          <w:rFonts w:eastAsia="Times New Roman"/>
        </w:rPr>
        <w:t xml:space="preserve">. </w:t>
      </w:r>
      <w:r w:rsidR="002618B6" w:rsidRPr="00446A57">
        <w:rPr>
          <w:rFonts w:eastAsia="Times New Roman"/>
        </w:rPr>
        <w:t xml:space="preserve">Hawthorne, New York: Aldine de </w:t>
      </w:r>
      <w:proofErr w:type="spellStart"/>
      <w:r w:rsidR="002618B6" w:rsidRPr="00446A57">
        <w:rPr>
          <w:rFonts w:eastAsia="Times New Roman"/>
        </w:rPr>
        <w:t>Gruyter</w:t>
      </w:r>
      <w:proofErr w:type="spellEnd"/>
      <w:r w:rsidR="002618B6" w:rsidRPr="00446A57">
        <w:rPr>
          <w:rFonts w:eastAsia="Times New Roman"/>
        </w:rPr>
        <w:t>.</w:t>
      </w:r>
    </w:p>
    <w:p w:rsidR="00B8076E" w:rsidRPr="00446A57" w:rsidRDefault="00B8076E" w:rsidP="00C330C9">
      <w:pPr>
        <w:spacing w:line="480" w:lineRule="auto"/>
        <w:contextualSpacing/>
        <w:rPr>
          <w:rFonts w:eastAsia="Times New Roman"/>
        </w:rPr>
      </w:pPr>
      <w:proofErr w:type="spellStart"/>
      <w:r w:rsidRPr="00446A57">
        <w:rPr>
          <w:rFonts w:eastAsia="Times New Roman"/>
        </w:rPr>
        <w:t>Hrdy</w:t>
      </w:r>
      <w:proofErr w:type="spellEnd"/>
      <w:r w:rsidRPr="00446A57">
        <w:rPr>
          <w:rFonts w:eastAsia="Times New Roman"/>
        </w:rPr>
        <w:t xml:space="preserve">, Sarah B. 1987. Sex-biased parental investment among primates and other mammals: a critical evaluation of the </w:t>
      </w:r>
      <w:proofErr w:type="spellStart"/>
      <w:r w:rsidRPr="00446A57">
        <w:rPr>
          <w:rFonts w:eastAsia="Times New Roman"/>
        </w:rPr>
        <w:t>Trivers</w:t>
      </w:r>
      <w:proofErr w:type="spellEnd"/>
      <w:r w:rsidRPr="00446A57">
        <w:rPr>
          <w:rFonts w:eastAsia="Times New Roman"/>
        </w:rPr>
        <w:t>-Willard hypothesis. (1987)  Pp. 97-147 in (</w:t>
      </w:r>
      <w:proofErr w:type="spellStart"/>
      <w:r w:rsidRPr="00446A57">
        <w:rPr>
          <w:rFonts w:eastAsia="Times New Roman"/>
        </w:rPr>
        <w:t>Gelles</w:t>
      </w:r>
      <w:proofErr w:type="spellEnd"/>
      <w:r w:rsidRPr="00446A57">
        <w:rPr>
          <w:rFonts w:eastAsia="Times New Roman"/>
        </w:rPr>
        <w:t xml:space="preserve">, R.J. and Jane Lancaster, </w:t>
      </w:r>
      <w:proofErr w:type="gramStart"/>
      <w:r w:rsidRPr="00446A57">
        <w:rPr>
          <w:rFonts w:eastAsia="Times New Roman"/>
        </w:rPr>
        <w:t>eds</w:t>
      </w:r>
      <w:proofErr w:type="gramEnd"/>
      <w:r w:rsidRPr="00446A57">
        <w:rPr>
          <w:rFonts w:eastAsia="Times New Roman"/>
        </w:rPr>
        <w:t xml:space="preserve">.) </w:t>
      </w:r>
      <w:r w:rsidRPr="00446A57">
        <w:rPr>
          <w:rFonts w:eastAsia="Times New Roman"/>
          <w:i/>
          <w:iCs/>
        </w:rPr>
        <w:t>Child abuse and neglect: Biosocial dimensions</w:t>
      </w:r>
      <w:r w:rsidRPr="00446A57">
        <w:rPr>
          <w:rFonts w:eastAsia="Times New Roman"/>
        </w:rPr>
        <w:t>. Piscataway, NJ: Transaction Publishers.</w:t>
      </w:r>
    </w:p>
    <w:p w:rsidR="00B8076E" w:rsidRPr="00446A57" w:rsidRDefault="00DD0925" w:rsidP="00C330C9">
      <w:pPr>
        <w:spacing w:line="480" w:lineRule="auto"/>
        <w:contextualSpacing/>
        <w:rPr>
          <w:rFonts w:eastAsia="Times New Roman"/>
        </w:rPr>
      </w:pPr>
      <w:r w:rsidRPr="00446A57">
        <w:rPr>
          <w:rFonts w:eastAsia="Times New Roman"/>
        </w:rPr>
        <w:lastRenderedPageBreak/>
        <w:t>Lazarus, J.</w:t>
      </w:r>
      <w:r w:rsidR="00B8076E" w:rsidRPr="00446A57">
        <w:rPr>
          <w:rFonts w:eastAsia="Times New Roman"/>
        </w:rPr>
        <w:t xml:space="preserve"> 2002. Human sex ratios: adaptations and mechanisms, problems and prospects. Pp. 287-311 in (Hardy, Ian C., </w:t>
      </w:r>
      <w:proofErr w:type="gramStart"/>
      <w:r w:rsidR="00B8076E" w:rsidRPr="00446A57">
        <w:rPr>
          <w:rFonts w:eastAsia="Times New Roman"/>
        </w:rPr>
        <w:t>ed</w:t>
      </w:r>
      <w:proofErr w:type="gramEnd"/>
      <w:r w:rsidR="00B8076E" w:rsidRPr="00446A57">
        <w:rPr>
          <w:rFonts w:eastAsia="Times New Roman"/>
        </w:rPr>
        <w:t xml:space="preserve">.) </w:t>
      </w:r>
      <w:r w:rsidR="00B8076E" w:rsidRPr="00446A57">
        <w:rPr>
          <w:rFonts w:eastAsia="Times New Roman"/>
          <w:i/>
          <w:iCs/>
        </w:rPr>
        <w:t>Sex ratios: concepts and research methods</w:t>
      </w:r>
      <w:r w:rsidR="00B8076E" w:rsidRPr="00446A57">
        <w:rPr>
          <w:rFonts w:eastAsia="Times New Roman"/>
        </w:rPr>
        <w:t>. Cambridge: Cambridge University Press.</w:t>
      </w:r>
    </w:p>
    <w:p w:rsidR="000E5558" w:rsidRPr="00446A57" w:rsidRDefault="000E5558" w:rsidP="000E5558">
      <w:pPr>
        <w:autoSpaceDE w:val="0"/>
        <w:autoSpaceDN w:val="0"/>
        <w:adjustRightInd w:val="0"/>
        <w:spacing w:after="0" w:line="480" w:lineRule="auto"/>
        <w:rPr>
          <w:rFonts w:eastAsia="Janson-t-text"/>
        </w:rPr>
      </w:pPr>
      <w:r w:rsidRPr="00446A57">
        <w:t xml:space="preserve">Millard, Ann, and </w:t>
      </w:r>
      <w:proofErr w:type="spellStart"/>
      <w:r w:rsidRPr="00446A57">
        <w:t>Elois</w:t>
      </w:r>
      <w:proofErr w:type="spellEnd"/>
      <w:r w:rsidRPr="00446A57">
        <w:t xml:space="preserve"> Ann Berlin</w:t>
      </w:r>
      <w:r w:rsidR="00DD0925" w:rsidRPr="00446A57">
        <w:t xml:space="preserve">. </w:t>
      </w:r>
      <w:r w:rsidRPr="00446A57">
        <w:rPr>
          <w:rFonts w:eastAsia="Janson-t-text"/>
        </w:rPr>
        <w:t>1983</w:t>
      </w:r>
      <w:r w:rsidR="00DD0925" w:rsidRPr="00446A57">
        <w:rPr>
          <w:rFonts w:eastAsia="Janson-t-text"/>
        </w:rPr>
        <w:t>.</w:t>
      </w:r>
      <w:r w:rsidRPr="00446A57">
        <w:rPr>
          <w:rFonts w:eastAsia="Janson-t-text"/>
        </w:rPr>
        <w:t xml:space="preserve"> Sex ratio and natural selection at the human ABO locus. </w:t>
      </w:r>
      <w:r w:rsidRPr="00446A57">
        <w:rPr>
          <w:i/>
          <w:iCs/>
        </w:rPr>
        <w:t xml:space="preserve">Human Heredity </w:t>
      </w:r>
      <w:r w:rsidRPr="00446A57">
        <w:rPr>
          <w:rFonts w:eastAsia="Janson-t-text"/>
        </w:rPr>
        <w:t>33(2): 130–136.</w:t>
      </w:r>
    </w:p>
    <w:p w:rsidR="009A2CE1" w:rsidRPr="00446A57" w:rsidRDefault="009A2CE1" w:rsidP="009A2CE1">
      <w:pPr>
        <w:spacing w:before="100" w:beforeAutospacing="1" w:after="100" w:afterAutospacing="1" w:line="480" w:lineRule="auto"/>
        <w:contextualSpacing/>
        <w:rPr>
          <w:rFonts w:eastAsia="Times New Roman"/>
        </w:rPr>
      </w:pPr>
      <w:r w:rsidRPr="00446A57">
        <w:rPr>
          <w:rFonts w:eastAsia="Times New Roman"/>
          <w:bCs/>
          <w:spacing w:val="-2"/>
        </w:rPr>
        <w:t>Peluso, Daniela M.</w:t>
      </w:r>
      <w:r w:rsidRPr="00446A57">
        <w:rPr>
          <w:rFonts w:eastAsia="Times New Roman"/>
          <w:spacing w:val="-2"/>
        </w:rPr>
        <w:t xml:space="preserve">  </w:t>
      </w:r>
      <w:r w:rsidRPr="00446A57">
        <w:rPr>
          <w:rFonts w:eastAsia="Times New Roman"/>
          <w:bCs/>
          <w:spacing w:val="-2"/>
        </w:rPr>
        <w:t>2004.</w:t>
      </w:r>
      <w:r w:rsidRPr="00446A57">
        <w:rPr>
          <w:rFonts w:eastAsia="Times New Roman"/>
          <w:spacing w:val="-2"/>
        </w:rPr>
        <w:t xml:space="preserve"> “</w:t>
      </w:r>
      <w:r w:rsidRPr="00446A57">
        <w:rPr>
          <w:rFonts w:eastAsia="Times New Roman"/>
        </w:rPr>
        <w:t xml:space="preserve">That which I dream is true”: dream narratives in an Amazonian community. </w:t>
      </w:r>
      <w:r w:rsidRPr="00446A57">
        <w:rPr>
          <w:rFonts w:eastAsia="Times New Roman"/>
          <w:i/>
          <w:iCs/>
        </w:rPr>
        <w:t xml:space="preserve">Dreaming: </w:t>
      </w:r>
      <w:r w:rsidRPr="00446A57">
        <w:rPr>
          <w:rFonts w:eastAsia="Times New Roman"/>
        </w:rPr>
        <w:t xml:space="preserve">(special edition, Charles Stewart) </w:t>
      </w:r>
      <w:r w:rsidRPr="00446A57">
        <w:rPr>
          <w:rFonts w:eastAsia="Times New Roman"/>
          <w:i/>
          <w:iCs/>
        </w:rPr>
        <w:t>Anthropological Approaches to Dreaming</w:t>
      </w:r>
      <w:r w:rsidRPr="00446A57">
        <w:rPr>
          <w:rFonts w:eastAsia="Times New Roman"/>
        </w:rPr>
        <w:t xml:space="preserve">. 14 (2-3): 107-119. </w:t>
      </w:r>
    </w:p>
    <w:p w:rsidR="00B8076E" w:rsidRPr="00446A57" w:rsidRDefault="00B8076E" w:rsidP="00C330C9">
      <w:pPr>
        <w:spacing w:after="0" w:line="480" w:lineRule="auto"/>
        <w:contextualSpacing/>
        <w:rPr>
          <w:rFonts w:eastAsia="Times New Roman"/>
        </w:rPr>
      </w:pPr>
      <w:proofErr w:type="spellStart"/>
      <w:r w:rsidRPr="00446A57">
        <w:rPr>
          <w:rFonts w:eastAsia="Times New Roman"/>
        </w:rPr>
        <w:t>Sieff</w:t>
      </w:r>
      <w:proofErr w:type="spellEnd"/>
      <w:r w:rsidRPr="00446A57">
        <w:rPr>
          <w:rFonts w:eastAsia="Times New Roman"/>
        </w:rPr>
        <w:t>, Daniela .</w:t>
      </w:r>
      <w:proofErr w:type="gramStart"/>
      <w:r w:rsidRPr="00446A57">
        <w:rPr>
          <w:rFonts w:eastAsia="Times New Roman"/>
        </w:rPr>
        <w:t>F.,</w:t>
      </w:r>
      <w:proofErr w:type="gramEnd"/>
      <w:r w:rsidRPr="00446A57">
        <w:rPr>
          <w:rFonts w:eastAsia="Times New Roman"/>
        </w:rPr>
        <w:t xml:space="preserve"> Betzig, L., Cronk, L., Fix, A.G., </w:t>
      </w:r>
      <w:proofErr w:type="spellStart"/>
      <w:r w:rsidRPr="00446A57">
        <w:rPr>
          <w:rFonts w:eastAsia="Times New Roman"/>
        </w:rPr>
        <w:t>Flinn</w:t>
      </w:r>
      <w:proofErr w:type="spellEnd"/>
      <w:r w:rsidRPr="00446A57">
        <w:rPr>
          <w:rFonts w:eastAsia="Times New Roman"/>
        </w:rPr>
        <w:t xml:space="preserve">, M., </w:t>
      </w:r>
      <w:proofErr w:type="spellStart"/>
      <w:r w:rsidRPr="00446A57">
        <w:rPr>
          <w:rFonts w:eastAsia="Times New Roman"/>
        </w:rPr>
        <w:t>Sattenspiel</w:t>
      </w:r>
      <w:proofErr w:type="spellEnd"/>
      <w:r w:rsidRPr="00446A57">
        <w:rPr>
          <w:rFonts w:eastAsia="Times New Roman"/>
        </w:rPr>
        <w:t xml:space="preserve">, L., Gibson, K., Herring, D.A., Howell, N., Johansson, S.R. and </w:t>
      </w:r>
      <w:proofErr w:type="spellStart"/>
      <w:r w:rsidRPr="00446A57">
        <w:rPr>
          <w:rFonts w:eastAsia="Times New Roman"/>
        </w:rPr>
        <w:t>Pavlík</w:t>
      </w:r>
      <w:proofErr w:type="spellEnd"/>
      <w:r w:rsidRPr="00446A57">
        <w:rPr>
          <w:rFonts w:eastAsia="Times New Roman"/>
        </w:rPr>
        <w:t xml:space="preserve">, Z. 1990. Explaining Biased Sex Ratios in Human Populations: A Critique of Recent Studies [and Comments and Reply]. </w:t>
      </w:r>
      <w:r w:rsidRPr="00446A57">
        <w:rPr>
          <w:rFonts w:eastAsia="Times New Roman"/>
          <w:i/>
          <w:iCs/>
        </w:rPr>
        <w:t>Current Anthropology</w:t>
      </w:r>
      <w:r w:rsidRPr="00446A57">
        <w:rPr>
          <w:rFonts w:eastAsia="Times New Roman"/>
        </w:rPr>
        <w:t xml:space="preserve">, </w:t>
      </w:r>
      <w:r w:rsidRPr="00446A57">
        <w:rPr>
          <w:rFonts w:eastAsia="Times New Roman"/>
          <w:iCs/>
        </w:rPr>
        <w:t>31</w:t>
      </w:r>
      <w:r w:rsidRPr="00446A57">
        <w:rPr>
          <w:rFonts w:eastAsia="Times New Roman"/>
        </w:rPr>
        <w:t>(1), pp.25-48.</w:t>
      </w:r>
    </w:p>
    <w:p w:rsidR="00B8076E" w:rsidRPr="00446A57" w:rsidRDefault="00B8076E" w:rsidP="00C330C9">
      <w:pPr>
        <w:spacing w:line="480" w:lineRule="auto"/>
        <w:contextualSpacing/>
      </w:pPr>
      <w:proofErr w:type="spellStart"/>
      <w:r w:rsidRPr="00446A57">
        <w:t>Trivers</w:t>
      </w:r>
      <w:proofErr w:type="spellEnd"/>
      <w:r w:rsidRPr="00446A57">
        <w:t>, Robert .L</w:t>
      </w:r>
      <w:r w:rsidR="00DD0925" w:rsidRPr="00446A57">
        <w:t>. and Willard, Daniel E. 1973.</w:t>
      </w:r>
      <w:r w:rsidRPr="00446A57">
        <w:t xml:space="preserve"> Natural selection of parental ability to vary the sex ratio of offspring. </w:t>
      </w:r>
      <w:r w:rsidRPr="00446A57">
        <w:rPr>
          <w:i/>
          <w:iCs/>
        </w:rPr>
        <w:t>Science</w:t>
      </w:r>
      <w:r w:rsidRPr="00446A57">
        <w:t xml:space="preserve">, </w:t>
      </w:r>
      <w:r w:rsidRPr="00446A57">
        <w:rPr>
          <w:i/>
          <w:iCs/>
        </w:rPr>
        <w:t>179</w:t>
      </w:r>
      <w:r w:rsidRPr="00446A57">
        <w:t>(4068), pp.90-92.</w:t>
      </w:r>
    </w:p>
    <w:p w:rsidR="00B8076E" w:rsidRPr="00446A57" w:rsidRDefault="00B8076E" w:rsidP="00C330C9">
      <w:pPr>
        <w:spacing w:after="0" w:line="480" w:lineRule="auto"/>
        <w:contextualSpacing/>
        <w:rPr>
          <w:rFonts w:eastAsia="Times New Roman"/>
        </w:rPr>
      </w:pPr>
      <w:r w:rsidRPr="00446A57">
        <w:rPr>
          <w:rFonts w:eastAsia="Times New Roman"/>
        </w:rPr>
        <w:t xml:space="preserve">Walker, Robert S., </w:t>
      </w:r>
      <w:proofErr w:type="spellStart"/>
      <w:r w:rsidRPr="00446A57">
        <w:rPr>
          <w:rFonts w:eastAsia="Times New Roman"/>
        </w:rPr>
        <w:t>Flinn</w:t>
      </w:r>
      <w:proofErr w:type="spellEnd"/>
      <w:r w:rsidRPr="00446A57">
        <w:rPr>
          <w:rFonts w:eastAsia="Times New Roman"/>
        </w:rPr>
        <w:t xml:space="preserve">, Mark V. and Hill, Kim R. 2010. Evolutionary history of partible paternity in lowland South America. </w:t>
      </w:r>
      <w:r w:rsidRPr="00446A57">
        <w:rPr>
          <w:rFonts w:eastAsia="Times New Roman"/>
          <w:i/>
          <w:iCs/>
        </w:rPr>
        <w:t>Proceedings of the National Academy of Sciences</w:t>
      </w:r>
      <w:r w:rsidRPr="00446A57">
        <w:rPr>
          <w:rFonts w:eastAsia="Times New Roman"/>
        </w:rPr>
        <w:t xml:space="preserve">, </w:t>
      </w:r>
      <w:r w:rsidRPr="00446A57">
        <w:rPr>
          <w:rFonts w:eastAsia="Times New Roman"/>
          <w:iCs/>
        </w:rPr>
        <w:t>107</w:t>
      </w:r>
      <w:r w:rsidRPr="00446A57">
        <w:rPr>
          <w:rFonts w:eastAsia="Times New Roman"/>
        </w:rPr>
        <w:t>(45): 19195-19200.</w:t>
      </w:r>
    </w:p>
    <w:p w:rsidR="00D4410A" w:rsidRPr="00446A57" w:rsidRDefault="00D4410A" w:rsidP="00C330C9">
      <w:pPr>
        <w:spacing w:after="0" w:line="480" w:lineRule="auto"/>
        <w:contextualSpacing/>
        <w:rPr>
          <w:rFonts w:eastAsia="Times New Roman"/>
        </w:rPr>
      </w:pPr>
      <w:proofErr w:type="spellStart"/>
      <w:r w:rsidRPr="00446A57">
        <w:t>Yvinec</w:t>
      </w:r>
      <w:proofErr w:type="spellEnd"/>
      <w:r w:rsidRPr="00446A57">
        <w:t xml:space="preserve">, </w:t>
      </w:r>
      <w:proofErr w:type="spellStart"/>
      <w:r w:rsidRPr="00446A57">
        <w:t>Cédric</w:t>
      </w:r>
      <w:proofErr w:type="spellEnd"/>
      <w:r w:rsidR="00DD0925" w:rsidRPr="00446A57">
        <w:t>. 2011.</w:t>
      </w:r>
      <w:r w:rsidRPr="00446A57">
        <w:t xml:space="preserve"> Les monuments </w:t>
      </w:r>
      <w:proofErr w:type="spellStart"/>
      <w:r w:rsidRPr="00446A57">
        <w:t>lyriques</w:t>
      </w:r>
      <w:proofErr w:type="spellEnd"/>
      <w:r w:rsidRPr="00446A57">
        <w:t xml:space="preserve"> des Suruí du </w:t>
      </w:r>
      <w:proofErr w:type="spellStart"/>
      <w:r w:rsidRPr="00446A57">
        <w:t>Rondônia</w:t>
      </w:r>
      <w:proofErr w:type="spellEnd"/>
      <w:r w:rsidRPr="00446A57">
        <w:t xml:space="preserve"> (</w:t>
      </w:r>
      <w:proofErr w:type="spellStart"/>
      <w:r w:rsidRPr="00446A57">
        <w:t>Amazonie</w:t>
      </w:r>
      <w:proofErr w:type="spellEnd"/>
      <w:r w:rsidRPr="00446A57">
        <w:t xml:space="preserve"> </w:t>
      </w:r>
      <w:proofErr w:type="spellStart"/>
      <w:r w:rsidRPr="00446A57">
        <w:t>méridionale</w:t>
      </w:r>
      <w:proofErr w:type="spellEnd"/>
      <w:r w:rsidRPr="00446A57">
        <w:t xml:space="preserve">): chants, </w:t>
      </w:r>
      <w:proofErr w:type="spellStart"/>
      <w:r w:rsidRPr="00446A57">
        <w:t>événements</w:t>
      </w:r>
      <w:proofErr w:type="spellEnd"/>
      <w:r w:rsidRPr="00446A57">
        <w:t xml:space="preserve"> </w:t>
      </w:r>
      <w:proofErr w:type="gramStart"/>
      <w:r w:rsidRPr="00446A57">
        <w:t>et</w:t>
      </w:r>
      <w:proofErr w:type="gramEnd"/>
      <w:r w:rsidRPr="00446A57">
        <w:t xml:space="preserve"> </w:t>
      </w:r>
      <w:proofErr w:type="spellStart"/>
      <w:r w:rsidRPr="00446A57">
        <w:t>savoirs</w:t>
      </w:r>
      <w:proofErr w:type="spellEnd"/>
      <w:r w:rsidRPr="00446A57">
        <w:t>, EHESS, Paris.</w:t>
      </w:r>
    </w:p>
    <w:p w:rsidR="00F37730" w:rsidRPr="00446A57" w:rsidRDefault="00F37730" w:rsidP="00C330C9">
      <w:pPr>
        <w:spacing w:after="0" w:line="480" w:lineRule="auto"/>
        <w:contextualSpacing/>
        <w:rPr>
          <w:rFonts w:eastAsia="Times New Roman"/>
        </w:rPr>
      </w:pPr>
    </w:p>
    <w:p w:rsidR="00F37730" w:rsidRPr="00446A57" w:rsidRDefault="00F37730" w:rsidP="00C330C9">
      <w:pPr>
        <w:spacing w:after="0" w:line="480" w:lineRule="auto"/>
        <w:contextualSpacing/>
        <w:rPr>
          <w:rFonts w:eastAsia="Times New Roman"/>
        </w:rPr>
      </w:pPr>
    </w:p>
    <w:p w:rsidR="00F37730" w:rsidRPr="00446A57" w:rsidRDefault="00F37730" w:rsidP="00C330C9">
      <w:pPr>
        <w:spacing w:after="0" w:line="480" w:lineRule="auto"/>
        <w:contextualSpacing/>
        <w:rPr>
          <w:rFonts w:eastAsia="Times New Roman"/>
        </w:rPr>
      </w:pPr>
    </w:p>
    <w:p w:rsidR="00F37730" w:rsidRPr="00446A57" w:rsidRDefault="00F37730" w:rsidP="00C330C9">
      <w:pPr>
        <w:spacing w:after="0" w:line="480" w:lineRule="auto"/>
        <w:contextualSpacing/>
        <w:rPr>
          <w:rFonts w:eastAsia="Times New Roman"/>
        </w:rPr>
      </w:pPr>
    </w:p>
    <w:p w:rsidR="00F37730" w:rsidRPr="00446A57" w:rsidRDefault="00F37730" w:rsidP="00C330C9">
      <w:pPr>
        <w:spacing w:after="0" w:line="480" w:lineRule="auto"/>
        <w:contextualSpacing/>
        <w:rPr>
          <w:rFonts w:eastAsia="Times New Roman"/>
        </w:rPr>
      </w:pPr>
    </w:p>
    <w:p w:rsidR="00F37730" w:rsidRPr="00446A57" w:rsidRDefault="00F37730" w:rsidP="00C330C9">
      <w:pPr>
        <w:spacing w:after="0" w:line="480" w:lineRule="auto"/>
        <w:contextualSpacing/>
        <w:rPr>
          <w:rFonts w:eastAsia="Times New Roman"/>
        </w:rPr>
      </w:pPr>
    </w:p>
    <w:p w:rsidR="00B8076E" w:rsidRPr="00446A57" w:rsidRDefault="00B8076E" w:rsidP="00C330C9">
      <w:pPr>
        <w:spacing w:line="480" w:lineRule="auto"/>
        <w:contextualSpacing/>
      </w:pPr>
    </w:p>
    <w:p w:rsidR="00B8076E" w:rsidRPr="00446A57" w:rsidRDefault="00B8076E" w:rsidP="00217FCC">
      <w:pPr>
        <w:spacing w:before="100" w:beforeAutospacing="1" w:after="100" w:afterAutospacing="1" w:line="240" w:lineRule="auto"/>
        <w:rPr>
          <w:rFonts w:eastAsia="Times New Roman"/>
        </w:rPr>
      </w:pPr>
    </w:p>
    <w:p w:rsidR="00F37730" w:rsidRPr="00446A57" w:rsidRDefault="00F37730" w:rsidP="00217FCC">
      <w:pPr>
        <w:spacing w:before="100" w:beforeAutospacing="1" w:after="100" w:afterAutospacing="1" w:line="240" w:lineRule="auto"/>
        <w:rPr>
          <w:rFonts w:eastAsia="Times New Roman"/>
        </w:rPr>
      </w:pPr>
    </w:p>
    <w:p w:rsidR="00F37730" w:rsidRPr="00446A57" w:rsidRDefault="00F37730" w:rsidP="00217FCC">
      <w:pPr>
        <w:spacing w:before="100" w:beforeAutospacing="1" w:after="100" w:afterAutospacing="1" w:line="240" w:lineRule="auto"/>
        <w:rPr>
          <w:rFonts w:eastAsia="Times New Roman"/>
        </w:rPr>
      </w:pPr>
    </w:p>
    <w:p w:rsidR="00F37730" w:rsidRPr="00446A57" w:rsidRDefault="00F37730" w:rsidP="00217FCC">
      <w:pPr>
        <w:spacing w:before="100" w:beforeAutospacing="1" w:after="100" w:afterAutospacing="1" w:line="240" w:lineRule="auto"/>
        <w:rPr>
          <w:rFonts w:eastAsia="Times New Roman"/>
        </w:rPr>
      </w:pPr>
    </w:p>
    <w:p w:rsidR="00F37730" w:rsidRPr="00446A57" w:rsidRDefault="00C046DF" w:rsidP="00C046DF">
      <w:pPr>
        <w:spacing w:before="100" w:beforeAutospacing="1" w:after="100" w:afterAutospacing="1" w:line="480" w:lineRule="auto"/>
        <w:contextualSpacing/>
        <w:rPr>
          <w:rFonts w:eastAsia="Times New Roman"/>
        </w:rPr>
      </w:pPr>
      <w:r w:rsidRPr="00446A57">
        <w:rPr>
          <w:rFonts w:eastAsia="Times New Roman"/>
          <w:vertAlign w:val="superscript"/>
        </w:rPr>
        <w:t>1</w:t>
      </w:r>
      <w:r w:rsidRPr="00446A57">
        <w:rPr>
          <w:rFonts w:eastAsia="Times New Roman"/>
        </w:rPr>
        <w:t>These live birth sex ratio data</w:t>
      </w:r>
      <w:r w:rsidR="00EC6A80" w:rsidRPr="00446A57">
        <w:rPr>
          <w:rFonts w:eastAsia="Times New Roman"/>
        </w:rPr>
        <w:t>bases</w:t>
      </w:r>
      <w:r w:rsidRPr="00446A57">
        <w:rPr>
          <w:rFonts w:eastAsia="Times New Roman"/>
        </w:rPr>
        <w:t xml:space="preserve"> were recorded for purposes</w:t>
      </w:r>
      <w:r w:rsidR="00EC6A80" w:rsidRPr="00446A57">
        <w:rPr>
          <w:rFonts w:eastAsia="Times New Roman"/>
        </w:rPr>
        <w:t xml:space="preserve"> other</w:t>
      </w:r>
      <w:r w:rsidRPr="00446A57">
        <w:rPr>
          <w:rFonts w:eastAsia="Times New Roman"/>
        </w:rPr>
        <w:t xml:space="preserve"> than the focus of this article</w:t>
      </w:r>
      <w:r w:rsidR="00977A33" w:rsidRPr="00446A57">
        <w:rPr>
          <w:rFonts w:eastAsia="Times New Roman"/>
        </w:rPr>
        <w:t>.  The Barí data ca</w:t>
      </w:r>
      <w:r w:rsidRPr="00446A57">
        <w:rPr>
          <w:rFonts w:eastAsia="Times New Roman"/>
        </w:rPr>
        <w:t xml:space="preserve">me from reproductive history interviews conducted </w:t>
      </w:r>
      <w:r w:rsidR="000C1033" w:rsidRPr="00446A57">
        <w:rPr>
          <w:rFonts w:eastAsia="Times New Roman"/>
        </w:rPr>
        <w:t>by Beckerman and R. Lizarralde</w:t>
      </w:r>
      <w:r w:rsidRPr="00446A57">
        <w:rPr>
          <w:rFonts w:eastAsia="Times New Roman"/>
        </w:rPr>
        <w:t xml:space="preserve"> in Venezuela with 114 post-reproductive women (or in a few cases of deceased women, their immediate famil</w:t>
      </w:r>
      <w:r w:rsidR="00065BD7" w:rsidRPr="00446A57">
        <w:rPr>
          <w:rFonts w:eastAsia="Times New Roman"/>
        </w:rPr>
        <w:t>y members.)</w:t>
      </w:r>
      <w:r w:rsidRPr="00446A57">
        <w:rPr>
          <w:rFonts w:eastAsia="Times New Roman"/>
        </w:rPr>
        <w:t xml:space="preserve"> </w:t>
      </w:r>
      <w:r w:rsidR="00977A33" w:rsidRPr="00446A57">
        <w:rPr>
          <w:rFonts w:eastAsia="Times New Roman"/>
        </w:rPr>
        <w:t>These subjects were essentially all the post-reproductive Barí women then living in Venezuela.</w:t>
      </w:r>
      <w:r w:rsidRPr="00446A57">
        <w:rPr>
          <w:rFonts w:eastAsia="Times New Roman"/>
        </w:rPr>
        <w:t xml:space="preserve"> The field protocol, designed around the issue of whether children with secondary fath</w:t>
      </w:r>
      <w:r w:rsidR="00511671" w:rsidRPr="00446A57">
        <w:rPr>
          <w:rFonts w:eastAsia="Times New Roman"/>
        </w:rPr>
        <w:t>ers had improved survivorship, wa</w:t>
      </w:r>
      <w:r w:rsidRPr="00446A57">
        <w:rPr>
          <w:rFonts w:eastAsia="Times New Roman"/>
        </w:rPr>
        <w:t xml:space="preserve">s </w:t>
      </w:r>
      <w:r w:rsidR="00BC63AB" w:rsidRPr="00446A57">
        <w:rPr>
          <w:rFonts w:eastAsia="Times New Roman"/>
        </w:rPr>
        <w:t>reviewed</w:t>
      </w:r>
      <w:r w:rsidRPr="00446A57">
        <w:rPr>
          <w:rFonts w:eastAsia="Times New Roman"/>
        </w:rPr>
        <w:t xml:space="preserve"> in Beckerman et al. (2002</w:t>
      </w:r>
      <w:r w:rsidR="00065BD7" w:rsidRPr="00446A57">
        <w:rPr>
          <w:rFonts w:eastAsia="Times New Roman"/>
        </w:rPr>
        <w:t>: 33-35</w:t>
      </w:r>
      <w:r w:rsidRPr="00446A57">
        <w:rPr>
          <w:rFonts w:eastAsia="Times New Roman"/>
        </w:rPr>
        <w:t>.)</w:t>
      </w:r>
      <w:r w:rsidR="007478B5" w:rsidRPr="00446A57">
        <w:rPr>
          <w:rFonts w:eastAsia="Times New Roman"/>
        </w:rPr>
        <w:t xml:space="preserve">  The Aché data</w:t>
      </w:r>
      <w:r w:rsidR="00065BD7" w:rsidRPr="00446A57">
        <w:rPr>
          <w:rFonts w:eastAsia="Times New Roman"/>
        </w:rPr>
        <w:t xml:space="preserve"> came from interviews of 338 Northern Aché over the age of ten.  Field methods</w:t>
      </w:r>
      <w:r w:rsidR="00511671" w:rsidRPr="00446A57">
        <w:rPr>
          <w:rFonts w:eastAsia="Times New Roman"/>
        </w:rPr>
        <w:t xml:space="preserve"> were elaborate and were</w:t>
      </w:r>
      <w:r w:rsidR="007E7F39" w:rsidRPr="00446A57">
        <w:rPr>
          <w:rFonts w:eastAsia="Times New Roman"/>
        </w:rPr>
        <w:t xml:space="preserve"> discussed</w:t>
      </w:r>
      <w:r w:rsidR="00065BD7" w:rsidRPr="00446A57">
        <w:rPr>
          <w:rFonts w:eastAsia="Times New Roman"/>
        </w:rPr>
        <w:t xml:space="preserve"> in Hill and Hurtado (1996: 86-94.)  </w:t>
      </w:r>
      <w:r w:rsidR="007E7F39" w:rsidRPr="00446A57">
        <w:t xml:space="preserve">Peluso’s data from a Peruvian Ese </w:t>
      </w:r>
      <w:r w:rsidR="00511671" w:rsidRPr="00446A57">
        <w:lastRenderedPageBreak/>
        <w:t>Eja community we</w:t>
      </w:r>
      <w:r w:rsidR="007E7F39" w:rsidRPr="00446A57">
        <w:t>re</w:t>
      </w:r>
      <w:r w:rsidR="000554BA" w:rsidRPr="00446A57">
        <w:t xml:space="preserve"> supported by 65+ mont</w:t>
      </w:r>
      <w:r w:rsidR="00BC63AB" w:rsidRPr="00446A57">
        <w:t>hs of fieldwork. The data set was</w:t>
      </w:r>
      <w:r w:rsidR="000554BA" w:rsidRPr="00446A57">
        <w:t xml:space="preserve"> not a sample set but rath</w:t>
      </w:r>
      <w:r w:rsidR="00BC63AB" w:rsidRPr="00446A57">
        <w:t>er a full data set that included</w:t>
      </w:r>
      <w:r w:rsidR="000554BA" w:rsidRPr="00446A57">
        <w:t xml:space="preserve"> all adult members of one community. Methods include</w:t>
      </w:r>
      <w:r w:rsidR="007E7F39" w:rsidRPr="00446A57">
        <w:t>d</w:t>
      </w:r>
      <w:r w:rsidR="000554BA" w:rsidRPr="00446A57">
        <w:t xml:space="preserve"> structured and unstructured interviews that were used to create a data matrix that was triangulated via further interviews and participant observation.</w:t>
      </w:r>
      <w:r w:rsidR="000C1033" w:rsidRPr="00446A57">
        <w:rPr>
          <w:rFonts w:eastAsia="Times New Roman"/>
        </w:rPr>
        <w:t xml:space="preserve"> </w:t>
      </w:r>
      <w:r w:rsidR="000554BA" w:rsidRPr="00446A57">
        <w:rPr>
          <w:rFonts w:eastAsia="Times New Roman"/>
        </w:rPr>
        <w:t xml:space="preserve"> </w:t>
      </w:r>
      <w:r w:rsidR="00BC63AB" w:rsidRPr="00446A57">
        <w:rPr>
          <w:rFonts w:eastAsia="Times New Roman"/>
        </w:rPr>
        <w:t>Further details in</w:t>
      </w:r>
      <w:r w:rsidR="008A112F" w:rsidRPr="00446A57">
        <w:rPr>
          <w:rFonts w:eastAsia="Times New Roman"/>
        </w:rPr>
        <w:t xml:space="preserve"> Peluso (2004) and </w:t>
      </w:r>
      <w:proofErr w:type="spellStart"/>
      <w:r w:rsidR="008A112F" w:rsidRPr="00446A57">
        <w:rPr>
          <w:rFonts w:eastAsia="Times New Roman"/>
        </w:rPr>
        <w:t>Alexiades</w:t>
      </w:r>
      <w:proofErr w:type="spellEnd"/>
      <w:r w:rsidR="008A112F" w:rsidRPr="00446A57">
        <w:rPr>
          <w:rFonts w:eastAsia="Times New Roman"/>
        </w:rPr>
        <w:t xml:space="preserve"> and Peluso (2009.) </w:t>
      </w:r>
      <w:r w:rsidR="003E3823" w:rsidRPr="00446A57">
        <w:rPr>
          <w:rFonts w:eastAsia="Times New Roman"/>
        </w:rPr>
        <w:t xml:space="preserve">The </w:t>
      </w:r>
      <w:proofErr w:type="spellStart"/>
      <w:r w:rsidR="003E3823" w:rsidRPr="00446A57">
        <w:rPr>
          <w:rFonts w:eastAsia="Times New Roman"/>
        </w:rPr>
        <w:t>Surui</w:t>
      </w:r>
      <w:proofErr w:type="spellEnd"/>
      <w:r w:rsidR="003E3823" w:rsidRPr="00446A57">
        <w:rPr>
          <w:rFonts w:eastAsia="Times New Roman"/>
        </w:rPr>
        <w:t xml:space="preserve"> data were logged</w:t>
      </w:r>
      <w:r w:rsidR="007478B5" w:rsidRPr="00446A57">
        <w:rPr>
          <w:rFonts w:eastAsia="Times New Roman"/>
        </w:rPr>
        <w:t xml:space="preserve"> by </w:t>
      </w:r>
      <w:proofErr w:type="spellStart"/>
      <w:r w:rsidR="007478B5" w:rsidRPr="00446A57">
        <w:rPr>
          <w:rFonts w:eastAsia="Times New Roman"/>
        </w:rPr>
        <w:t>Yvinec</w:t>
      </w:r>
      <w:proofErr w:type="spellEnd"/>
      <w:r w:rsidR="007478B5" w:rsidRPr="00446A57">
        <w:rPr>
          <w:rFonts w:eastAsia="Times New Roman"/>
        </w:rPr>
        <w:t xml:space="preserve"> in the cour</w:t>
      </w:r>
      <w:r w:rsidR="00531F1F" w:rsidRPr="00446A57">
        <w:rPr>
          <w:rFonts w:eastAsia="Times New Roman"/>
        </w:rPr>
        <w:t xml:space="preserve">se of </w:t>
      </w:r>
      <w:r w:rsidR="003E3823" w:rsidRPr="00446A57">
        <w:rPr>
          <w:rFonts w:eastAsia="Times New Roman"/>
        </w:rPr>
        <w:t>recording</w:t>
      </w:r>
      <w:r w:rsidR="000554BA" w:rsidRPr="00446A57">
        <w:rPr>
          <w:rFonts w:eastAsia="Times New Roman"/>
        </w:rPr>
        <w:t xml:space="preserve"> </w:t>
      </w:r>
      <w:r w:rsidR="00531F1F" w:rsidRPr="00446A57">
        <w:rPr>
          <w:rFonts w:eastAsia="Times New Roman"/>
        </w:rPr>
        <w:t>genealogies</w:t>
      </w:r>
      <w:r w:rsidR="007478B5" w:rsidRPr="00446A57">
        <w:rPr>
          <w:rFonts w:eastAsia="Times New Roman"/>
        </w:rPr>
        <w:t>.  When a child was attributed to more than one father, he noted the men</w:t>
      </w:r>
      <w:r w:rsidR="00D4410A" w:rsidRPr="00446A57">
        <w:rPr>
          <w:rFonts w:eastAsia="Times New Roman"/>
        </w:rPr>
        <w:t xml:space="preserve"> identified.  However, he did not inquire explicitly into the fatherhood of all children, and may have missed some cases of multiple paternity.  His field </w:t>
      </w:r>
      <w:r w:rsidR="00BC63AB" w:rsidRPr="00446A57">
        <w:rPr>
          <w:rFonts w:eastAsia="Times New Roman"/>
        </w:rPr>
        <w:t xml:space="preserve">methods </w:t>
      </w:r>
      <w:proofErr w:type="spellStart"/>
      <w:r w:rsidR="00BC63AB" w:rsidRPr="00446A57">
        <w:rPr>
          <w:rFonts w:eastAsia="Times New Roman"/>
        </w:rPr>
        <w:t>wer</w:t>
      </w:r>
      <w:proofErr w:type="spellEnd"/>
      <w:r w:rsidR="00D4410A" w:rsidRPr="00446A57">
        <w:rPr>
          <w:rFonts w:eastAsia="Times New Roman"/>
        </w:rPr>
        <w:t xml:space="preserve"> described in </w:t>
      </w:r>
      <w:proofErr w:type="spellStart"/>
      <w:r w:rsidR="00D4410A" w:rsidRPr="00446A57">
        <w:rPr>
          <w:rFonts w:eastAsia="Times New Roman"/>
        </w:rPr>
        <w:t>Yvinec</w:t>
      </w:r>
      <w:proofErr w:type="spellEnd"/>
      <w:r w:rsidR="00D4410A" w:rsidRPr="00446A57">
        <w:rPr>
          <w:rFonts w:eastAsia="Times New Roman"/>
        </w:rPr>
        <w:t xml:space="preserve"> (2011.)  He gene</w:t>
      </w:r>
      <w:r w:rsidR="00065BD7" w:rsidRPr="00446A57">
        <w:rPr>
          <w:rFonts w:eastAsia="Times New Roman"/>
        </w:rPr>
        <w:t>rously supplied these data</w:t>
      </w:r>
      <w:r w:rsidR="0034032D" w:rsidRPr="00446A57">
        <w:rPr>
          <w:rFonts w:eastAsia="Times New Roman"/>
        </w:rPr>
        <w:t>, but</w:t>
      </w:r>
      <w:r w:rsidR="00065BD7" w:rsidRPr="00446A57">
        <w:rPr>
          <w:rFonts w:eastAsia="Times New Roman"/>
        </w:rPr>
        <w:t>, as a linguistic anthropologist,</w:t>
      </w:r>
      <w:r w:rsidR="0034032D" w:rsidRPr="00446A57">
        <w:rPr>
          <w:rFonts w:eastAsia="Times New Roman"/>
        </w:rPr>
        <w:t xml:space="preserve"> did not participate</w:t>
      </w:r>
      <w:r w:rsidR="00D4410A" w:rsidRPr="00446A57">
        <w:rPr>
          <w:rFonts w:eastAsia="Times New Roman"/>
        </w:rPr>
        <w:t xml:space="preserve"> in the analytical or theoretical </w:t>
      </w:r>
      <w:r w:rsidR="0034032D" w:rsidRPr="00446A57">
        <w:rPr>
          <w:rFonts w:eastAsia="Times New Roman"/>
        </w:rPr>
        <w:t xml:space="preserve">portions </w:t>
      </w:r>
      <w:r w:rsidR="00D4410A" w:rsidRPr="00446A57">
        <w:rPr>
          <w:rFonts w:eastAsia="Times New Roman"/>
        </w:rPr>
        <w:t>of this</w:t>
      </w:r>
      <w:r w:rsidR="0034032D" w:rsidRPr="00446A57">
        <w:rPr>
          <w:rFonts w:eastAsia="Times New Roman"/>
        </w:rPr>
        <w:t xml:space="preserve"> article</w:t>
      </w:r>
      <w:r w:rsidR="00D4410A" w:rsidRPr="00446A57">
        <w:rPr>
          <w:rFonts w:eastAsia="Times New Roman"/>
        </w:rPr>
        <w:t>.</w:t>
      </w:r>
    </w:p>
    <w:p w:rsidR="00487A79" w:rsidRPr="00446A57" w:rsidRDefault="00487A79" w:rsidP="00C046DF">
      <w:pPr>
        <w:spacing w:before="100" w:beforeAutospacing="1" w:after="100" w:afterAutospacing="1" w:line="480" w:lineRule="auto"/>
        <w:contextualSpacing/>
        <w:rPr>
          <w:rFonts w:eastAsia="Times New Roman"/>
        </w:rPr>
      </w:pPr>
      <w:r w:rsidRPr="00446A57">
        <w:rPr>
          <w:rFonts w:eastAsia="Times New Roman"/>
          <w:vertAlign w:val="superscript"/>
        </w:rPr>
        <w:t>2</w:t>
      </w:r>
      <w:r w:rsidR="00AB3F33" w:rsidRPr="00446A57">
        <w:rPr>
          <w:rFonts w:eastAsia="Times New Roman"/>
        </w:rPr>
        <w:t>No systematic evaluation</w:t>
      </w:r>
      <w:r w:rsidR="006078AA" w:rsidRPr="00446A57">
        <w:rPr>
          <w:rFonts w:eastAsia="Times New Roman"/>
        </w:rPr>
        <w:t xml:space="preserve"> of</w:t>
      </w:r>
      <w:r w:rsidR="00AB3F33" w:rsidRPr="00446A57">
        <w:rPr>
          <w:rFonts w:eastAsia="Times New Roman"/>
        </w:rPr>
        <w:t xml:space="preserve"> </w:t>
      </w:r>
      <w:r w:rsidR="00EE106B" w:rsidRPr="00446A57">
        <w:rPr>
          <w:rFonts w:eastAsia="Times New Roman"/>
        </w:rPr>
        <w:t xml:space="preserve">the </w:t>
      </w:r>
      <w:r w:rsidR="00AB3F33" w:rsidRPr="00446A57">
        <w:rPr>
          <w:rFonts w:eastAsia="Times New Roman"/>
        </w:rPr>
        <w:t>distinguishing characteristics of secondary fath</w:t>
      </w:r>
      <w:r w:rsidR="009922BB" w:rsidRPr="00446A57">
        <w:rPr>
          <w:rFonts w:eastAsia="Times New Roman"/>
        </w:rPr>
        <w:t>ers has</w:t>
      </w:r>
      <w:r w:rsidR="00AB3F33" w:rsidRPr="00446A57">
        <w:rPr>
          <w:rFonts w:eastAsia="Times New Roman"/>
        </w:rPr>
        <w:t xml:space="preserve"> been published.</w:t>
      </w:r>
      <w:r w:rsidR="006078AA" w:rsidRPr="00446A57">
        <w:rPr>
          <w:rFonts w:eastAsia="Times New Roman"/>
        </w:rPr>
        <w:t xml:space="preserve">  </w:t>
      </w:r>
      <w:r w:rsidR="00F54AAC" w:rsidRPr="00446A57">
        <w:rPr>
          <w:rFonts w:eastAsia="Times New Roman"/>
        </w:rPr>
        <w:t xml:space="preserve">Among the Aché, </w:t>
      </w:r>
      <w:r w:rsidR="006078AA" w:rsidRPr="00446A57">
        <w:rPr>
          <w:rFonts w:eastAsia="Times New Roman"/>
        </w:rPr>
        <w:t>Hill and Hurtado (1996: 442) suggested that “men who regularly supplied meat to the mother were also likely to be her lovers, and thus a secondary father of the child in question.”</w:t>
      </w:r>
      <w:r w:rsidR="00F54AAC" w:rsidRPr="00446A57">
        <w:rPr>
          <w:rFonts w:eastAsia="Times New Roman"/>
        </w:rPr>
        <w:t xml:space="preserve">  Among the Barí, Beckerman and Lizarralde (2013: 197-8) found that good hunters had more wives than ordinary men.  It could be argued that this predilection for good hunters as husbands might </w:t>
      </w:r>
      <w:r w:rsidR="00B128CD" w:rsidRPr="00446A57">
        <w:rPr>
          <w:rFonts w:eastAsia="Times New Roman"/>
        </w:rPr>
        <w:t xml:space="preserve">have </w:t>
      </w:r>
      <w:r w:rsidR="00F54AAC" w:rsidRPr="00446A57">
        <w:rPr>
          <w:rFonts w:eastAsia="Times New Roman"/>
        </w:rPr>
        <w:t>extend</w:t>
      </w:r>
      <w:r w:rsidR="00B128CD" w:rsidRPr="00446A57">
        <w:rPr>
          <w:rFonts w:eastAsia="Times New Roman"/>
        </w:rPr>
        <w:t>ed</w:t>
      </w:r>
      <w:r w:rsidR="00F54AAC" w:rsidRPr="00446A57">
        <w:rPr>
          <w:rFonts w:eastAsia="Times New Roman"/>
        </w:rPr>
        <w:t xml:space="preserve"> to a preference for good hunters as lovers as well.</w:t>
      </w:r>
      <w:r w:rsidR="00EE106B" w:rsidRPr="00446A57">
        <w:rPr>
          <w:rFonts w:eastAsia="Times New Roman"/>
        </w:rPr>
        <w:t xml:space="preserve">  Nor has there been </w:t>
      </w:r>
      <w:r w:rsidR="00B128CD" w:rsidRPr="00446A57">
        <w:rPr>
          <w:rFonts w:eastAsia="Times New Roman"/>
        </w:rPr>
        <w:t>any clarification</w:t>
      </w:r>
      <w:r w:rsidR="00FD49C7" w:rsidRPr="00446A57">
        <w:rPr>
          <w:rFonts w:eastAsia="Times New Roman"/>
        </w:rPr>
        <w:t xml:space="preserve"> of why secondary fathers </w:t>
      </w:r>
      <w:r w:rsidR="00EE106B" w:rsidRPr="00446A57">
        <w:rPr>
          <w:rFonts w:eastAsia="Times New Roman"/>
        </w:rPr>
        <w:t>were rare (</w:t>
      </w:r>
      <w:r w:rsidR="00B128CD" w:rsidRPr="00446A57">
        <w:rPr>
          <w:rFonts w:eastAsia="Times New Roman"/>
        </w:rPr>
        <w:t>named</w:t>
      </w:r>
      <w:r w:rsidR="00EE106B" w:rsidRPr="00446A57">
        <w:rPr>
          <w:rFonts w:eastAsia="Times New Roman"/>
        </w:rPr>
        <w:t xml:space="preserve"> for </w:t>
      </w:r>
      <w:r w:rsidR="00EE106B" w:rsidRPr="00446A57">
        <w:rPr>
          <w:rFonts w:eastAsia="Times New Roman"/>
        </w:rPr>
        <w:lastRenderedPageBreak/>
        <w:t>under 20% of the full sample.)</w:t>
      </w:r>
      <w:r w:rsidR="00FD49C7" w:rsidRPr="00446A57">
        <w:rPr>
          <w:rFonts w:eastAsia="Times New Roman"/>
        </w:rPr>
        <w:t xml:space="preserve"> </w:t>
      </w:r>
      <w:r w:rsidR="00B128CD" w:rsidRPr="00446A57">
        <w:rPr>
          <w:rFonts w:eastAsia="Times New Roman"/>
        </w:rPr>
        <w:t xml:space="preserve"> </w:t>
      </w:r>
      <w:r w:rsidR="00EE106B" w:rsidRPr="00446A57">
        <w:rPr>
          <w:rFonts w:eastAsia="Times New Roman"/>
        </w:rPr>
        <w:t xml:space="preserve">Beckerman and Lizarralde (2013: </w:t>
      </w:r>
      <w:r w:rsidR="00B128CD" w:rsidRPr="00446A57">
        <w:rPr>
          <w:rFonts w:eastAsia="Times New Roman"/>
        </w:rPr>
        <w:t>209-10) discussed possible explanations for this infrequency among the Barí, but no general explanation has been offered.</w:t>
      </w:r>
    </w:p>
    <w:p w:rsidR="007E7F39" w:rsidRPr="00446A57" w:rsidRDefault="000B6525" w:rsidP="00C046DF">
      <w:pPr>
        <w:spacing w:before="100" w:beforeAutospacing="1" w:after="100" w:afterAutospacing="1" w:line="480" w:lineRule="auto"/>
        <w:contextualSpacing/>
        <w:rPr>
          <w:rFonts w:eastAsia="Times New Roman"/>
        </w:rPr>
      </w:pPr>
      <w:r w:rsidRPr="00446A57">
        <w:rPr>
          <w:vertAlign w:val="superscript"/>
        </w:rPr>
        <w:t>3</w:t>
      </w:r>
      <w:r w:rsidRPr="00446A57">
        <w:t xml:space="preserve">All these databases recorded sex of live born and number of secondary fathers after the birth of the child in question.  It is conceivable that for some reason women might be more </w:t>
      </w:r>
      <w:r w:rsidR="00CA34A4" w:rsidRPr="00446A57">
        <w:t>prone to identify secondary fathers for a male rather than a female child, a</w:t>
      </w:r>
      <w:r w:rsidR="00BC63AB" w:rsidRPr="00446A57">
        <w:t>lthough we have no</w:t>
      </w:r>
      <w:r w:rsidR="00CA34A4" w:rsidRPr="00446A57">
        <w:t xml:space="preserve"> evidence for such a tendency, and it would leave unexplained</w:t>
      </w:r>
      <w:r w:rsidR="00CA34A4" w:rsidRPr="00446A57">
        <w:rPr>
          <w:rFonts w:eastAsia="Times New Roman"/>
        </w:rPr>
        <w:t xml:space="preserve"> the under-representation of males in those children attributed to two or more secondary fathers.  Nevertheless, the possibility merits further field research</w:t>
      </w:r>
      <w:r w:rsidR="00DB2C50" w:rsidRPr="00446A57">
        <w:rPr>
          <w:rFonts w:eastAsia="Times New Roman"/>
        </w:rPr>
        <w:t>.</w:t>
      </w:r>
    </w:p>
    <w:p w:rsidR="00DB2C50" w:rsidRPr="00DB2C50" w:rsidRDefault="00DB2C50" w:rsidP="00C046DF">
      <w:pPr>
        <w:spacing w:before="100" w:beforeAutospacing="1" w:after="100" w:afterAutospacing="1" w:line="480" w:lineRule="auto"/>
        <w:contextualSpacing/>
        <w:rPr>
          <w:rFonts w:eastAsia="Times New Roman"/>
        </w:rPr>
      </w:pPr>
      <w:r w:rsidRPr="00446A57">
        <w:rPr>
          <w:rFonts w:eastAsia="Times New Roman"/>
          <w:vertAlign w:val="superscript"/>
        </w:rPr>
        <w:t>4</w:t>
      </w:r>
      <w:r w:rsidRPr="00446A57">
        <w:rPr>
          <w:rFonts w:eastAsia="Times New Roman"/>
        </w:rPr>
        <w:t xml:space="preserve">In response to popular reports soon after contact that the Barí were giants, Roberto Lizarralde took the heights of quite a few of them with a tape measure in his early fieldwork.  The figures used here refer only to measured men whose eventual </w:t>
      </w:r>
      <w:r w:rsidR="00C62C33" w:rsidRPr="00446A57">
        <w:rPr>
          <w:rFonts w:eastAsia="Times New Roman"/>
        </w:rPr>
        <w:t xml:space="preserve">completed </w:t>
      </w:r>
      <w:r w:rsidRPr="00446A57">
        <w:rPr>
          <w:rFonts w:eastAsia="Times New Roman"/>
        </w:rPr>
        <w:t>reproductive success we were able to track.  Many of the others died in post-contact epidemics</w:t>
      </w:r>
      <w:bookmarkStart w:id="0" w:name="_GoBack"/>
      <w:bookmarkEnd w:id="0"/>
    </w:p>
    <w:sectPr w:rsidR="00DB2C50" w:rsidRPr="00DB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Janson-t-text">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CF"/>
    <w:rsid w:val="000053E9"/>
    <w:rsid w:val="00040CB7"/>
    <w:rsid w:val="00051D17"/>
    <w:rsid w:val="000554BA"/>
    <w:rsid w:val="000629A0"/>
    <w:rsid w:val="00065BD7"/>
    <w:rsid w:val="00066C2E"/>
    <w:rsid w:val="000676FC"/>
    <w:rsid w:val="00067967"/>
    <w:rsid w:val="00073FB2"/>
    <w:rsid w:val="0008194C"/>
    <w:rsid w:val="00082ABC"/>
    <w:rsid w:val="00083DE9"/>
    <w:rsid w:val="000909D2"/>
    <w:rsid w:val="00094DFD"/>
    <w:rsid w:val="000A3ECC"/>
    <w:rsid w:val="000B6525"/>
    <w:rsid w:val="000B6E24"/>
    <w:rsid w:val="000C1033"/>
    <w:rsid w:val="000C14C4"/>
    <w:rsid w:val="000D0517"/>
    <w:rsid w:val="000D3A03"/>
    <w:rsid w:val="000E5558"/>
    <w:rsid w:val="000F04FB"/>
    <w:rsid w:val="000F6756"/>
    <w:rsid w:val="00140078"/>
    <w:rsid w:val="00174065"/>
    <w:rsid w:val="00175025"/>
    <w:rsid w:val="00197ABD"/>
    <w:rsid w:val="001A122D"/>
    <w:rsid w:val="001D4D2F"/>
    <w:rsid w:val="001D5179"/>
    <w:rsid w:val="001E6BF6"/>
    <w:rsid w:val="00217FCC"/>
    <w:rsid w:val="00233EF7"/>
    <w:rsid w:val="00234EF3"/>
    <w:rsid w:val="00245C1E"/>
    <w:rsid w:val="00260EF8"/>
    <w:rsid w:val="002618B6"/>
    <w:rsid w:val="00273C59"/>
    <w:rsid w:val="00282782"/>
    <w:rsid w:val="00292281"/>
    <w:rsid w:val="00292E90"/>
    <w:rsid w:val="002B03CC"/>
    <w:rsid w:val="002B52EC"/>
    <w:rsid w:val="002C13F7"/>
    <w:rsid w:val="002C3207"/>
    <w:rsid w:val="002D2C54"/>
    <w:rsid w:val="002D37AD"/>
    <w:rsid w:val="002D6755"/>
    <w:rsid w:val="002E0D9D"/>
    <w:rsid w:val="002E5CFF"/>
    <w:rsid w:val="002F0B85"/>
    <w:rsid w:val="00300BF7"/>
    <w:rsid w:val="00300E03"/>
    <w:rsid w:val="0030376F"/>
    <w:rsid w:val="003239F6"/>
    <w:rsid w:val="0034032D"/>
    <w:rsid w:val="00340B27"/>
    <w:rsid w:val="00355557"/>
    <w:rsid w:val="00355D38"/>
    <w:rsid w:val="00362D3D"/>
    <w:rsid w:val="00362F6A"/>
    <w:rsid w:val="00366DF9"/>
    <w:rsid w:val="003B05E3"/>
    <w:rsid w:val="003B4739"/>
    <w:rsid w:val="003C2E4E"/>
    <w:rsid w:val="003E3823"/>
    <w:rsid w:val="003F5B53"/>
    <w:rsid w:val="004030FE"/>
    <w:rsid w:val="00404E8D"/>
    <w:rsid w:val="00405504"/>
    <w:rsid w:val="004123DA"/>
    <w:rsid w:val="00412797"/>
    <w:rsid w:val="004131EA"/>
    <w:rsid w:val="00416CE2"/>
    <w:rsid w:val="00420AC2"/>
    <w:rsid w:val="00422707"/>
    <w:rsid w:val="0043190E"/>
    <w:rsid w:val="0043238E"/>
    <w:rsid w:val="0044678F"/>
    <w:rsid w:val="00446A57"/>
    <w:rsid w:val="00473F89"/>
    <w:rsid w:val="00487A79"/>
    <w:rsid w:val="0049665F"/>
    <w:rsid w:val="004A7B04"/>
    <w:rsid w:val="004B424E"/>
    <w:rsid w:val="004C734F"/>
    <w:rsid w:val="004D2C52"/>
    <w:rsid w:val="004F1B4E"/>
    <w:rsid w:val="004F1F70"/>
    <w:rsid w:val="00502E9E"/>
    <w:rsid w:val="00511671"/>
    <w:rsid w:val="005135DC"/>
    <w:rsid w:val="00515818"/>
    <w:rsid w:val="00515AC4"/>
    <w:rsid w:val="005178F5"/>
    <w:rsid w:val="00531F1F"/>
    <w:rsid w:val="005459E8"/>
    <w:rsid w:val="00550172"/>
    <w:rsid w:val="00552BBC"/>
    <w:rsid w:val="005634BE"/>
    <w:rsid w:val="0058279E"/>
    <w:rsid w:val="005904F1"/>
    <w:rsid w:val="00593DBB"/>
    <w:rsid w:val="0059457D"/>
    <w:rsid w:val="005B517B"/>
    <w:rsid w:val="005B62C3"/>
    <w:rsid w:val="005C26A7"/>
    <w:rsid w:val="005D7CE5"/>
    <w:rsid w:val="005E0FD0"/>
    <w:rsid w:val="005E2572"/>
    <w:rsid w:val="005E65BC"/>
    <w:rsid w:val="005F495B"/>
    <w:rsid w:val="00603EC5"/>
    <w:rsid w:val="006064C0"/>
    <w:rsid w:val="006076E2"/>
    <w:rsid w:val="006078AA"/>
    <w:rsid w:val="00612B71"/>
    <w:rsid w:val="00625B9E"/>
    <w:rsid w:val="0062660E"/>
    <w:rsid w:val="006410C2"/>
    <w:rsid w:val="00644539"/>
    <w:rsid w:val="0065644F"/>
    <w:rsid w:val="0066165A"/>
    <w:rsid w:val="00670679"/>
    <w:rsid w:val="00691BE6"/>
    <w:rsid w:val="00693A4A"/>
    <w:rsid w:val="006C6074"/>
    <w:rsid w:val="006C6BB9"/>
    <w:rsid w:val="006E4124"/>
    <w:rsid w:val="006E552E"/>
    <w:rsid w:val="006F2F2D"/>
    <w:rsid w:val="006F573B"/>
    <w:rsid w:val="0071172C"/>
    <w:rsid w:val="00724743"/>
    <w:rsid w:val="007478B5"/>
    <w:rsid w:val="00750F5D"/>
    <w:rsid w:val="00762809"/>
    <w:rsid w:val="0076566A"/>
    <w:rsid w:val="00765C3B"/>
    <w:rsid w:val="00767239"/>
    <w:rsid w:val="00774BC3"/>
    <w:rsid w:val="007862E2"/>
    <w:rsid w:val="007A1CDF"/>
    <w:rsid w:val="007A1DD1"/>
    <w:rsid w:val="007A2EC9"/>
    <w:rsid w:val="007B44F6"/>
    <w:rsid w:val="007B6506"/>
    <w:rsid w:val="007D42E5"/>
    <w:rsid w:val="007E7F39"/>
    <w:rsid w:val="007F0D77"/>
    <w:rsid w:val="007F1EFB"/>
    <w:rsid w:val="007F3A84"/>
    <w:rsid w:val="008049BA"/>
    <w:rsid w:val="008135ED"/>
    <w:rsid w:val="00832A20"/>
    <w:rsid w:val="00834132"/>
    <w:rsid w:val="00834187"/>
    <w:rsid w:val="00841CB3"/>
    <w:rsid w:val="00843ED5"/>
    <w:rsid w:val="00850424"/>
    <w:rsid w:val="008513D0"/>
    <w:rsid w:val="00862D16"/>
    <w:rsid w:val="008663E4"/>
    <w:rsid w:val="008671F7"/>
    <w:rsid w:val="00873821"/>
    <w:rsid w:val="008754EB"/>
    <w:rsid w:val="00881253"/>
    <w:rsid w:val="008A112F"/>
    <w:rsid w:val="008A38DC"/>
    <w:rsid w:val="008B7994"/>
    <w:rsid w:val="008D31D2"/>
    <w:rsid w:val="008F22DF"/>
    <w:rsid w:val="008F4A60"/>
    <w:rsid w:val="00906071"/>
    <w:rsid w:val="00907AA4"/>
    <w:rsid w:val="009174DD"/>
    <w:rsid w:val="009225C2"/>
    <w:rsid w:val="00923E50"/>
    <w:rsid w:val="00933A42"/>
    <w:rsid w:val="0093499B"/>
    <w:rsid w:val="00940BF6"/>
    <w:rsid w:val="00953DC4"/>
    <w:rsid w:val="00977A33"/>
    <w:rsid w:val="00985F50"/>
    <w:rsid w:val="009922BB"/>
    <w:rsid w:val="00992A3B"/>
    <w:rsid w:val="00997D78"/>
    <w:rsid w:val="009A2CE1"/>
    <w:rsid w:val="009A785A"/>
    <w:rsid w:val="009B3DAE"/>
    <w:rsid w:val="009D13CE"/>
    <w:rsid w:val="009E005D"/>
    <w:rsid w:val="009E1DBC"/>
    <w:rsid w:val="009E285D"/>
    <w:rsid w:val="009E2A3F"/>
    <w:rsid w:val="00A114EA"/>
    <w:rsid w:val="00A222BF"/>
    <w:rsid w:val="00A31FCF"/>
    <w:rsid w:val="00A61D7D"/>
    <w:rsid w:val="00A71A91"/>
    <w:rsid w:val="00A75375"/>
    <w:rsid w:val="00A8132F"/>
    <w:rsid w:val="00A963B9"/>
    <w:rsid w:val="00AA20EB"/>
    <w:rsid w:val="00AA2FE6"/>
    <w:rsid w:val="00AA34F6"/>
    <w:rsid w:val="00AB3F33"/>
    <w:rsid w:val="00AC3272"/>
    <w:rsid w:val="00AC750A"/>
    <w:rsid w:val="00AD09AE"/>
    <w:rsid w:val="00AE08CD"/>
    <w:rsid w:val="00AE7EC6"/>
    <w:rsid w:val="00B0072E"/>
    <w:rsid w:val="00B113D5"/>
    <w:rsid w:val="00B128CD"/>
    <w:rsid w:val="00B16FD3"/>
    <w:rsid w:val="00B36D3F"/>
    <w:rsid w:val="00B3787D"/>
    <w:rsid w:val="00B66955"/>
    <w:rsid w:val="00B71CC3"/>
    <w:rsid w:val="00B72A2F"/>
    <w:rsid w:val="00B76C49"/>
    <w:rsid w:val="00B8076E"/>
    <w:rsid w:val="00B83897"/>
    <w:rsid w:val="00B949E7"/>
    <w:rsid w:val="00B95DBD"/>
    <w:rsid w:val="00BA6009"/>
    <w:rsid w:val="00BB2685"/>
    <w:rsid w:val="00BB311B"/>
    <w:rsid w:val="00BC63AB"/>
    <w:rsid w:val="00BF024A"/>
    <w:rsid w:val="00C046DF"/>
    <w:rsid w:val="00C04E27"/>
    <w:rsid w:val="00C14F64"/>
    <w:rsid w:val="00C22A3C"/>
    <w:rsid w:val="00C3085C"/>
    <w:rsid w:val="00C330C9"/>
    <w:rsid w:val="00C44D56"/>
    <w:rsid w:val="00C45429"/>
    <w:rsid w:val="00C557FB"/>
    <w:rsid w:val="00C62C33"/>
    <w:rsid w:val="00C83C8C"/>
    <w:rsid w:val="00CA34A4"/>
    <w:rsid w:val="00CA5CCE"/>
    <w:rsid w:val="00CA61D6"/>
    <w:rsid w:val="00CB4DD7"/>
    <w:rsid w:val="00CC3311"/>
    <w:rsid w:val="00CC652F"/>
    <w:rsid w:val="00CD1FEC"/>
    <w:rsid w:val="00CD6E18"/>
    <w:rsid w:val="00CE7940"/>
    <w:rsid w:val="00D155E1"/>
    <w:rsid w:val="00D252C7"/>
    <w:rsid w:val="00D3151B"/>
    <w:rsid w:val="00D4410A"/>
    <w:rsid w:val="00D47A19"/>
    <w:rsid w:val="00D57792"/>
    <w:rsid w:val="00D729EF"/>
    <w:rsid w:val="00D811C4"/>
    <w:rsid w:val="00DA1EAD"/>
    <w:rsid w:val="00DA2BA8"/>
    <w:rsid w:val="00DA50B1"/>
    <w:rsid w:val="00DB2C50"/>
    <w:rsid w:val="00DC25B1"/>
    <w:rsid w:val="00DC77BD"/>
    <w:rsid w:val="00DD0925"/>
    <w:rsid w:val="00DD7395"/>
    <w:rsid w:val="00E0229F"/>
    <w:rsid w:val="00E03194"/>
    <w:rsid w:val="00E12350"/>
    <w:rsid w:val="00E13B25"/>
    <w:rsid w:val="00E4444D"/>
    <w:rsid w:val="00E47BE5"/>
    <w:rsid w:val="00E51E87"/>
    <w:rsid w:val="00E529DF"/>
    <w:rsid w:val="00E61063"/>
    <w:rsid w:val="00E61A0E"/>
    <w:rsid w:val="00E634B2"/>
    <w:rsid w:val="00E763B6"/>
    <w:rsid w:val="00E80A98"/>
    <w:rsid w:val="00E81CBE"/>
    <w:rsid w:val="00E860E7"/>
    <w:rsid w:val="00EB53B3"/>
    <w:rsid w:val="00EC6A80"/>
    <w:rsid w:val="00ED6AD1"/>
    <w:rsid w:val="00EE106B"/>
    <w:rsid w:val="00EE4930"/>
    <w:rsid w:val="00F05B64"/>
    <w:rsid w:val="00F0760C"/>
    <w:rsid w:val="00F20FE1"/>
    <w:rsid w:val="00F33445"/>
    <w:rsid w:val="00F33657"/>
    <w:rsid w:val="00F37730"/>
    <w:rsid w:val="00F40BED"/>
    <w:rsid w:val="00F43C17"/>
    <w:rsid w:val="00F4552A"/>
    <w:rsid w:val="00F53185"/>
    <w:rsid w:val="00F54AAC"/>
    <w:rsid w:val="00F773D9"/>
    <w:rsid w:val="00F964F7"/>
    <w:rsid w:val="00FA79AB"/>
    <w:rsid w:val="00FB0F8D"/>
    <w:rsid w:val="00FB3F2E"/>
    <w:rsid w:val="00FD0223"/>
    <w:rsid w:val="00FD49C7"/>
    <w:rsid w:val="00FE0E42"/>
    <w:rsid w:val="00FE15EA"/>
    <w:rsid w:val="00FE6D12"/>
    <w:rsid w:val="00FF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C14BA-1A0D-46D3-B5C8-35A85F2D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3499B"/>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34F"/>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4C734F"/>
    <w:rPr>
      <w:color w:val="0000FF"/>
      <w:u w:val="single"/>
    </w:rPr>
  </w:style>
  <w:style w:type="paragraph" w:styleId="BalloonText">
    <w:name w:val="Balloon Text"/>
    <w:basedOn w:val="Normal"/>
    <w:link w:val="BalloonTextChar"/>
    <w:uiPriority w:val="99"/>
    <w:semiHidden/>
    <w:unhideWhenUsed/>
    <w:rsid w:val="00D47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A19"/>
    <w:rPr>
      <w:rFonts w:ascii="Segoe UI" w:hAnsi="Segoe UI" w:cs="Segoe UI"/>
      <w:sz w:val="18"/>
      <w:szCs w:val="18"/>
    </w:rPr>
  </w:style>
  <w:style w:type="character" w:customStyle="1" w:styleId="field-content">
    <w:name w:val="field-content"/>
    <w:basedOn w:val="DefaultParagraphFont"/>
    <w:rsid w:val="00724743"/>
  </w:style>
  <w:style w:type="character" w:customStyle="1" w:styleId="Heading2Char">
    <w:name w:val="Heading 2 Char"/>
    <w:basedOn w:val="DefaultParagraphFont"/>
    <w:link w:val="Heading2"/>
    <w:uiPriority w:val="9"/>
    <w:rsid w:val="0093499B"/>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94324">
      <w:bodyDiv w:val="1"/>
      <w:marLeft w:val="0"/>
      <w:marRight w:val="0"/>
      <w:marTop w:val="0"/>
      <w:marBottom w:val="0"/>
      <w:divBdr>
        <w:top w:val="none" w:sz="0" w:space="0" w:color="auto"/>
        <w:left w:val="none" w:sz="0" w:space="0" w:color="auto"/>
        <w:bottom w:val="none" w:sz="0" w:space="0" w:color="auto"/>
        <w:right w:val="none" w:sz="0" w:space="0" w:color="auto"/>
      </w:divBdr>
      <w:divsChild>
        <w:div w:id="505175465">
          <w:marLeft w:val="0"/>
          <w:marRight w:val="0"/>
          <w:marTop w:val="0"/>
          <w:marBottom w:val="0"/>
          <w:divBdr>
            <w:top w:val="none" w:sz="0" w:space="0" w:color="auto"/>
            <w:left w:val="none" w:sz="0" w:space="0" w:color="auto"/>
            <w:bottom w:val="none" w:sz="0" w:space="0" w:color="auto"/>
            <w:right w:val="none" w:sz="0" w:space="0" w:color="auto"/>
          </w:divBdr>
          <w:divsChild>
            <w:div w:id="610861517">
              <w:marLeft w:val="0"/>
              <w:marRight w:val="0"/>
              <w:marTop w:val="0"/>
              <w:marBottom w:val="0"/>
              <w:divBdr>
                <w:top w:val="none" w:sz="0" w:space="0" w:color="auto"/>
                <w:left w:val="none" w:sz="0" w:space="0" w:color="auto"/>
                <w:bottom w:val="none" w:sz="0" w:space="0" w:color="auto"/>
                <w:right w:val="none" w:sz="0" w:space="0" w:color="auto"/>
              </w:divBdr>
            </w:div>
          </w:divsChild>
        </w:div>
        <w:div w:id="1120144390">
          <w:marLeft w:val="0"/>
          <w:marRight w:val="0"/>
          <w:marTop w:val="0"/>
          <w:marBottom w:val="0"/>
          <w:divBdr>
            <w:top w:val="none" w:sz="0" w:space="0" w:color="auto"/>
            <w:left w:val="none" w:sz="0" w:space="0" w:color="auto"/>
            <w:bottom w:val="none" w:sz="0" w:space="0" w:color="auto"/>
            <w:right w:val="none" w:sz="0" w:space="0" w:color="auto"/>
          </w:divBdr>
        </w:div>
        <w:div w:id="1357123302">
          <w:marLeft w:val="0"/>
          <w:marRight w:val="0"/>
          <w:marTop w:val="0"/>
          <w:marBottom w:val="0"/>
          <w:divBdr>
            <w:top w:val="none" w:sz="0" w:space="0" w:color="auto"/>
            <w:left w:val="none" w:sz="0" w:space="0" w:color="auto"/>
            <w:bottom w:val="none" w:sz="0" w:space="0" w:color="auto"/>
            <w:right w:val="none" w:sz="0" w:space="0" w:color="auto"/>
          </w:divBdr>
        </w:div>
      </w:divsChild>
    </w:div>
    <w:div w:id="249432806">
      <w:bodyDiv w:val="1"/>
      <w:marLeft w:val="0"/>
      <w:marRight w:val="0"/>
      <w:marTop w:val="0"/>
      <w:marBottom w:val="0"/>
      <w:divBdr>
        <w:top w:val="none" w:sz="0" w:space="0" w:color="auto"/>
        <w:left w:val="none" w:sz="0" w:space="0" w:color="auto"/>
        <w:bottom w:val="none" w:sz="0" w:space="0" w:color="auto"/>
        <w:right w:val="none" w:sz="0" w:space="0" w:color="auto"/>
      </w:divBdr>
    </w:div>
    <w:div w:id="1090277595">
      <w:bodyDiv w:val="1"/>
      <w:marLeft w:val="0"/>
      <w:marRight w:val="0"/>
      <w:marTop w:val="0"/>
      <w:marBottom w:val="0"/>
      <w:divBdr>
        <w:top w:val="none" w:sz="0" w:space="0" w:color="auto"/>
        <w:left w:val="none" w:sz="0" w:space="0" w:color="auto"/>
        <w:bottom w:val="none" w:sz="0" w:space="0" w:color="auto"/>
        <w:right w:val="none" w:sz="0" w:space="0" w:color="auto"/>
      </w:divBdr>
    </w:div>
    <w:div w:id="1262182016">
      <w:bodyDiv w:val="1"/>
      <w:marLeft w:val="0"/>
      <w:marRight w:val="0"/>
      <w:marTop w:val="0"/>
      <w:marBottom w:val="0"/>
      <w:divBdr>
        <w:top w:val="none" w:sz="0" w:space="0" w:color="auto"/>
        <w:left w:val="none" w:sz="0" w:space="0" w:color="auto"/>
        <w:bottom w:val="none" w:sz="0" w:space="0" w:color="auto"/>
        <w:right w:val="none" w:sz="0" w:space="0" w:color="auto"/>
      </w:divBdr>
    </w:div>
    <w:div w:id="1776975062">
      <w:bodyDiv w:val="1"/>
      <w:marLeft w:val="0"/>
      <w:marRight w:val="0"/>
      <w:marTop w:val="0"/>
      <w:marBottom w:val="0"/>
      <w:divBdr>
        <w:top w:val="none" w:sz="0" w:space="0" w:color="auto"/>
        <w:left w:val="none" w:sz="0" w:space="0" w:color="auto"/>
        <w:bottom w:val="none" w:sz="0" w:space="0" w:color="auto"/>
        <w:right w:val="none" w:sz="0" w:space="0" w:color="auto"/>
      </w:divBdr>
      <w:divsChild>
        <w:div w:id="1779833874">
          <w:marLeft w:val="0"/>
          <w:marRight w:val="0"/>
          <w:marTop w:val="0"/>
          <w:marBottom w:val="0"/>
          <w:divBdr>
            <w:top w:val="none" w:sz="0" w:space="0" w:color="auto"/>
            <w:left w:val="none" w:sz="0" w:space="0" w:color="auto"/>
            <w:bottom w:val="none" w:sz="0" w:space="0" w:color="auto"/>
            <w:right w:val="none" w:sz="0" w:space="0" w:color="auto"/>
          </w:divBdr>
        </w:div>
      </w:divsChild>
    </w:div>
    <w:div w:id="1865240669">
      <w:bodyDiv w:val="1"/>
      <w:marLeft w:val="0"/>
      <w:marRight w:val="0"/>
      <w:marTop w:val="0"/>
      <w:marBottom w:val="0"/>
      <w:divBdr>
        <w:top w:val="none" w:sz="0" w:space="0" w:color="auto"/>
        <w:left w:val="none" w:sz="0" w:space="0" w:color="auto"/>
        <w:bottom w:val="none" w:sz="0" w:space="0" w:color="auto"/>
        <w:right w:val="none" w:sz="0" w:space="0" w:color="auto"/>
      </w:divBdr>
    </w:div>
    <w:div w:id="2087414153">
      <w:bodyDiv w:val="1"/>
      <w:marLeft w:val="0"/>
      <w:marRight w:val="0"/>
      <w:marTop w:val="0"/>
      <w:marBottom w:val="0"/>
      <w:divBdr>
        <w:top w:val="none" w:sz="0" w:space="0" w:color="auto"/>
        <w:left w:val="none" w:sz="0" w:space="0" w:color="auto"/>
        <w:bottom w:val="none" w:sz="0" w:space="0" w:color="auto"/>
        <w:right w:val="none" w:sz="0" w:space="0" w:color="auto"/>
      </w:divBdr>
      <w:divsChild>
        <w:div w:id="671879391">
          <w:marLeft w:val="0"/>
          <w:marRight w:val="0"/>
          <w:marTop w:val="0"/>
          <w:marBottom w:val="0"/>
          <w:divBdr>
            <w:top w:val="none" w:sz="0" w:space="0" w:color="auto"/>
            <w:left w:val="none" w:sz="0" w:space="0" w:color="auto"/>
            <w:bottom w:val="none" w:sz="0" w:space="0" w:color="auto"/>
            <w:right w:val="none" w:sz="0" w:space="0" w:color="auto"/>
          </w:divBdr>
          <w:divsChild>
            <w:div w:id="311761726">
              <w:marLeft w:val="0"/>
              <w:marRight w:val="0"/>
              <w:marTop w:val="0"/>
              <w:marBottom w:val="0"/>
              <w:divBdr>
                <w:top w:val="none" w:sz="0" w:space="0" w:color="auto"/>
                <w:left w:val="none" w:sz="0" w:space="0" w:color="auto"/>
                <w:bottom w:val="none" w:sz="0" w:space="0" w:color="auto"/>
                <w:right w:val="none" w:sz="0" w:space="0" w:color="auto"/>
              </w:divBdr>
            </w:div>
          </w:divsChild>
        </w:div>
        <w:div w:id="1561790177">
          <w:marLeft w:val="0"/>
          <w:marRight w:val="0"/>
          <w:marTop w:val="0"/>
          <w:marBottom w:val="0"/>
          <w:divBdr>
            <w:top w:val="none" w:sz="0" w:space="0" w:color="auto"/>
            <w:left w:val="none" w:sz="0" w:space="0" w:color="auto"/>
            <w:bottom w:val="none" w:sz="0" w:space="0" w:color="auto"/>
            <w:right w:val="none" w:sz="0" w:space="0" w:color="auto"/>
          </w:divBdr>
        </w:div>
        <w:div w:id="1589117654">
          <w:marLeft w:val="0"/>
          <w:marRight w:val="0"/>
          <w:marTop w:val="0"/>
          <w:marBottom w:val="0"/>
          <w:divBdr>
            <w:top w:val="none" w:sz="0" w:space="0" w:color="auto"/>
            <w:left w:val="none" w:sz="0" w:space="0" w:color="auto"/>
            <w:bottom w:val="none" w:sz="0" w:space="0" w:color="auto"/>
            <w:right w:val="none" w:sz="0" w:space="0" w:color="auto"/>
          </w:divBdr>
        </w:div>
      </w:divsChild>
    </w:div>
    <w:div w:id="2103796010">
      <w:bodyDiv w:val="1"/>
      <w:marLeft w:val="0"/>
      <w:marRight w:val="0"/>
      <w:marTop w:val="0"/>
      <w:marBottom w:val="0"/>
      <w:divBdr>
        <w:top w:val="none" w:sz="0" w:space="0" w:color="auto"/>
        <w:left w:val="none" w:sz="0" w:space="0" w:color="auto"/>
        <w:bottom w:val="none" w:sz="0" w:space="0" w:color="auto"/>
        <w:right w:val="none" w:sz="0" w:space="0" w:color="auto"/>
      </w:divBdr>
      <w:divsChild>
        <w:div w:id="975569433">
          <w:marLeft w:val="0"/>
          <w:marRight w:val="0"/>
          <w:marTop w:val="0"/>
          <w:marBottom w:val="0"/>
          <w:divBdr>
            <w:top w:val="none" w:sz="0" w:space="0" w:color="auto"/>
            <w:left w:val="none" w:sz="0" w:space="0" w:color="auto"/>
            <w:bottom w:val="none" w:sz="0" w:space="0" w:color="auto"/>
            <w:right w:val="none" w:sz="0" w:space="0" w:color="auto"/>
          </w:divBdr>
        </w:div>
        <w:div w:id="1141070252">
          <w:marLeft w:val="0"/>
          <w:marRight w:val="0"/>
          <w:marTop w:val="0"/>
          <w:marBottom w:val="0"/>
          <w:divBdr>
            <w:top w:val="none" w:sz="0" w:space="0" w:color="auto"/>
            <w:left w:val="none" w:sz="0" w:space="0" w:color="auto"/>
            <w:bottom w:val="none" w:sz="0" w:space="0" w:color="auto"/>
            <w:right w:val="none" w:sz="0" w:space="0" w:color="auto"/>
          </w:divBdr>
          <w:divsChild>
            <w:div w:id="927694562">
              <w:marLeft w:val="0"/>
              <w:marRight w:val="0"/>
              <w:marTop w:val="0"/>
              <w:marBottom w:val="0"/>
              <w:divBdr>
                <w:top w:val="none" w:sz="0" w:space="0" w:color="auto"/>
                <w:left w:val="none" w:sz="0" w:space="0" w:color="auto"/>
                <w:bottom w:val="none" w:sz="0" w:space="0" w:color="auto"/>
                <w:right w:val="none" w:sz="0" w:space="0" w:color="auto"/>
              </w:divBdr>
            </w:div>
          </w:divsChild>
        </w:div>
        <w:div w:id="1922178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harris@anthro.utah.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edricyvinec@yahoo.fr"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eluso@kent.ac.uk" TargetMode="External"/><Relationship Id="rId11" Type="http://schemas.openxmlformats.org/officeDocument/2006/relationships/hyperlink" Target="mailto:85281Kim.Hill@asu.edu" TargetMode="External"/><Relationship Id="rId5" Type="http://schemas.openxmlformats.org/officeDocument/2006/relationships/hyperlink" Target="mailto:milz@conncoll.edu" TargetMode="External"/><Relationship Id="rId10" Type="http://schemas.openxmlformats.org/officeDocument/2006/relationships/hyperlink" Target="mailto:WalkerRo@missouri.edu" TargetMode="External"/><Relationship Id="rId4" Type="http://schemas.openxmlformats.org/officeDocument/2006/relationships/hyperlink" Target="mailto:stv@psu.edu" TargetMode="External"/><Relationship Id="rId9" Type="http://schemas.openxmlformats.org/officeDocument/2006/relationships/hyperlink" Target="mailto:daniel@shoklo-uni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3754</Words>
  <Characters>21402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Beckerman</dc:creator>
  <cp:keywords/>
  <dc:description/>
  <cp:lastModifiedBy>Stephen Beckerman</cp:lastModifiedBy>
  <cp:revision>2</cp:revision>
  <cp:lastPrinted>2016-12-14T01:07:00Z</cp:lastPrinted>
  <dcterms:created xsi:type="dcterms:W3CDTF">2017-04-08T18:23:00Z</dcterms:created>
  <dcterms:modified xsi:type="dcterms:W3CDTF">2017-04-08T18:23:00Z</dcterms:modified>
</cp:coreProperties>
</file>