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065A78" w14:textId="76DA4A54" w:rsidR="00CB658F" w:rsidRDefault="00CB658F" w:rsidP="00112206">
      <w:pPr>
        <w:rPr>
          <w:b/>
        </w:rPr>
      </w:pPr>
      <w:r w:rsidRPr="00CB658F">
        <w:rPr>
          <w:b/>
        </w:rPr>
        <w:t>Petri</w:t>
      </w:r>
      <w:r>
        <w:rPr>
          <w:b/>
        </w:rPr>
        <w:t>, Gabor</w:t>
      </w:r>
      <w:r w:rsidRPr="00CB658F">
        <w:rPr>
          <w:b/>
        </w:rPr>
        <w:t xml:space="preserve"> (2017). Children with learning disabilities and their participation in judicial procedures–what can disability advocacy offer?. </w:t>
      </w:r>
      <w:r w:rsidRPr="00CB658F">
        <w:rPr>
          <w:b/>
          <w:i/>
          <w:iCs/>
        </w:rPr>
        <w:t>Tizard Learning Disability Review</w:t>
      </w:r>
      <w:r w:rsidRPr="00CB658F">
        <w:rPr>
          <w:b/>
        </w:rPr>
        <w:t>, </w:t>
      </w:r>
      <w:r w:rsidRPr="00CB658F">
        <w:rPr>
          <w:b/>
          <w:i/>
          <w:iCs/>
        </w:rPr>
        <w:t>22</w:t>
      </w:r>
      <w:r w:rsidRPr="00CB658F">
        <w:rPr>
          <w:b/>
        </w:rPr>
        <w:t>(1), 10-15.</w:t>
      </w:r>
    </w:p>
    <w:p w14:paraId="7AC994EB" w14:textId="6FC0A613" w:rsidR="00CB658F" w:rsidRDefault="00CB658F" w:rsidP="00112206">
      <w:pPr>
        <w:rPr>
          <w:b/>
        </w:rPr>
      </w:pPr>
      <w:r>
        <w:rPr>
          <w:b/>
        </w:rPr>
        <w:t>(Author’s copy)</w:t>
      </w:r>
      <w:bookmarkStart w:id="0" w:name="_GoBack"/>
      <w:bookmarkEnd w:id="0"/>
    </w:p>
    <w:p w14:paraId="16DBD6ED" w14:textId="77777777" w:rsidR="00E222CA" w:rsidRDefault="00C975EF" w:rsidP="00112206">
      <w:pPr>
        <w:rPr>
          <w:b/>
        </w:rPr>
      </w:pPr>
      <w:r w:rsidRPr="00C975EF">
        <w:rPr>
          <w:b/>
        </w:rPr>
        <w:t>Commentary</w:t>
      </w:r>
    </w:p>
    <w:p w14:paraId="0AD10217" w14:textId="77777777" w:rsidR="00E92A03" w:rsidRPr="007303B7" w:rsidRDefault="00E92A03" w:rsidP="00E222CA">
      <w:pPr>
        <w:rPr>
          <w:b/>
          <w:lang w:val="hu-HU"/>
        </w:rPr>
      </w:pPr>
      <w:r>
        <w:rPr>
          <w:b/>
        </w:rPr>
        <w:t xml:space="preserve">Children with learning disabilities and their participation in </w:t>
      </w:r>
      <w:r w:rsidR="00BA4FE5">
        <w:rPr>
          <w:b/>
        </w:rPr>
        <w:t>judicial</w:t>
      </w:r>
      <w:r w:rsidR="00DC3DF5">
        <w:rPr>
          <w:b/>
        </w:rPr>
        <w:t xml:space="preserve"> procedures – What can </w:t>
      </w:r>
      <w:r w:rsidR="00BB6FE7">
        <w:rPr>
          <w:b/>
        </w:rPr>
        <w:t xml:space="preserve">disability </w:t>
      </w:r>
      <w:r w:rsidR="00DC3DF5">
        <w:rPr>
          <w:b/>
        </w:rPr>
        <w:t xml:space="preserve">advocacy offer? </w:t>
      </w:r>
    </w:p>
    <w:p w14:paraId="0F49E47B" w14:textId="3F977168" w:rsidR="00380D78" w:rsidRDefault="00E222CA" w:rsidP="00E222CA">
      <w:r>
        <w:t>Children with learning disabilities, autism or long</w:t>
      </w:r>
      <w:r w:rsidR="00D24356">
        <w:t>-</w:t>
      </w:r>
      <w:r>
        <w:t>term mental health problems face multiple obstacles in the justice system.</w:t>
      </w:r>
      <w:r w:rsidR="00885D7F">
        <w:t xml:space="preserve"> This is especially </w:t>
      </w:r>
      <w:r w:rsidR="00D24356">
        <w:t xml:space="preserve">concerning </w:t>
      </w:r>
      <w:r w:rsidR="00885D7F">
        <w:t xml:space="preserve">given that </w:t>
      </w:r>
      <w:r w:rsidR="00D24356">
        <w:t xml:space="preserve">these groups of </w:t>
      </w:r>
      <w:r w:rsidR="00885D7F" w:rsidRPr="00885D7F">
        <w:t xml:space="preserve">children are </w:t>
      </w:r>
      <w:r w:rsidR="00BA4FE5">
        <w:t>those who are the most vulnerable</w:t>
      </w:r>
      <w:r w:rsidR="00D24356">
        <w:t xml:space="preserve"> to </w:t>
      </w:r>
      <w:r w:rsidR="00BA4FE5">
        <w:t xml:space="preserve">, </w:t>
      </w:r>
      <w:r w:rsidR="00885D7F" w:rsidRPr="00885D7F">
        <w:t>for example</w:t>
      </w:r>
      <w:r w:rsidR="00D24356">
        <w:t>,</w:t>
      </w:r>
      <w:r w:rsidR="00885D7F" w:rsidRPr="00885D7F">
        <w:t xml:space="preserve"> hav</w:t>
      </w:r>
      <w:r w:rsidR="00D24356">
        <w:t>ing</w:t>
      </w:r>
      <w:r w:rsidR="00885D7F" w:rsidRPr="00885D7F">
        <w:t xml:space="preserve"> their right to education or </w:t>
      </w:r>
      <w:r w:rsidR="00885D7F">
        <w:t xml:space="preserve">their </w:t>
      </w:r>
      <w:r w:rsidR="00885D7F" w:rsidRPr="00885D7F">
        <w:t xml:space="preserve">right to </w:t>
      </w:r>
      <w:r w:rsidR="00D24356">
        <w:t xml:space="preserve">family </w:t>
      </w:r>
      <w:r w:rsidR="00885D7F" w:rsidRPr="00885D7F">
        <w:t>li</w:t>
      </w:r>
      <w:r w:rsidR="00D24356">
        <w:t>f</w:t>
      </w:r>
      <w:r w:rsidR="00885D7F" w:rsidRPr="00885D7F">
        <w:t xml:space="preserve">e </w:t>
      </w:r>
      <w:r w:rsidR="00380D78">
        <w:t>violated</w:t>
      </w:r>
      <w:r w:rsidR="00614784">
        <w:t xml:space="preserve"> </w:t>
      </w:r>
      <w:r w:rsidR="00112206" w:rsidRPr="00112206">
        <w:rPr>
          <w:rFonts w:ascii="Calibri" w:hAnsi="Calibri" w:cs="Calibri"/>
        </w:rPr>
        <w:t>(World Health Organization</w:t>
      </w:r>
      <w:r w:rsidR="009B7A86">
        <w:rPr>
          <w:rFonts w:ascii="Calibri" w:hAnsi="Calibri" w:cs="Calibri"/>
        </w:rPr>
        <w:t>,</w:t>
      </w:r>
      <w:r w:rsidR="00112206" w:rsidRPr="00112206">
        <w:rPr>
          <w:rFonts w:ascii="Calibri" w:hAnsi="Calibri" w:cs="Calibri"/>
        </w:rPr>
        <w:t xml:space="preserve"> 2011)</w:t>
      </w:r>
      <w:r w:rsidR="00E92A03">
        <w:t xml:space="preserve">. </w:t>
      </w:r>
      <w:r w:rsidR="00C975EF">
        <w:t>T</w:t>
      </w:r>
      <w:r w:rsidR="00885D7F" w:rsidRPr="00885D7F">
        <w:t xml:space="preserve">oday, still over </w:t>
      </w:r>
      <w:r w:rsidR="00E61AE5">
        <w:t xml:space="preserve">two million children live in institutions around the world </w:t>
      </w:r>
      <w:r w:rsidR="00112206" w:rsidRPr="00112206">
        <w:rPr>
          <w:rFonts w:ascii="Calibri" w:hAnsi="Calibri" w:cs="Calibri"/>
        </w:rPr>
        <w:t>(Save the Children</w:t>
      </w:r>
      <w:r w:rsidR="0074451C">
        <w:rPr>
          <w:rFonts w:ascii="Calibri" w:hAnsi="Calibri" w:cs="Calibri"/>
        </w:rPr>
        <w:t>,</w:t>
      </w:r>
      <w:r w:rsidR="00112206" w:rsidRPr="00112206">
        <w:rPr>
          <w:rFonts w:ascii="Calibri" w:hAnsi="Calibri" w:cs="Calibri"/>
        </w:rPr>
        <w:t xml:space="preserve"> 2014)</w:t>
      </w:r>
      <w:r w:rsidR="00E61AE5">
        <w:t xml:space="preserve">, </w:t>
      </w:r>
      <w:r w:rsidR="00E61AE5" w:rsidRPr="00885D7F">
        <w:t>and many hundreds of thousands of them live in residential institutions</w:t>
      </w:r>
      <w:r w:rsidR="00E61AE5">
        <w:t xml:space="preserve"> </w:t>
      </w:r>
      <w:r w:rsidR="00885D7F" w:rsidRPr="00885D7F">
        <w:t xml:space="preserve">in Europe </w:t>
      </w:r>
      <w:r w:rsidR="00112206" w:rsidRPr="00112206">
        <w:rPr>
          <w:rFonts w:ascii="Calibri" w:hAnsi="Calibri" w:cs="Calibri"/>
        </w:rPr>
        <w:t>(Eurochild</w:t>
      </w:r>
      <w:r w:rsidR="009B7A86">
        <w:rPr>
          <w:rFonts w:ascii="Calibri" w:hAnsi="Calibri" w:cs="Calibri"/>
        </w:rPr>
        <w:t>,</w:t>
      </w:r>
      <w:r w:rsidR="00112206" w:rsidRPr="00112206">
        <w:rPr>
          <w:rFonts w:ascii="Calibri" w:hAnsi="Calibri" w:cs="Calibri"/>
        </w:rPr>
        <w:t xml:space="preserve"> 2016b, Mansell</w:t>
      </w:r>
      <w:r w:rsidR="009B7A86">
        <w:rPr>
          <w:rFonts w:ascii="Calibri" w:hAnsi="Calibri" w:cs="Calibri"/>
        </w:rPr>
        <w:t xml:space="preserve"> </w:t>
      </w:r>
      <w:r w:rsidR="00112206" w:rsidRPr="00112206">
        <w:rPr>
          <w:rFonts w:ascii="Calibri" w:hAnsi="Calibri" w:cs="Calibri"/>
        </w:rPr>
        <w:t>et al.</w:t>
      </w:r>
      <w:r w:rsidR="009B7A86">
        <w:rPr>
          <w:rFonts w:ascii="Calibri" w:hAnsi="Calibri" w:cs="Calibri"/>
        </w:rPr>
        <w:t>,</w:t>
      </w:r>
      <w:r w:rsidR="00112206" w:rsidRPr="00112206">
        <w:rPr>
          <w:rFonts w:ascii="Calibri" w:hAnsi="Calibri" w:cs="Calibri"/>
        </w:rPr>
        <w:t xml:space="preserve"> 2007)</w:t>
      </w:r>
      <w:r w:rsidR="00242EBE">
        <w:t>. C</w:t>
      </w:r>
      <w:r w:rsidR="00C975EF">
        <w:t xml:space="preserve">hildren with disabilities are more likely to be placed in institutions than their non-disabled peers </w:t>
      </w:r>
      <w:r w:rsidR="00112206" w:rsidRPr="00112206">
        <w:rPr>
          <w:rFonts w:ascii="Calibri" w:hAnsi="Calibri" w:cs="Calibri"/>
        </w:rPr>
        <w:t>(Save the Children</w:t>
      </w:r>
      <w:r w:rsidR="009B7A86">
        <w:rPr>
          <w:rFonts w:ascii="Calibri" w:hAnsi="Calibri" w:cs="Calibri"/>
        </w:rPr>
        <w:t>,</w:t>
      </w:r>
      <w:r w:rsidR="00112206" w:rsidRPr="00112206">
        <w:rPr>
          <w:rFonts w:ascii="Calibri" w:hAnsi="Calibri" w:cs="Calibri"/>
        </w:rPr>
        <w:t xml:space="preserve"> 2014)</w:t>
      </w:r>
      <w:r w:rsidR="00885D7F" w:rsidRPr="00885D7F">
        <w:t xml:space="preserve">. </w:t>
      </w:r>
      <w:r w:rsidR="00100AEB">
        <w:t xml:space="preserve">Furthermore, children with disabilities or mental health problems are also admitted to psychiatric hospitals where they </w:t>
      </w:r>
      <w:r w:rsidR="00242EBE">
        <w:t>are</w:t>
      </w:r>
      <w:r w:rsidR="00100AEB">
        <w:t xml:space="preserve"> subjected to involuntary psychiatric treatment that may </w:t>
      </w:r>
      <w:r w:rsidR="00380D78">
        <w:t xml:space="preserve">also </w:t>
      </w:r>
      <w:r w:rsidR="00100AEB">
        <w:t xml:space="preserve">breach international human rights law </w:t>
      </w:r>
      <w:r w:rsidR="00112206" w:rsidRPr="00112206">
        <w:rPr>
          <w:rFonts w:ascii="Calibri" w:hAnsi="Calibri" w:cs="Calibri"/>
        </w:rPr>
        <w:t>(Minkowitz</w:t>
      </w:r>
      <w:r w:rsidR="009B7A86">
        <w:rPr>
          <w:rFonts w:ascii="Calibri" w:hAnsi="Calibri" w:cs="Calibri"/>
        </w:rPr>
        <w:t>,</w:t>
      </w:r>
      <w:r w:rsidR="00112206" w:rsidRPr="00112206">
        <w:rPr>
          <w:rFonts w:ascii="Calibri" w:hAnsi="Calibri" w:cs="Calibri"/>
        </w:rPr>
        <w:t xml:space="preserve"> 2007)</w:t>
      </w:r>
      <w:r w:rsidR="00100AEB">
        <w:t xml:space="preserve">. </w:t>
      </w:r>
    </w:p>
    <w:p w14:paraId="20CEF809" w14:textId="37DA7659" w:rsidR="00242EBE" w:rsidRDefault="00D24356">
      <w:r>
        <w:t>As noted by Horowicz, many children are placed in long-term care without any court procedures</w:t>
      </w:r>
      <w:r w:rsidRPr="00D24356">
        <w:t xml:space="preserve"> </w:t>
      </w:r>
      <w:r>
        <w:t xml:space="preserve">that evaluate the reasons for placement and assess the child’s best interest. Even when such procedures apply many </w:t>
      </w:r>
      <w:r w:rsidR="007303B7">
        <w:t>question</w:t>
      </w:r>
      <w:r>
        <w:t>s</w:t>
      </w:r>
      <w:r w:rsidR="007303B7">
        <w:t xml:space="preserve"> remain: who makes such decision</w:t>
      </w:r>
      <w:r>
        <w:t>s</w:t>
      </w:r>
      <w:r w:rsidR="007303B7">
        <w:t xml:space="preserve"> and on what ground</w:t>
      </w:r>
      <w:r>
        <w:t>s</w:t>
      </w:r>
      <w:r w:rsidR="007303B7">
        <w:t xml:space="preserve">? Is the child’s best interest looked at and evaluated by independent experts or advocates? </w:t>
      </w:r>
      <w:r w:rsidR="00380D78">
        <w:t xml:space="preserve">Are appropriate safeguards in place? </w:t>
      </w:r>
      <w:r w:rsidR="00BB6FE7">
        <w:t>Is the child informed, asked and listened to?</w:t>
      </w:r>
      <w:r>
        <w:t xml:space="preserve"> This commentary will consider </w:t>
      </w:r>
      <w:r w:rsidR="007303B7">
        <w:t xml:space="preserve">how disability advocacy and advocates’ regular </w:t>
      </w:r>
      <w:r w:rsidR="00380D78">
        <w:t>lobbying tools</w:t>
      </w:r>
      <w:r>
        <w:t xml:space="preserve"> </w:t>
      </w:r>
      <w:r w:rsidR="004F476B">
        <w:t>–</w:t>
      </w:r>
      <w:r w:rsidR="007303B7">
        <w:t xml:space="preserve"> human rights laws </w:t>
      </w:r>
      <w:r w:rsidR="004F476B">
        <w:t>–</w:t>
      </w:r>
      <w:r>
        <w:t xml:space="preserve"> </w:t>
      </w:r>
      <w:r w:rsidR="007303B7">
        <w:t xml:space="preserve">put these questions into context.  </w:t>
      </w:r>
    </w:p>
    <w:p w14:paraId="3F0E3155" w14:textId="77777777" w:rsidR="00885D7F" w:rsidRDefault="00242EBE" w:rsidP="00E222CA">
      <w:r>
        <w:t>It is clear that l</w:t>
      </w:r>
      <w:r w:rsidR="00E92A03">
        <w:t xml:space="preserve">egislation should be carefully tailored around </w:t>
      </w:r>
      <w:r w:rsidR="007303B7">
        <w:t>children’s</w:t>
      </w:r>
      <w:r w:rsidR="00E92A03">
        <w:t xml:space="preserve"> special needs, especially when judicial systems make decisions about their lives</w:t>
      </w:r>
      <w:r>
        <w:t>. However, c</w:t>
      </w:r>
      <w:r w:rsidR="00C15360">
        <w:t xml:space="preserve">hildren </w:t>
      </w:r>
      <w:r w:rsidR="00E61AE5">
        <w:t xml:space="preserve">with learning disabilities </w:t>
      </w:r>
      <w:r w:rsidR="00C15360">
        <w:t xml:space="preserve">are </w:t>
      </w:r>
      <w:r>
        <w:t xml:space="preserve">systematically </w:t>
      </w:r>
      <w:r w:rsidR="00C15360">
        <w:t>side-lined in justice system</w:t>
      </w:r>
      <w:r>
        <w:t>s</w:t>
      </w:r>
      <w:r w:rsidR="00C15360">
        <w:t>, getting very little or no protection and safeguarding during legal procedures</w:t>
      </w:r>
      <w:r w:rsidR="00E61AE5">
        <w:t xml:space="preserve"> </w:t>
      </w:r>
      <w:r w:rsidR="00D24356">
        <w:t xml:space="preserve">that </w:t>
      </w:r>
      <w:r w:rsidR="00E61AE5">
        <w:t>contribute to their admission to institutional care</w:t>
      </w:r>
      <w:r w:rsidR="007303B7">
        <w:t xml:space="preserve"> </w:t>
      </w:r>
      <w:r w:rsidR="00112206" w:rsidRPr="00112206">
        <w:rPr>
          <w:rFonts w:ascii="Calibri" w:hAnsi="Calibri" w:cs="Calibri"/>
        </w:rPr>
        <w:t>(Mental Disability Advocacy Center</w:t>
      </w:r>
      <w:r w:rsidR="009B7A86">
        <w:rPr>
          <w:rFonts w:ascii="Calibri" w:hAnsi="Calibri" w:cs="Calibri"/>
        </w:rPr>
        <w:t>,</w:t>
      </w:r>
      <w:r w:rsidR="00112206" w:rsidRPr="00112206">
        <w:rPr>
          <w:rFonts w:ascii="Calibri" w:hAnsi="Calibri" w:cs="Calibri"/>
        </w:rPr>
        <w:t xml:space="preserve"> 2015)</w:t>
      </w:r>
      <w:r w:rsidR="00C15360">
        <w:t xml:space="preserve">. </w:t>
      </w:r>
      <w:r w:rsidR="00C15360" w:rsidRPr="00C15360">
        <w:t>Their cases are usually discussed without their involvement, only calling on experts’ and carers’ opinions.</w:t>
      </w:r>
      <w:r w:rsidR="00C15360">
        <w:t xml:space="preserve"> </w:t>
      </w:r>
      <w:r w:rsidR="00C01799">
        <w:t xml:space="preserve">Such </w:t>
      </w:r>
      <w:r w:rsidR="00D24356">
        <w:t xml:space="preserve">limitations </w:t>
      </w:r>
      <w:r w:rsidR="00C01799">
        <w:t xml:space="preserve">are not </w:t>
      </w:r>
      <w:r w:rsidR="007303B7">
        <w:t xml:space="preserve">necessarily </w:t>
      </w:r>
      <w:r w:rsidR="00C01799">
        <w:t xml:space="preserve">due to lack of will </w:t>
      </w:r>
      <w:r w:rsidR="00D24356">
        <w:t xml:space="preserve">amongst </w:t>
      </w:r>
      <w:r w:rsidR="00C01799">
        <w:t xml:space="preserve">carers or the judiciary. The problem is rooted in </w:t>
      </w:r>
      <w:r w:rsidR="00D24356">
        <w:t xml:space="preserve">at least </w:t>
      </w:r>
      <w:r w:rsidR="00380D78">
        <w:t>two</w:t>
      </w:r>
      <w:r w:rsidR="00C01799">
        <w:t xml:space="preserve"> contexts: lack of </w:t>
      </w:r>
      <w:r w:rsidR="007303B7">
        <w:t xml:space="preserve">appropriate </w:t>
      </w:r>
      <w:r w:rsidR="00C01799">
        <w:t xml:space="preserve">legal </w:t>
      </w:r>
      <w:r w:rsidR="00644855">
        <w:t>measures</w:t>
      </w:r>
      <w:r w:rsidR="00380D78">
        <w:t>, and lack of targeted advocacy</w:t>
      </w:r>
      <w:r w:rsidR="00C01799">
        <w:t xml:space="preserve">. </w:t>
      </w:r>
    </w:p>
    <w:p w14:paraId="1E876F56" w14:textId="77777777" w:rsidR="00C01799" w:rsidRDefault="00C01799" w:rsidP="00E222CA">
      <w:r>
        <w:t xml:space="preserve">Other problems may also play an important </w:t>
      </w:r>
      <w:r w:rsidR="00BB6FE7">
        <w:t>role</w:t>
      </w:r>
      <w:r>
        <w:t xml:space="preserve">. For example, stigma and </w:t>
      </w:r>
      <w:r w:rsidR="000B01E1">
        <w:t>the absence</w:t>
      </w:r>
      <w:r>
        <w:t xml:space="preserve"> of relevant, disability-specific knowledge in the judiciary may make it seem appropriate for a judge to rely only on </w:t>
      </w:r>
      <w:r w:rsidR="000B01E1">
        <w:t>partial information</w:t>
      </w:r>
      <w:r w:rsidR="007303B7">
        <w:t xml:space="preserve"> </w:t>
      </w:r>
      <w:r>
        <w:t>provided by carers or medical professional</w:t>
      </w:r>
      <w:r w:rsidR="00D24356">
        <w:t>s</w:t>
      </w:r>
      <w:r>
        <w:t xml:space="preserve"> when placing a child into an institution. </w:t>
      </w:r>
    </w:p>
    <w:p w14:paraId="4CC6E778" w14:textId="77777777" w:rsidR="00C01799" w:rsidRPr="00885D7F" w:rsidRDefault="00106CA0" w:rsidP="00E222CA">
      <w:pPr>
        <w:rPr>
          <w:b/>
        </w:rPr>
      </w:pPr>
      <w:r>
        <w:rPr>
          <w:b/>
        </w:rPr>
        <w:t>Gaps in</w:t>
      </w:r>
      <w:r w:rsidR="00885D7F" w:rsidRPr="00885D7F">
        <w:rPr>
          <w:b/>
        </w:rPr>
        <w:t xml:space="preserve"> legal </w:t>
      </w:r>
      <w:r>
        <w:rPr>
          <w:b/>
        </w:rPr>
        <w:t>standards</w:t>
      </w:r>
      <w:r w:rsidR="00885D7F" w:rsidRPr="00885D7F">
        <w:rPr>
          <w:b/>
        </w:rPr>
        <w:t xml:space="preserve"> for children with learning disabilities</w:t>
      </w:r>
    </w:p>
    <w:p w14:paraId="05AACD66" w14:textId="4D2629C2" w:rsidR="00B749B2" w:rsidRDefault="00B749B2" w:rsidP="00B749B2">
      <w:r>
        <w:t xml:space="preserve">Today’s legal systems in most countries </w:t>
      </w:r>
      <w:r w:rsidR="00D24356">
        <w:t xml:space="preserve">incorporate </w:t>
      </w:r>
      <w:r>
        <w:t xml:space="preserve">elements of international human rights </w:t>
      </w:r>
      <w:r w:rsidR="0074451C">
        <w:t>treaties that</w:t>
      </w:r>
      <w:r w:rsidR="00D24356">
        <w:t xml:space="preserve"> include </w:t>
      </w:r>
      <w:r>
        <w:t xml:space="preserve">principles regarding children with learning disabilities. </w:t>
      </w:r>
      <w:r w:rsidR="007303B7">
        <w:t xml:space="preserve">Human rights legislation is endorsed by almost all civil society organisations active in the disability field. </w:t>
      </w:r>
      <w:r w:rsidR="00D24356">
        <w:t xml:space="preserve">This includes </w:t>
      </w:r>
      <w:r>
        <w:t xml:space="preserve">the European Convention on Human Rights, </w:t>
      </w:r>
      <w:r w:rsidR="00D24356">
        <w:t>t</w:t>
      </w:r>
      <w:r>
        <w:t xml:space="preserve">he United Nations Convention on the Rights of the Child </w:t>
      </w:r>
      <w:r w:rsidR="008F6C9D">
        <w:t xml:space="preserve">(CRC) </w:t>
      </w:r>
      <w:r w:rsidR="00112206" w:rsidRPr="00112206">
        <w:rPr>
          <w:rFonts w:ascii="Calibri" w:hAnsi="Calibri" w:cs="Calibri"/>
        </w:rPr>
        <w:t>(U</w:t>
      </w:r>
      <w:r w:rsidR="009B7A86">
        <w:rPr>
          <w:rFonts w:ascii="Calibri" w:hAnsi="Calibri" w:cs="Calibri"/>
        </w:rPr>
        <w:t>N General Assembly,</w:t>
      </w:r>
      <w:r w:rsidR="00112206" w:rsidRPr="00112206">
        <w:rPr>
          <w:rFonts w:ascii="Calibri" w:hAnsi="Calibri" w:cs="Calibri"/>
        </w:rPr>
        <w:t xml:space="preserve"> 1989)</w:t>
      </w:r>
      <w:r>
        <w:t>, and the United Nations Convention on the Rights of Persons with Disabilities</w:t>
      </w:r>
      <w:r w:rsidR="008F6C9D">
        <w:t xml:space="preserve"> (CRPD)</w:t>
      </w:r>
      <w:r>
        <w:t xml:space="preserve"> </w:t>
      </w:r>
      <w:r w:rsidR="00112206" w:rsidRPr="00112206">
        <w:rPr>
          <w:rFonts w:ascii="Calibri" w:hAnsi="Calibri" w:cs="Calibri"/>
        </w:rPr>
        <w:t>(UN General Assembly</w:t>
      </w:r>
      <w:r w:rsidR="0074451C">
        <w:rPr>
          <w:rFonts w:ascii="Calibri" w:hAnsi="Calibri" w:cs="Calibri"/>
        </w:rPr>
        <w:t>,</w:t>
      </w:r>
      <w:r w:rsidR="00112206" w:rsidRPr="00112206">
        <w:rPr>
          <w:rFonts w:ascii="Calibri" w:hAnsi="Calibri" w:cs="Calibri"/>
        </w:rPr>
        <w:t xml:space="preserve"> 2007)</w:t>
      </w:r>
      <w:r>
        <w:t xml:space="preserve"> </w:t>
      </w:r>
      <w:r w:rsidR="00D24356">
        <w:t xml:space="preserve">the latter two </w:t>
      </w:r>
      <w:r w:rsidR="00C15360">
        <w:t xml:space="preserve">setting international </w:t>
      </w:r>
      <w:r w:rsidR="00581783">
        <w:t xml:space="preserve">human rights </w:t>
      </w:r>
      <w:r w:rsidR="00C15360">
        <w:t>standards</w:t>
      </w:r>
      <w:r w:rsidR="000B01E1">
        <w:t xml:space="preserve"> relevant to disability policies</w:t>
      </w:r>
      <w:r w:rsidR="00C15360">
        <w:t>.</w:t>
      </w:r>
      <w:r w:rsidR="00581783">
        <w:t xml:space="preserve"> </w:t>
      </w:r>
      <w:r w:rsidR="007303B7">
        <w:t>States P</w:t>
      </w:r>
      <w:r w:rsidR="00581783">
        <w:t xml:space="preserve">arties </w:t>
      </w:r>
      <w:r w:rsidR="000B01E1">
        <w:t>to</w:t>
      </w:r>
      <w:r w:rsidR="00581783">
        <w:t xml:space="preserve"> these two conventions must bring </w:t>
      </w:r>
      <w:r w:rsidR="00581783">
        <w:lastRenderedPageBreak/>
        <w:t xml:space="preserve">their national laws in compliance with them, </w:t>
      </w:r>
      <w:r w:rsidR="00BB6FE7">
        <w:t>mean</w:t>
      </w:r>
      <w:r w:rsidR="00D24356">
        <w:t>ing</w:t>
      </w:r>
      <w:r w:rsidR="00581783">
        <w:t xml:space="preserve"> </w:t>
      </w:r>
      <w:r w:rsidR="00D24356">
        <w:t xml:space="preserve">that </w:t>
      </w:r>
      <w:r w:rsidR="00581783">
        <w:t>b</w:t>
      </w:r>
      <w:r w:rsidR="00C15360">
        <w:t>oth UN treaties</w:t>
      </w:r>
      <w:r>
        <w:t xml:space="preserve"> </w:t>
      </w:r>
      <w:r w:rsidR="00BB6FE7">
        <w:t>are potential</w:t>
      </w:r>
      <w:r>
        <w:t xml:space="preserve"> </w:t>
      </w:r>
      <w:r w:rsidR="00BB6FE7">
        <w:t xml:space="preserve">drivers for </w:t>
      </w:r>
      <w:r>
        <w:t xml:space="preserve">legislative changes that impact the lives of disabled people including children with learning disabilities. </w:t>
      </w:r>
    </w:p>
    <w:p w14:paraId="04967DA0" w14:textId="77777777" w:rsidR="00BB0E05" w:rsidRDefault="008F6C9D" w:rsidP="00E222CA">
      <w:r>
        <w:t>H</w:t>
      </w:r>
      <w:r w:rsidR="00B749B2">
        <w:t xml:space="preserve">uman rights conventions, of course, are only influential when implemented. By definition, human rights are universal, </w:t>
      </w:r>
      <w:r w:rsidR="00BB6FE7">
        <w:t>which means</w:t>
      </w:r>
      <w:r w:rsidR="00B749B2">
        <w:t xml:space="preserve"> laws should recognise children as bearers of rights regardless of the form or severity of their disabilities. </w:t>
      </w:r>
      <w:r w:rsidR="007303B7">
        <w:t>Implementation of this principle is hindered</w:t>
      </w:r>
      <w:r w:rsidR="000B01E1">
        <w:t xml:space="preserve"> in practice</w:t>
      </w:r>
      <w:r w:rsidR="00BB6FE7">
        <w:t xml:space="preserve"> almost everywhere</w:t>
      </w:r>
      <w:r w:rsidR="007303B7">
        <w:t>. C</w:t>
      </w:r>
      <w:r w:rsidR="00B749B2">
        <w:t>hildren with learning disabilities are seldom seen as persons whose best interest</w:t>
      </w:r>
      <w:r w:rsidR="007306EC">
        <w:t>s</w:t>
      </w:r>
      <w:r w:rsidR="00B749B2">
        <w:t xml:space="preserve"> </w:t>
      </w:r>
      <w:r w:rsidR="007306EC">
        <w:t xml:space="preserve">must be </w:t>
      </w:r>
      <w:r w:rsidR="00581783">
        <w:t>carefully</w:t>
      </w:r>
      <w:r w:rsidR="00B749B2">
        <w:t xml:space="preserve"> safeg</w:t>
      </w:r>
      <w:r>
        <w:t>uarded during court procedures</w:t>
      </w:r>
      <w:r w:rsidR="00BB0E05">
        <w:t xml:space="preserve"> despite the fact that both </w:t>
      </w:r>
      <w:r>
        <w:t xml:space="preserve">the CRC and the CRPD </w:t>
      </w:r>
      <w:r w:rsidR="00BB6FE7">
        <w:t>have</w:t>
      </w:r>
      <w:r w:rsidR="00581783">
        <w:t xml:space="preserve"> made</w:t>
      </w:r>
      <w:r w:rsidR="000B01E1">
        <w:t xml:space="preserve"> it</w:t>
      </w:r>
      <w:r>
        <w:t xml:space="preserve"> mandatory for States Parties to adopt measures that </w:t>
      </w:r>
      <w:r w:rsidR="00BB0E05">
        <w:t>follow the ‘best interest of the child’</w:t>
      </w:r>
      <w:r w:rsidR="00581783">
        <w:t xml:space="preserve"> –</w:t>
      </w:r>
      <w:r w:rsidR="00BB0E05">
        <w:t xml:space="preserve"> a requirement that has proven to be rather vague</w:t>
      </w:r>
      <w:r w:rsidR="00581783" w:rsidRPr="00581783">
        <w:t xml:space="preserve"> </w:t>
      </w:r>
      <w:r w:rsidR="00581783">
        <w:t xml:space="preserve">in the absence of specific </w:t>
      </w:r>
      <w:r w:rsidR="00BB6FE7">
        <w:t>measures</w:t>
      </w:r>
      <w:r>
        <w:t xml:space="preserve">. </w:t>
      </w:r>
    </w:p>
    <w:p w14:paraId="1C5E261D" w14:textId="496BF046" w:rsidR="00FD7194" w:rsidRDefault="00581783" w:rsidP="00E222CA">
      <w:r>
        <w:t>Princip</w:t>
      </w:r>
      <w:r w:rsidR="000B01E1">
        <w:t xml:space="preserve">les provided by the UN do not give </w:t>
      </w:r>
      <w:r>
        <w:t>clear guidelines for countries that wish to work on the problem. Indeed, t</w:t>
      </w:r>
      <w:r w:rsidR="00BB0E05">
        <w:t xml:space="preserve">he vagueness of legal </w:t>
      </w:r>
      <w:r>
        <w:t>protection</w:t>
      </w:r>
      <w:r w:rsidR="00BB0E05">
        <w:t xml:space="preserve"> with regards to children with learning disabilities is </w:t>
      </w:r>
      <w:r>
        <w:t xml:space="preserve">often </w:t>
      </w:r>
      <w:r w:rsidR="00BB0E05">
        <w:t xml:space="preserve">startling. </w:t>
      </w:r>
      <w:r w:rsidR="008F6C9D">
        <w:t>For ex</w:t>
      </w:r>
      <w:r w:rsidR="00BB0E05">
        <w:t xml:space="preserve">ample, General Comment No. 1 </w:t>
      </w:r>
      <w:r w:rsidR="00FD7194">
        <w:t>o</w:t>
      </w:r>
      <w:r w:rsidR="00BB0E05">
        <w:t>f the CRPD</w:t>
      </w:r>
      <w:r w:rsidR="007D4AF9">
        <w:t>, looking at legal capacity,</w:t>
      </w:r>
      <w:r w:rsidR="00BB0E05">
        <w:t xml:space="preserve"> states: “</w:t>
      </w:r>
      <w:r w:rsidR="00BB0E05" w:rsidRPr="00BB0E05">
        <w:rPr>
          <w:i/>
        </w:rPr>
        <w:t>to comply with article 12 [of the CRPD], States parties must examine their laws to ensure that the will and preferences of children with disabilities are respected on an equal basis with other children</w:t>
      </w:r>
      <w:r w:rsidR="00BB0E05">
        <w:t xml:space="preserve">” </w:t>
      </w:r>
      <w:r w:rsidR="00112206" w:rsidRPr="00112206">
        <w:rPr>
          <w:rFonts w:ascii="Calibri" w:hAnsi="Calibri" w:cs="Calibri"/>
        </w:rPr>
        <w:t>(Committee on the Rights of Persons with Disabilities</w:t>
      </w:r>
      <w:r w:rsidR="0074451C">
        <w:rPr>
          <w:rFonts w:ascii="Calibri" w:hAnsi="Calibri" w:cs="Calibri"/>
        </w:rPr>
        <w:t>,</w:t>
      </w:r>
      <w:r w:rsidR="00112206" w:rsidRPr="00112206">
        <w:rPr>
          <w:rFonts w:ascii="Calibri" w:hAnsi="Calibri" w:cs="Calibri"/>
        </w:rPr>
        <w:t xml:space="preserve"> 2014)</w:t>
      </w:r>
      <w:r w:rsidR="007306EC">
        <w:t>.</w:t>
      </w:r>
      <w:r w:rsidR="00BB0E05">
        <w:t xml:space="preserve"> </w:t>
      </w:r>
      <w:r w:rsidR="007306EC">
        <w:t>I</w:t>
      </w:r>
      <w:r w:rsidR="00BB0E05">
        <w:t xml:space="preserve">t is questionable how such requirement can facilitate </w:t>
      </w:r>
      <w:r>
        <w:t xml:space="preserve">meaningful </w:t>
      </w:r>
      <w:r w:rsidR="00BB0E05">
        <w:t xml:space="preserve">legal changes in countries where appropriate protection of all children is not in place. </w:t>
      </w:r>
    </w:p>
    <w:p w14:paraId="62E8E8D8" w14:textId="62F6EA87" w:rsidR="0099080D" w:rsidRDefault="00581783" w:rsidP="00E222CA">
      <w:r>
        <w:t>In fac</w:t>
      </w:r>
      <w:r w:rsidR="00076E29">
        <w:t>t, due to their specific needs</w:t>
      </w:r>
      <w:r w:rsidR="007306EC">
        <w:t>,</w:t>
      </w:r>
      <w:r w:rsidR="00076E29">
        <w:t xml:space="preserve"> </w:t>
      </w:r>
      <w:r>
        <w:t xml:space="preserve">children with learning disabilities need more protection than their non-disabled peers, </w:t>
      </w:r>
      <w:r w:rsidR="007D4AF9">
        <w:t>and</w:t>
      </w:r>
      <w:r w:rsidR="00076E29">
        <w:t xml:space="preserve"> this</w:t>
      </w:r>
      <w:r w:rsidR="00FD7194">
        <w:t xml:space="preserve"> is </w:t>
      </w:r>
      <w:r w:rsidR="000B01E1">
        <w:t>admitted</w:t>
      </w:r>
      <w:r w:rsidR="00FD7194">
        <w:t xml:space="preserve"> in Article 7 of the CRPD</w:t>
      </w:r>
      <w:r w:rsidR="007306EC">
        <w:t>:</w:t>
      </w:r>
      <w:r w:rsidR="00FD7194">
        <w:t xml:space="preserve"> “</w:t>
      </w:r>
      <w:r w:rsidR="00FD7194" w:rsidRPr="00FD7194">
        <w:rPr>
          <w:i/>
        </w:rPr>
        <w:t xml:space="preserve">States Parties shall ensure that children with disabilities have the right to express their views freely on all matters affecting them, </w:t>
      </w:r>
      <w:r w:rsidR="00BB6FE7">
        <w:rPr>
          <w:i/>
        </w:rPr>
        <w:t>[…]</w:t>
      </w:r>
      <w:r w:rsidR="00FD7194" w:rsidRPr="00FD7194">
        <w:rPr>
          <w:i/>
        </w:rPr>
        <w:t xml:space="preserve"> and to be provided with disability and age-appropriate assistance to realize that right</w:t>
      </w:r>
      <w:r w:rsidR="00FD7194" w:rsidRPr="00FD7194">
        <w:t>.</w:t>
      </w:r>
      <w:r w:rsidR="00FD7194">
        <w:t xml:space="preserve">” </w:t>
      </w:r>
      <w:r w:rsidR="00076E29">
        <w:t xml:space="preserve">The CRPD gives no further details </w:t>
      </w:r>
      <w:r w:rsidR="007306EC">
        <w:t xml:space="preserve">as to </w:t>
      </w:r>
      <w:r w:rsidR="00076E29">
        <w:t xml:space="preserve">how </w:t>
      </w:r>
      <w:r w:rsidR="007306EC">
        <w:t xml:space="preserve">exactly </w:t>
      </w:r>
      <w:r w:rsidR="00076E29">
        <w:t>this</w:t>
      </w:r>
      <w:r w:rsidR="000B01E1">
        <w:t xml:space="preserve"> should be realised. </w:t>
      </w:r>
      <w:r w:rsidR="007306EC">
        <w:t>T</w:t>
      </w:r>
      <w:r w:rsidR="007D4AF9">
        <w:t>his</w:t>
      </w:r>
      <w:r w:rsidR="00FD7194">
        <w:t xml:space="preserve"> provision is mandatory for all </w:t>
      </w:r>
      <w:r w:rsidR="007D4AF9">
        <w:t xml:space="preserve">states </w:t>
      </w:r>
      <w:r w:rsidR="00FD7194">
        <w:t>that have ratified the Convention although</w:t>
      </w:r>
      <w:r w:rsidR="007D4AF9">
        <w:t>, to date,</w:t>
      </w:r>
      <w:r w:rsidR="00FD7194">
        <w:t xml:space="preserve"> </w:t>
      </w:r>
      <w:r w:rsidR="007306EC">
        <w:t xml:space="preserve">there is </w:t>
      </w:r>
      <w:r w:rsidR="00FD7194">
        <w:t>no</w:t>
      </w:r>
      <w:r w:rsidR="004F476B">
        <w:t xml:space="preserve"> international</w:t>
      </w:r>
      <w:r w:rsidR="00FD7194">
        <w:t xml:space="preserve"> impact assessment available to </w:t>
      </w:r>
      <w:r w:rsidR="007306EC">
        <w:t xml:space="preserve">evaluate the extent to which </w:t>
      </w:r>
      <w:r w:rsidR="00FD7194">
        <w:t xml:space="preserve">countries have implemented </w:t>
      </w:r>
      <w:r w:rsidR="007306EC">
        <w:t xml:space="preserve">any </w:t>
      </w:r>
      <w:r w:rsidR="00D01E99">
        <w:t xml:space="preserve">such </w:t>
      </w:r>
      <w:r w:rsidR="00FD7194">
        <w:t xml:space="preserve">progressive measures. </w:t>
      </w:r>
    </w:p>
    <w:p w14:paraId="1C399D28" w14:textId="52A3D704" w:rsidR="00FD7194" w:rsidRDefault="007306EC" w:rsidP="00E222CA">
      <w:r>
        <w:t>Data does exist</w:t>
      </w:r>
      <w:r w:rsidR="00B41EC8">
        <w:t xml:space="preserve">, however, </w:t>
      </w:r>
      <w:r w:rsidR="00FD7194">
        <w:t>showing that children with learning disabilities are denied the basic rights provided in the CRPD even in countri</w:t>
      </w:r>
      <w:r w:rsidR="00076E29">
        <w:t>es that have long ratified the C</w:t>
      </w:r>
      <w:r w:rsidR="00FD7194">
        <w:t xml:space="preserve">onvention. A recent report has found that even national human rights monitoring bodies </w:t>
      </w:r>
      <w:r w:rsidR="00076E29">
        <w:t xml:space="preserve">working to observe human rights violations </w:t>
      </w:r>
      <w:r w:rsidR="00FD7194">
        <w:t xml:space="preserve">paid no or </w:t>
      </w:r>
      <w:r w:rsidR="00D01E99">
        <w:t>minimal</w:t>
      </w:r>
      <w:r w:rsidR="00FD7194">
        <w:t xml:space="preserve"> attention to disabled children’s situation in </w:t>
      </w:r>
      <w:r w:rsidR="00076E29">
        <w:t>ten</w:t>
      </w:r>
      <w:r w:rsidR="00FD7194">
        <w:t xml:space="preserve"> Eastern and Central European countries </w:t>
      </w:r>
      <w:r w:rsidR="00112206" w:rsidRPr="00112206">
        <w:rPr>
          <w:rFonts w:ascii="Calibri" w:hAnsi="Calibri" w:cs="Calibri"/>
        </w:rPr>
        <w:t>(Mental Disability Advocacy Center</w:t>
      </w:r>
      <w:r w:rsidR="0074451C">
        <w:rPr>
          <w:rFonts w:ascii="Calibri" w:hAnsi="Calibri" w:cs="Calibri"/>
        </w:rPr>
        <w:t>,</w:t>
      </w:r>
      <w:r w:rsidR="00112206" w:rsidRPr="00112206">
        <w:rPr>
          <w:rFonts w:ascii="Calibri" w:hAnsi="Calibri" w:cs="Calibri"/>
        </w:rPr>
        <w:t xml:space="preserve"> 2015)</w:t>
      </w:r>
      <w:r w:rsidR="00FD7194">
        <w:t xml:space="preserve">. The situation is further </w:t>
      </w:r>
      <w:r w:rsidR="001D0140">
        <w:t>exacerbated</w:t>
      </w:r>
      <w:r w:rsidR="00FD7194">
        <w:t xml:space="preserve"> by the lack of statistical data on how many children with disabilities </w:t>
      </w:r>
      <w:r w:rsidR="001D0140">
        <w:t>participate in judicial procedures and what judgments they receive. Data on children</w:t>
      </w:r>
      <w:r w:rsidR="000B01E1">
        <w:t xml:space="preserve"> with learning disabilities</w:t>
      </w:r>
      <w:r w:rsidR="001D0140">
        <w:t xml:space="preserve"> in the justice system </w:t>
      </w:r>
      <w:r w:rsidR="000B01E1">
        <w:t xml:space="preserve">usually </w:t>
      </w:r>
      <w:r w:rsidR="001D0140">
        <w:t>comes from</w:t>
      </w:r>
      <w:r w:rsidR="007D4AF9">
        <w:t xml:space="preserve"> individual cases,</w:t>
      </w:r>
      <w:r w:rsidR="001D0140">
        <w:t xml:space="preserve"> oral history and </w:t>
      </w:r>
      <w:r w:rsidR="00D01E99">
        <w:t xml:space="preserve">some </w:t>
      </w:r>
      <w:r w:rsidR="001D0140">
        <w:t>targeted qualitative research with judges, soci</w:t>
      </w:r>
      <w:r w:rsidR="000B01E1">
        <w:t>al workers, carers or children</w:t>
      </w:r>
      <w:r>
        <w:t>.</w:t>
      </w:r>
      <w:r w:rsidR="000B01E1">
        <w:t xml:space="preserve"> </w:t>
      </w:r>
      <w:r>
        <w:t xml:space="preserve">Even this kind of </w:t>
      </w:r>
      <w:r w:rsidR="000B01E1">
        <w:t xml:space="preserve">data </w:t>
      </w:r>
      <w:r>
        <w:t xml:space="preserve">is </w:t>
      </w:r>
      <w:r w:rsidR="000B01E1">
        <w:t xml:space="preserve">scarce. </w:t>
      </w:r>
      <w:r>
        <w:t xml:space="preserve">It appears </w:t>
      </w:r>
      <w:r w:rsidR="001D0140">
        <w:t>that</w:t>
      </w:r>
      <w:r>
        <w:t>,</w:t>
      </w:r>
      <w:r w:rsidR="001D0140">
        <w:t xml:space="preserve"> in </w:t>
      </w:r>
      <w:r w:rsidR="000B01E1">
        <w:t>many</w:t>
      </w:r>
      <w:r w:rsidR="001D0140">
        <w:t xml:space="preserve"> countries</w:t>
      </w:r>
      <w:r>
        <w:t>,</w:t>
      </w:r>
      <w:r w:rsidR="001D0140">
        <w:t xml:space="preserve"> there is no consideration given to or assessment </w:t>
      </w:r>
      <w:r>
        <w:t xml:space="preserve">made of </w:t>
      </w:r>
      <w:r w:rsidR="001D0140">
        <w:t xml:space="preserve">the specific needs of children with learning disabilities entering the justice system </w:t>
      </w:r>
      <w:r w:rsidR="00112206" w:rsidRPr="00112206">
        <w:rPr>
          <w:rFonts w:ascii="Calibri" w:hAnsi="Calibri" w:cs="Calibri"/>
        </w:rPr>
        <w:t>(Mental Disability Advocacy Center</w:t>
      </w:r>
      <w:r w:rsidR="0074451C">
        <w:rPr>
          <w:rFonts w:ascii="Calibri" w:hAnsi="Calibri" w:cs="Calibri"/>
        </w:rPr>
        <w:t>,</w:t>
      </w:r>
      <w:r w:rsidR="00112206" w:rsidRPr="00112206">
        <w:rPr>
          <w:rFonts w:ascii="Calibri" w:hAnsi="Calibri" w:cs="Calibri"/>
        </w:rPr>
        <w:t xml:space="preserve"> 2015)</w:t>
      </w:r>
      <w:r w:rsidR="001D0140">
        <w:t xml:space="preserve">. </w:t>
      </w:r>
    </w:p>
    <w:p w14:paraId="694ED694" w14:textId="4C1CDDE7" w:rsidR="00767A76" w:rsidRDefault="000B01E1" w:rsidP="00E222CA">
      <w:r>
        <w:t xml:space="preserve">Another obstacle </w:t>
      </w:r>
      <w:r w:rsidR="007306EC">
        <w:t xml:space="preserve">to </w:t>
      </w:r>
      <w:r>
        <w:t>the implementation of human rights law is that l</w:t>
      </w:r>
      <w:r w:rsidR="00767A76">
        <w:t xml:space="preserve">egal texts </w:t>
      </w:r>
      <w:r>
        <w:t xml:space="preserve">themselves </w:t>
      </w:r>
      <w:r w:rsidR="00767A76">
        <w:t xml:space="preserve">are </w:t>
      </w:r>
      <w:r w:rsidR="004F476B">
        <w:t xml:space="preserve">rather abstract and </w:t>
      </w:r>
      <w:r w:rsidR="00767A76">
        <w:t>open to different interpretations</w:t>
      </w:r>
      <w:r w:rsidR="00D01E99">
        <w:t xml:space="preserve">. </w:t>
      </w:r>
      <w:r w:rsidR="007306EC">
        <w:t>P</w:t>
      </w:r>
      <w:r w:rsidR="00767A76">
        <w:t xml:space="preserve">olicy-makers </w:t>
      </w:r>
      <w:r w:rsidR="007306EC">
        <w:t xml:space="preserve">may </w:t>
      </w:r>
      <w:r w:rsidR="00767A76">
        <w:t xml:space="preserve">use this as an opportunity to ‘bend’ the meaning or intention of </w:t>
      </w:r>
      <w:r>
        <w:t>international law</w:t>
      </w:r>
      <w:r w:rsidR="00767A76">
        <w:t xml:space="preserve">. </w:t>
      </w:r>
      <w:r w:rsidR="007306EC">
        <w:t>For example, a</w:t>
      </w:r>
      <w:r w:rsidR="00767A76">
        <w:t xml:space="preserve"> </w:t>
      </w:r>
      <w:r>
        <w:t>study on the</w:t>
      </w:r>
      <w:r w:rsidR="00767A76">
        <w:t xml:space="preserve"> extra-judicial dimensions of the CRPD showed that </w:t>
      </w:r>
      <w:r w:rsidR="00D01E99">
        <w:t>contested</w:t>
      </w:r>
      <w:r w:rsidR="00767A76">
        <w:t xml:space="preserve"> translations and socially embedded interpretations ma</w:t>
      </w:r>
      <w:r w:rsidR="007306EC">
        <w:t>d</w:t>
      </w:r>
      <w:r w:rsidR="00767A76">
        <w:t xml:space="preserve">e it difficult to implement the principles intended to guide the </w:t>
      </w:r>
      <w:r w:rsidR="007306EC">
        <w:t>C</w:t>
      </w:r>
      <w:r w:rsidR="00767A76">
        <w:t xml:space="preserve">onvention </w:t>
      </w:r>
      <w:r w:rsidR="00112206" w:rsidRPr="00112206">
        <w:rPr>
          <w:rFonts w:ascii="Calibri" w:hAnsi="Calibri" w:cs="Calibri"/>
        </w:rPr>
        <w:t>(Mladenov</w:t>
      </w:r>
      <w:r w:rsidR="0074451C">
        <w:rPr>
          <w:rFonts w:ascii="Calibri" w:hAnsi="Calibri" w:cs="Calibri"/>
        </w:rPr>
        <w:t>,</w:t>
      </w:r>
      <w:r w:rsidR="00112206" w:rsidRPr="00112206">
        <w:rPr>
          <w:rFonts w:ascii="Calibri" w:hAnsi="Calibri" w:cs="Calibri"/>
        </w:rPr>
        <w:t xml:space="preserve"> 2013)</w:t>
      </w:r>
      <w:r w:rsidR="00767A76">
        <w:t xml:space="preserve">. </w:t>
      </w:r>
      <w:r w:rsidR="00360F6F">
        <w:t>Furthermore</w:t>
      </w:r>
      <w:r w:rsidR="007306EC">
        <w:t xml:space="preserve">, </w:t>
      </w:r>
      <w:r w:rsidR="00767A76">
        <w:t xml:space="preserve">translations of the CRPD into languages like German, Hungarian or Bulgarian have been debated by </w:t>
      </w:r>
      <w:r w:rsidR="00D01E99">
        <w:t>Disabled People’s Organisations (</w:t>
      </w:r>
      <w:r w:rsidR="00767A76">
        <w:t>DPOs</w:t>
      </w:r>
      <w:r w:rsidR="00D01E99">
        <w:t>)</w:t>
      </w:r>
      <w:r w:rsidR="00062D68">
        <w:t xml:space="preserve"> </w:t>
      </w:r>
      <w:r w:rsidR="00112206" w:rsidRPr="00112206">
        <w:rPr>
          <w:rFonts w:ascii="Calibri" w:hAnsi="Calibri" w:cs="Calibri"/>
        </w:rPr>
        <w:t>(Virtanen</w:t>
      </w:r>
      <w:r w:rsidR="0074451C">
        <w:rPr>
          <w:rFonts w:ascii="Calibri" w:hAnsi="Calibri" w:cs="Calibri"/>
        </w:rPr>
        <w:t>,</w:t>
      </w:r>
      <w:r w:rsidR="00112206" w:rsidRPr="00112206">
        <w:rPr>
          <w:rFonts w:ascii="Calibri" w:hAnsi="Calibri" w:cs="Calibri"/>
        </w:rPr>
        <w:t xml:space="preserve"> 2008, Mladenov</w:t>
      </w:r>
      <w:r w:rsidR="0074451C">
        <w:rPr>
          <w:rFonts w:ascii="Calibri" w:hAnsi="Calibri" w:cs="Calibri"/>
        </w:rPr>
        <w:t>,</w:t>
      </w:r>
      <w:r w:rsidR="00112206" w:rsidRPr="00112206">
        <w:rPr>
          <w:rFonts w:ascii="Calibri" w:hAnsi="Calibri" w:cs="Calibri"/>
        </w:rPr>
        <w:t xml:space="preserve"> 2013)</w:t>
      </w:r>
      <w:r w:rsidR="007306EC">
        <w:t>,</w:t>
      </w:r>
      <w:r w:rsidR="00062D68">
        <w:t xml:space="preserve"> mak</w:t>
      </w:r>
      <w:r w:rsidR="007306EC">
        <w:t>ing</w:t>
      </w:r>
      <w:r w:rsidR="00062D68">
        <w:t xml:space="preserve"> </w:t>
      </w:r>
      <w:r w:rsidR="00062D68">
        <w:lastRenderedPageBreak/>
        <w:t xml:space="preserve">it very difficult to realise </w:t>
      </w:r>
      <w:r w:rsidR="0071423D">
        <w:t xml:space="preserve">or even initiate </w:t>
      </w:r>
      <w:r w:rsidR="00062D68">
        <w:t xml:space="preserve">meaningful </w:t>
      </w:r>
      <w:r w:rsidR="007306EC">
        <w:t xml:space="preserve">changes in </w:t>
      </w:r>
      <w:r w:rsidR="00062D68">
        <w:t>policy</w:t>
      </w:r>
      <w:r w:rsidR="00767A76">
        <w:t xml:space="preserve">. </w:t>
      </w:r>
      <w:r w:rsidR="0074451C">
        <w:t xml:space="preserve">Finally, the implementation and monitoring of human rights laws are contingent on extra-legal, for example political or economic factors that UN Conventions have very little influence on </w:t>
      </w:r>
      <w:r w:rsidR="0074451C" w:rsidRPr="00480E59">
        <w:rPr>
          <w:rFonts w:ascii="Calibri" w:hAnsi="Calibri" w:cs="Calibri"/>
        </w:rPr>
        <w:t>(Stein</w:t>
      </w:r>
      <w:r w:rsidR="0074451C">
        <w:rPr>
          <w:rFonts w:ascii="Calibri" w:hAnsi="Calibri" w:cs="Calibri"/>
        </w:rPr>
        <w:t>,</w:t>
      </w:r>
      <w:r w:rsidR="0074451C" w:rsidRPr="00480E59">
        <w:rPr>
          <w:rFonts w:ascii="Calibri" w:hAnsi="Calibri" w:cs="Calibri"/>
        </w:rPr>
        <w:t xml:space="preserve"> 2007)</w:t>
      </w:r>
      <w:r w:rsidR="0074451C">
        <w:t>.</w:t>
      </w:r>
    </w:p>
    <w:p w14:paraId="108ADDCF" w14:textId="77777777" w:rsidR="00B41EC8" w:rsidRDefault="00767A76" w:rsidP="00E222CA">
      <w:r>
        <w:t xml:space="preserve">In the absence of </w:t>
      </w:r>
      <w:r w:rsidR="0071423D">
        <w:t>legally enforceable and clear practical</w:t>
      </w:r>
      <w:r w:rsidR="00062D68">
        <w:t xml:space="preserve"> guidelines, hindered by distorted interpretations, it is not surprising that</w:t>
      </w:r>
      <w:r>
        <w:t xml:space="preserve"> t</w:t>
      </w:r>
      <w:r w:rsidR="00B41EC8">
        <w:t xml:space="preserve">he </w:t>
      </w:r>
      <w:r>
        <w:t>two major</w:t>
      </w:r>
      <w:r w:rsidR="00B41EC8">
        <w:t xml:space="preserve"> UN </w:t>
      </w:r>
      <w:r w:rsidR="003B0506">
        <w:t>C</w:t>
      </w:r>
      <w:r>
        <w:t>onventions</w:t>
      </w:r>
      <w:r w:rsidR="00B41EC8">
        <w:t xml:space="preserve"> seem to </w:t>
      </w:r>
      <w:r>
        <w:t>have made</w:t>
      </w:r>
      <w:r w:rsidR="00B41EC8">
        <w:t xml:space="preserve"> little impact on </w:t>
      </w:r>
      <w:r>
        <w:t xml:space="preserve">how children with learning disabilities </w:t>
      </w:r>
      <w:r w:rsidR="00062D68">
        <w:t>participate in court procedures. However,</w:t>
      </w:r>
      <w:r>
        <w:t xml:space="preserve"> there may be another</w:t>
      </w:r>
      <w:r w:rsidR="00076E29">
        <w:t xml:space="preserve"> </w:t>
      </w:r>
      <w:r w:rsidR="00D01E99">
        <w:t xml:space="preserve">underlying </w:t>
      </w:r>
      <w:r w:rsidR="00076E29">
        <w:t>reason</w:t>
      </w:r>
      <w:r>
        <w:t xml:space="preserve"> for this</w:t>
      </w:r>
      <w:r w:rsidR="0071423D">
        <w:t xml:space="preserve"> situation</w:t>
      </w:r>
      <w:r>
        <w:t>:</w:t>
      </w:r>
      <w:r w:rsidR="00076E29">
        <w:t xml:space="preserve"> the existing ambiguity within advocacy or</w:t>
      </w:r>
      <w:r w:rsidR="0071423D">
        <w:t xml:space="preserve">ganisations representing </w:t>
      </w:r>
      <w:r w:rsidR="003B0506">
        <w:t xml:space="preserve">disabled </w:t>
      </w:r>
      <w:r w:rsidR="0071423D">
        <w:t>people,</w:t>
      </w:r>
      <w:r w:rsidR="00076E29">
        <w:t xml:space="preserve"> including children with </w:t>
      </w:r>
      <w:r w:rsidR="00D01E99">
        <w:t xml:space="preserve">learning </w:t>
      </w:r>
      <w:r w:rsidR="00076E29">
        <w:t>disabilities</w:t>
      </w:r>
      <w:r w:rsidR="00B41EC8">
        <w:t xml:space="preserve">. </w:t>
      </w:r>
    </w:p>
    <w:p w14:paraId="3A6C1335" w14:textId="77777777" w:rsidR="0099080D" w:rsidRPr="00B41EC8" w:rsidRDefault="001540C2" w:rsidP="00E222CA">
      <w:pPr>
        <w:rPr>
          <w:b/>
        </w:rPr>
      </w:pPr>
      <w:r>
        <w:rPr>
          <w:b/>
        </w:rPr>
        <w:t>Gap</w:t>
      </w:r>
      <w:r w:rsidR="00106CA0">
        <w:rPr>
          <w:b/>
        </w:rPr>
        <w:t>s</w:t>
      </w:r>
      <w:r>
        <w:rPr>
          <w:b/>
        </w:rPr>
        <w:t xml:space="preserve"> in advocacy </w:t>
      </w:r>
      <w:r w:rsidR="00A80548">
        <w:rPr>
          <w:b/>
        </w:rPr>
        <w:t xml:space="preserve">for </w:t>
      </w:r>
      <w:r w:rsidR="00A801AF">
        <w:rPr>
          <w:b/>
        </w:rPr>
        <w:t xml:space="preserve">children with </w:t>
      </w:r>
      <w:r w:rsidR="00106CA0">
        <w:rPr>
          <w:b/>
        </w:rPr>
        <w:t>learning disabilities</w:t>
      </w:r>
    </w:p>
    <w:p w14:paraId="5F29BD41" w14:textId="7DA23019" w:rsidR="00D01593" w:rsidRDefault="00D01E99" w:rsidP="00E222CA">
      <w:r>
        <w:t>DPOs</w:t>
      </w:r>
      <w:r w:rsidR="00076E29">
        <w:t xml:space="preserve"> have long been drivers </w:t>
      </w:r>
      <w:r w:rsidR="009B6344">
        <w:t>for</w:t>
      </w:r>
      <w:r w:rsidR="00076E29">
        <w:t xml:space="preserve"> progressive </w:t>
      </w:r>
      <w:r w:rsidR="009B6344">
        <w:t xml:space="preserve">legal and policy </w:t>
      </w:r>
      <w:r w:rsidR="00076E29">
        <w:t xml:space="preserve">changes </w:t>
      </w:r>
      <w:r w:rsidR="0074451C">
        <w:rPr>
          <w:rFonts w:ascii="Calibri" w:hAnsi="Calibri" w:cs="Calibri"/>
        </w:rPr>
        <w:t xml:space="preserve">(García-Iriarte et al., 2015; Barnes </w:t>
      </w:r>
      <w:r w:rsidR="009F53E8" w:rsidRPr="009F53E8">
        <w:rPr>
          <w:rFonts w:ascii="Calibri" w:hAnsi="Calibri" w:cs="Calibri"/>
        </w:rPr>
        <w:t>et al.</w:t>
      </w:r>
      <w:r w:rsidR="0074451C">
        <w:rPr>
          <w:rFonts w:ascii="Calibri" w:hAnsi="Calibri" w:cs="Calibri"/>
        </w:rPr>
        <w:t>,</w:t>
      </w:r>
      <w:r w:rsidR="009F53E8" w:rsidRPr="009F53E8">
        <w:rPr>
          <w:rFonts w:ascii="Calibri" w:hAnsi="Calibri" w:cs="Calibri"/>
        </w:rPr>
        <w:t xml:space="preserve"> 2003)</w:t>
      </w:r>
      <w:r w:rsidR="009B6344">
        <w:t xml:space="preserve">. Their participation in policy-making has contributed to </w:t>
      </w:r>
      <w:r w:rsidR="00342D76">
        <w:t xml:space="preserve">profound changes </w:t>
      </w:r>
      <w:r w:rsidR="00D01593">
        <w:t xml:space="preserve">since the 1970s </w:t>
      </w:r>
      <w:r w:rsidR="00342D76">
        <w:t xml:space="preserve">such as </w:t>
      </w:r>
      <w:r w:rsidR="009B6344">
        <w:t>deinstitutionalisation</w:t>
      </w:r>
      <w:r w:rsidR="00D01593">
        <w:t xml:space="preserve"> programmes</w:t>
      </w:r>
      <w:r w:rsidR="009B6344">
        <w:t xml:space="preserve">, discrimination legislation, </w:t>
      </w:r>
      <w:r w:rsidR="00B80B3D">
        <w:t>increas</w:t>
      </w:r>
      <w:r w:rsidR="00A80548">
        <w:t>ed</w:t>
      </w:r>
      <w:r w:rsidR="00B80B3D">
        <w:t xml:space="preserve"> accessibility </w:t>
      </w:r>
      <w:r w:rsidR="00342D76">
        <w:t xml:space="preserve">and </w:t>
      </w:r>
      <w:r w:rsidR="009B6344">
        <w:t>inclusive education</w:t>
      </w:r>
      <w:r w:rsidR="00D01593">
        <w:t xml:space="preserve">. </w:t>
      </w:r>
      <w:r w:rsidR="008545F1">
        <w:t>The CRPD has also made an impact</w:t>
      </w:r>
      <w:r w:rsidR="00A80548">
        <w:t>.</w:t>
      </w:r>
      <w:r w:rsidR="008545F1">
        <w:t xml:space="preserve"> </w:t>
      </w:r>
      <w:r w:rsidR="00A80548">
        <w:t>F</w:t>
      </w:r>
      <w:r w:rsidR="008545F1">
        <w:t xml:space="preserve">or example, as a result of disability advocacy building on requirements enshrined in </w:t>
      </w:r>
      <w:r w:rsidR="004F1A53">
        <w:t xml:space="preserve">Article 12 of </w:t>
      </w:r>
      <w:r w:rsidR="008545F1">
        <w:t xml:space="preserve">the CRPD </w:t>
      </w:r>
      <w:r>
        <w:t>on</w:t>
      </w:r>
      <w:r w:rsidR="008545F1">
        <w:t xml:space="preserve"> legal capacity, some European countries have been implementing progressive changes </w:t>
      </w:r>
      <w:r w:rsidR="004F1A53">
        <w:t xml:space="preserve">in their guardianship laws </w:t>
      </w:r>
      <w:r w:rsidR="00112206" w:rsidRPr="00112206">
        <w:rPr>
          <w:rFonts w:ascii="Calibri" w:hAnsi="Calibri" w:cs="Calibri"/>
        </w:rPr>
        <w:t>(Kozma</w:t>
      </w:r>
      <w:r w:rsidR="0074451C">
        <w:rPr>
          <w:rFonts w:ascii="Calibri" w:hAnsi="Calibri" w:cs="Calibri"/>
        </w:rPr>
        <w:t xml:space="preserve"> and</w:t>
      </w:r>
      <w:r w:rsidR="00112206" w:rsidRPr="00112206">
        <w:rPr>
          <w:rFonts w:ascii="Calibri" w:hAnsi="Calibri" w:cs="Calibri"/>
        </w:rPr>
        <w:t xml:space="preserve"> Petri</w:t>
      </w:r>
      <w:r w:rsidR="0074451C">
        <w:rPr>
          <w:rFonts w:ascii="Calibri" w:hAnsi="Calibri" w:cs="Calibri"/>
        </w:rPr>
        <w:t>,</w:t>
      </w:r>
      <w:r w:rsidR="00112206" w:rsidRPr="00112206">
        <w:rPr>
          <w:rFonts w:ascii="Calibri" w:hAnsi="Calibri" w:cs="Calibri"/>
        </w:rPr>
        <w:t xml:space="preserve"> 2012)</w:t>
      </w:r>
      <w:r w:rsidR="008545F1">
        <w:t xml:space="preserve">. </w:t>
      </w:r>
      <w:r w:rsidR="00D01593">
        <w:t xml:space="preserve">It </w:t>
      </w:r>
      <w:r w:rsidR="00A80548">
        <w:t xml:space="preserve">might </w:t>
      </w:r>
      <w:r w:rsidR="00D01593">
        <w:t>be expected</w:t>
      </w:r>
      <w:r w:rsidR="009B6344">
        <w:t xml:space="preserve"> that DPOs should play a leading role in changing law about disabled children’s par</w:t>
      </w:r>
      <w:r w:rsidR="00D01593">
        <w:t xml:space="preserve">ticipation in legal procedures. </w:t>
      </w:r>
      <w:r w:rsidR="004F1A53">
        <w:t xml:space="preserve">The question is: who advocates for </w:t>
      </w:r>
      <w:r w:rsidR="0071423D">
        <w:t>children</w:t>
      </w:r>
      <w:r w:rsidR="004F1A53">
        <w:t xml:space="preserve">? </w:t>
      </w:r>
      <w:r>
        <w:t>What</w:t>
      </w:r>
      <w:r w:rsidR="004F1A53">
        <w:t xml:space="preserve"> DPOs should represent children with learning disabilities?</w:t>
      </w:r>
    </w:p>
    <w:p w14:paraId="5F4E611F" w14:textId="373CF649" w:rsidR="009B6344" w:rsidRDefault="009B6344" w:rsidP="00E222CA">
      <w:r>
        <w:t>The CRPD itself is quite clear about DPOs</w:t>
      </w:r>
      <w:r w:rsidR="00A80548">
        <w:t>’</w:t>
      </w:r>
      <w:r>
        <w:t xml:space="preserve"> </w:t>
      </w:r>
      <w:r w:rsidR="00D01E99">
        <w:t xml:space="preserve">pivotal </w:t>
      </w:r>
      <w:r>
        <w:t xml:space="preserve">role when </w:t>
      </w:r>
      <w:r w:rsidR="004F1A53">
        <w:t xml:space="preserve">it </w:t>
      </w:r>
      <w:r>
        <w:t>states</w:t>
      </w:r>
      <w:r w:rsidR="00D01E99">
        <w:t xml:space="preserve"> in Article 4(3)</w:t>
      </w:r>
      <w:r w:rsidR="00A80548">
        <w:t>:</w:t>
      </w:r>
      <w:r>
        <w:t xml:space="preserve"> “</w:t>
      </w:r>
      <w:r w:rsidRPr="009B6344">
        <w:rPr>
          <w:i/>
        </w:rPr>
        <w:t>In the development and implementation of legislation and policies to implement the present Convention, […] States Parties shall closely consult with and actively involve persons with disabilities, including children with disabilities, through the</w:t>
      </w:r>
      <w:r w:rsidR="00D41BCA">
        <w:rPr>
          <w:i/>
        </w:rPr>
        <w:t>ir representative organizations</w:t>
      </w:r>
      <w:r>
        <w:t xml:space="preserve">” </w:t>
      </w:r>
      <w:r w:rsidR="00112206" w:rsidRPr="00112206">
        <w:rPr>
          <w:rFonts w:ascii="Calibri" w:hAnsi="Calibri" w:cs="Calibri"/>
        </w:rPr>
        <w:t>(UN General Assembly</w:t>
      </w:r>
      <w:r w:rsidR="0074451C">
        <w:rPr>
          <w:rFonts w:ascii="Calibri" w:hAnsi="Calibri" w:cs="Calibri"/>
        </w:rPr>
        <w:t>,</w:t>
      </w:r>
      <w:r w:rsidR="00112206" w:rsidRPr="00112206">
        <w:rPr>
          <w:rFonts w:ascii="Calibri" w:hAnsi="Calibri" w:cs="Calibri"/>
        </w:rPr>
        <w:t xml:space="preserve"> 2007)</w:t>
      </w:r>
      <w:r w:rsidR="00D41BCA">
        <w:t>.</w:t>
      </w:r>
      <w:r w:rsidR="004F1A53">
        <w:t xml:space="preserve"> It is, however, </w:t>
      </w:r>
      <w:r w:rsidR="00D41BCA">
        <w:t xml:space="preserve">open to interpretation </w:t>
      </w:r>
      <w:r w:rsidR="004F1A53">
        <w:t xml:space="preserve">how this representation can be fulfilled and assessed, since children have limited legal capacity to represent themselves. Such broad </w:t>
      </w:r>
      <w:r w:rsidR="00D01593">
        <w:t xml:space="preserve">recommendations </w:t>
      </w:r>
      <w:r w:rsidR="004F1A53">
        <w:t>are repeated</w:t>
      </w:r>
      <w:r w:rsidR="00B80B3D">
        <w:t xml:space="preserve"> elsewhere,</w:t>
      </w:r>
      <w:r w:rsidR="004F1A53">
        <w:t xml:space="preserve"> </w:t>
      </w:r>
      <w:r w:rsidR="00D41BCA">
        <w:t>for example in General Comment</w:t>
      </w:r>
      <w:r w:rsidR="00D01593">
        <w:t xml:space="preserve"> </w:t>
      </w:r>
      <w:r w:rsidR="00D41BCA">
        <w:t>No.1 on</w:t>
      </w:r>
      <w:r w:rsidR="00D01593">
        <w:t xml:space="preserve"> the CRPD </w:t>
      </w:r>
      <w:r w:rsidR="00112206" w:rsidRPr="00112206">
        <w:rPr>
          <w:rFonts w:ascii="Calibri" w:hAnsi="Calibri" w:cs="Calibri"/>
        </w:rPr>
        <w:t>(Committee on the Rights of Persons with Disabilities</w:t>
      </w:r>
      <w:r w:rsidR="0074451C">
        <w:rPr>
          <w:rFonts w:ascii="Calibri" w:hAnsi="Calibri" w:cs="Calibri"/>
        </w:rPr>
        <w:t>,</w:t>
      </w:r>
      <w:r w:rsidR="00112206" w:rsidRPr="00112206">
        <w:rPr>
          <w:rFonts w:ascii="Calibri" w:hAnsi="Calibri" w:cs="Calibri"/>
        </w:rPr>
        <w:t xml:space="preserve"> 2014)</w:t>
      </w:r>
      <w:r w:rsidR="00D01593">
        <w:t>. R</w:t>
      </w:r>
      <w:r>
        <w:t xml:space="preserve">eaders </w:t>
      </w:r>
      <w:r w:rsidR="00D01593">
        <w:t xml:space="preserve">seeking the right interpretation of </w:t>
      </w:r>
      <w:r>
        <w:t xml:space="preserve">the </w:t>
      </w:r>
      <w:r w:rsidR="00D01E99">
        <w:t>CRPD</w:t>
      </w:r>
      <w:r w:rsidR="00D01593">
        <w:t xml:space="preserve"> may rightly ask</w:t>
      </w:r>
      <w:r>
        <w:t xml:space="preserve">: who are the representative organisations of children with learning disabilities? </w:t>
      </w:r>
    </w:p>
    <w:p w14:paraId="5CF0BB6D" w14:textId="77777777" w:rsidR="00D41BCA" w:rsidRDefault="009B6344" w:rsidP="00E222CA">
      <w:r>
        <w:t xml:space="preserve">The answer sheds light on one of the </w:t>
      </w:r>
      <w:r w:rsidR="001540C2">
        <w:t xml:space="preserve">long-standing </w:t>
      </w:r>
      <w:r>
        <w:t xml:space="preserve">ambiguities of contemporary disability advocacy, because children with learning disabilities or autism are represented </w:t>
      </w:r>
      <w:r w:rsidR="001540C2">
        <w:t xml:space="preserve">both </w:t>
      </w:r>
      <w:r>
        <w:t xml:space="preserve">by </w:t>
      </w:r>
      <w:r w:rsidR="00D01593">
        <w:t>organisations controlled by parents</w:t>
      </w:r>
      <w:r w:rsidR="00D01E99">
        <w:t xml:space="preserve"> and professionals</w:t>
      </w:r>
      <w:r w:rsidR="0057042A">
        <w:t xml:space="preserve"> and </w:t>
      </w:r>
      <w:r w:rsidR="00D41BCA">
        <w:t xml:space="preserve">by </w:t>
      </w:r>
      <w:r w:rsidR="001540C2">
        <w:t>other DPOs representing all disabled people</w:t>
      </w:r>
      <w:r w:rsidR="004F1A53">
        <w:t>, controlled by disabled people themselves</w:t>
      </w:r>
      <w:r w:rsidR="001540C2">
        <w:t xml:space="preserve">. </w:t>
      </w:r>
      <w:r w:rsidR="00D41BCA">
        <w:t xml:space="preserve">These are two, </w:t>
      </w:r>
      <w:r w:rsidR="00CC256E">
        <w:t xml:space="preserve">often </w:t>
      </w:r>
      <w:r w:rsidR="00D41BCA">
        <w:t xml:space="preserve">distinctly different parties. </w:t>
      </w:r>
      <w:r w:rsidR="004F1A53">
        <w:t>Taking the example of a group of disabled children living in a group home in one European country, it is unclear who represents them</w:t>
      </w:r>
      <w:r w:rsidR="00D41BCA">
        <w:t xml:space="preserve"> in the advocacy fora</w:t>
      </w:r>
      <w:r w:rsidR="004F1A53">
        <w:t>: (</w:t>
      </w:r>
      <w:r w:rsidR="00D41BCA">
        <w:t>a</w:t>
      </w:r>
      <w:r w:rsidR="004F1A53">
        <w:t xml:space="preserve">) the national </w:t>
      </w:r>
      <w:r w:rsidR="00D41BCA">
        <w:t xml:space="preserve">or local </w:t>
      </w:r>
      <w:r w:rsidR="004F1A53">
        <w:t>organisation of families of people with intellectual disabilities, controlled by parents and professionals, or (</w:t>
      </w:r>
      <w:r w:rsidR="00D41BCA">
        <w:t>b</w:t>
      </w:r>
      <w:r w:rsidR="004F1A53">
        <w:t xml:space="preserve">) the national </w:t>
      </w:r>
      <w:r w:rsidR="00D41BCA">
        <w:t xml:space="preserve">or local </w:t>
      </w:r>
      <w:r w:rsidR="004F1A53">
        <w:t>Independent Living organisation, established and led by people with disabil</w:t>
      </w:r>
      <w:r w:rsidR="00D41BCA">
        <w:t>i</w:t>
      </w:r>
      <w:r w:rsidR="004F1A53">
        <w:t>ti</w:t>
      </w:r>
      <w:r w:rsidR="00780039">
        <w:t>es?</w:t>
      </w:r>
    </w:p>
    <w:p w14:paraId="1A532449" w14:textId="77777777" w:rsidR="00D41BCA" w:rsidRDefault="00CC256E" w:rsidP="00D41BCA">
      <w:r>
        <w:t xml:space="preserve">Another issue is </w:t>
      </w:r>
      <w:r w:rsidRPr="00CC256E">
        <w:rPr>
          <w:i/>
        </w:rPr>
        <w:t>indirect</w:t>
      </w:r>
      <w:r>
        <w:t xml:space="preserve"> representation. </w:t>
      </w:r>
      <w:r w:rsidR="001540C2">
        <w:t xml:space="preserve">For example, </w:t>
      </w:r>
      <w:r>
        <w:t xml:space="preserve">the </w:t>
      </w:r>
      <w:r w:rsidR="001540C2">
        <w:t>European Disability Forum</w:t>
      </w:r>
      <w:r w:rsidR="00780039">
        <w:t xml:space="preserve"> (EDF)</w:t>
      </w:r>
      <w:r w:rsidR="001540C2">
        <w:t xml:space="preserve">, </w:t>
      </w:r>
      <w:r w:rsidR="008C0838">
        <w:t xml:space="preserve">the leading organisation of </w:t>
      </w:r>
      <w:r>
        <w:t>persons with disabilities</w:t>
      </w:r>
      <w:r w:rsidR="008C0838">
        <w:t xml:space="preserve"> in Europe</w:t>
      </w:r>
      <w:r w:rsidR="0057042A">
        <w:t>,</w:t>
      </w:r>
      <w:r w:rsidR="008C0838">
        <w:t xml:space="preserve"> states</w:t>
      </w:r>
      <w:r>
        <w:t xml:space="preserve"> in the Founding Statutes </w:t>
      </w:r>
      <w:r w:rsidR="00780039">
        <w:t xml:space="preserve">Article 1 </w:t>
      </w:r>
      <w:r>
        <w:t>that</w:t>
      </w:r>
      <w:r w:rsidR="008C0838">
        <w:t xml:space="preserve"> </w:t>
      </w:r>
      <w:r w:rsidR="00780039">
        <w:t>EDF</w:t>
      </w:r>
      <w:r w:rsidR="008C0838">
        <w:t xml:space="preserve"> is composed of  “</w:t>
      </w:r>
      <w:r w:rsidR="008C0838" w:rsidRPr="008C0838">
        <w:rPr>
          <w:i/>
        </w:rPr>
        <w:t xml:space="preserve">European Non-Governmental Organisations of/for disabled people representing disabled people, and parents (as such term is defined by each member organisation) of disabled people </w:t>
      </w:r>
      <w:r w:rsidR="008C0838" w:rsidRPr="00342D76">
        <w:rPr>
          <w:b/>
          <w:i/>
        </w:rPr>
        <w:t>who are unable to represent themselves</w:t>
      </w:r>
      <w:r w:rsidR="008C0838">
        <w:t xml:space="preserve"> […]</w:t>
      </w:r>
      <w:r w:rsidR="008C0838" w:rsidRPr="008C0838">
        <w:t>.</w:t>
      </w:r>
      <w:r w:rsidR="008C0838">
        <w:t xml:space="preserve">” </w:t>
      </w:r>
      <w:r w:rsidR="00342D76">
        <w:t xml:space="preserve">The latter reference to the inability to </w:t>
      </w:r>
      <w:r w:rsidR="00E61AE5">
        <w:t>self-</w:t>
      </w:r>
      <w:r w:rsidR="00342D76">
        <w:t>represent</w:t>
      </w:r>
      <w:r w:rsidR="00E61AE5">
        <w:t>ation</w:t>
      </w:r>
      <w:r w:rsidR="00342D76">
        <w:t xml:space="preserve"> is of crucial importance here because it </w:t>
      </w:r>
      <w:r w:rsidR="00D41BCA">
        <w:t xml:space="preserve">also </w:t>
      </w:r>
      <w:r w:rsidR="00342D76">
        <w:t xml:space="preserve">reflects the views of traditional law where disabled people in general are viewed as passive recipients of care rather than active citizens who can speak for themselves when allowed and supported to do so. </w:t>
      </w:r>
    </w:p>
    <w:p w14:paraId="02A3B647" w14:textId="20401ED2" w:rsidR="00D41BCA" w:rsidRDefault="00D41BCA" w:rsidP="00D41BCA">
      <w:r>
        <w:lastRenderedPageBreak/>
        <w:t>But children with disabilities are also represented through DPOs controlled by disabled people, for example self-advocacy organisation</w:t>
      </w:r>
      <w:r w:rsidR="0057042A">
        <w:t>s</w:t>
      </w:r>
      <w:r>
        <w:t xml:space="preserve"> that speak for a broader group</w:t>
      </w:r>
      <w:r w:rsidR="00780039">
        <w:t xml:space="preserve"> of </w:t>
      </w:r>
      <w:r w:rsidR="00204632">
        <w:t>children or adults living with learning disabilities</w:t>
      </w:r>
      <w:r>
        <w:t xml:space="preserve">. </w:t>
      </w:r>
      <w:r w:rsidR="00204632">
        <w:t>Independent</w:t>
      </w:r>
      <w:r>
        <w:t xml:space="preserve"> </w:t>
      </w:r>
      <w:r w:rsidR="00204632">
        <w:t>L</w:t>
      </w:r>
      <w:r>
        <w:t xml:space="preserve">iving </w:t>
      </w:r>
      <w:r w:rsidR="00204632">
        <w:t xml:space="preserve">organisations </w:t>
      </w:r>
      <w:r>
        <w:t>usually emphasise that children should not be placed into institutions at</w:t>
      </w:r>
      <w:r w:rsidR="00DC0B11">
        <w:t xml:space="preserve"> an</w:t>
      </w:r>
      <w:r>
        <w:t xml:space="preserve"> early age but should be given </w:t>
      </w:r>
      <w:r w:rsidR="0057042A">
        <w:t xml:space="preserve">the </w:t>
      </w:r>
      <w:r>
        <w:t xml:space="preserve">opportunity to stay with their families or find foster families </w:t>
      </w:r>
      <w:r w:rsidR="00112206" w:rsidRPr="00112206">
        <w:rPr>
          <w:rFonts w:ascii="Calibri" w:hAnsi="Calibri" w:cs="Calibri"/>
        </w:rPr>
        <w:t>(European Network on Independent Living</w:t>
      </w:r>
      <w:r w:rsidR="009B7A86">
        <w:rPr>
          <w:rFonts w:ascii="Calibri" w:hAnsi="Calibri" w:cs="Calibri"/>
        </w:rPr>
        <w:t>,</w:t>
      </w:r>
      <w:r w:rsidR="00112206" w:rsidRPr="00112206">
        <w:rPr>
          <w:rFonts w:ascii="Calibri" w:hAnsi="Calibri" w:cs="Calibri"/>
        </w:rPr>
        <w:t xml:space="preserve"> 2014)</w:t>
      </w:r>
      <w:r>
        <w:t xml:space="preserve">. On the other hand, it is </w:t>
      </w:r>
      <w:r w:rsidR="00780039">
        <w:t>usually</w:t>
      </w:r>
      <w:r>
        <w:t xml:space="preserve"> parents who make the decision to place their chi</w:t>
      </w:r>
      <w:r w:rsidR="00DC0B11">
        <w:t>ld in a residential institution</w:t>
      </w:r>
      <w:r>
        <w:t xml:space="preserve">. The child’s best interest </w:t>
      </w:r>
      <w:r w:rsidR="0057042A">
        <w:t xml:space="preserve">as </w:t>
      </w:r>
      <w:r>
        <w:t>represented by the parent’s decision stands</w:t>
      </w:r>
      <w:r w:rsidR="0057042A">
        <w:t>, therefore,</w:t>
      </w:r>
      <w:r>
        <w:t xml:space="preserve"> in stark contrast with adult disability activists’ opinion that no children should be admitted to institutions. Further contradictions are revealed by self-advocates with learning disabilities who state parental opinion </w:t>
      </w:r>
      <w:r w:rsidR="00204632">
        <w:t>sometimes</w:t>
      </w:r>
      <w:r>
        <w:t xml:space="preserve"> differs from their own wishes</w:t>
      </w:r>
      <w:r w:rsidR="00FE1ED6">
        <w:t>,</w:t>
      </w:r>
      <w:r w:rsidR="00204632">
        <w:t xml:space="preserve"> </w:t>
      </w:r>
      <w:r w:rsidR="00FE1ED6">
        <w:t xml:space="preserve">limiting </w:t>
      </w:r>
      <w:r w:rsidR="00204632">
        <w:t>their rights to make choices about crucial aspects of their lives</w:t>
      </w:r>
      <w:r w:rsidR="00780039">
        <w:t xml:space="preserve"> </w:t>
      </w:r>
      <w:r w:rsidR="00112206" w:rsidRPr="00112206">
        <w:rPr>
          <w:rFonts w:ascii="Calibri" w:hAnsi="Calibri" w:cs="Calibri"/>
        </w:rPr>
        <w:t>(Goodley</w:t>
      </w:r>
      <w:r w:rsidR="009B7A86">
        <w:rPr>
          <w:rFonts w:ascii="Calibri" w:hAnsi="Calibri" w:cs="Calibri"/>
        </w:rPr>
        <w:t>,</w:t>
      </w:r>
      <w:r w:rsidR="00112206" w:rsidRPr="00112206">
        <w:rPr>
          <w:rFonts w:ascii="Calibri" w:hAnsi="Calibri" w:cs="Calibri"/>
        </w:rPr>
        <w:t xml:space="preserve"> 2000)</w:t>
      </w:r>
      <w:r w:rsidR="00780039">
        <w:t xml:space="preserve">. </w:t>
      </w:r>
      <w:r>
        <w:t xml:space="preserve">It is also known that some parent groups may oppose deinstitutionalisation programmes, for example because they see residential care as the best option for their children </w:t>
      </w:r>
      <w:r w:rsidR="00112206" w:rsidRPr="00112206">
        <w:rPr>
          <w:rFonts w:ascii="Calibri" w:hAnsi="Calibri" w:cs="Calibri"/>
        </w:rPr>
        <w:t>(Barnes</w:t>
      </w:r>
      <w:r w:rsidR="0074451C">
        <w:rPr>
          <w:rFonts w:ascii="Calibri" w:hAnsi="Calibri" w:cs="Calibri"/>
        </w:rPr>
        <w:t>,</w:t>
      </w:r>
      <w:r w:rsidR="00112206" w:rsidRPr="00112206">
        <w:rPr>
          <w:rFonts w:ascii="Calibri" w:hAnsi="Calibri" w:cs="Calibri"/>
        </w:rPr>
        <w:t xml:space="preserve"> 2014</w:t>
      </w:r>
      <w:r w:rsidR="0074451C">
        <w:rPr>
          <w:rFonts w:ascii="Calibri" w:hAnsi="Calibri" w:cs="Calibri"/>
        </w:rPr>
        <w:t>;</w:t>
      </w:r>
      <w:r w:rsidR="00112206" w:rsidRPr="00112206">
        <w:rPr>
          <w:rFonts w:ascii="Calibri" w:hAnsi="Calibri" w:cs="Calibri"/>
        </w:rPr>
        <w:t xml:space="preserve"> Simpson</w:t>
      </w:r>
      <w:r w:rsidR="0074451C">
        <w:rPr>
          <w:rFonts w:ascii="Calibri" w:hAnsi="Calibri" w:cs="Calibri"/>
        </w:rPr>
        <w:t>,</w:t>
      </w:r>
      <w:r w:rsidR="00112206" w:rsidRPr="00112206">
        <w:rPr>
          <w:rFonts w:ascii="Calibri" w:hAnsi="Calibri" w:cs="Calibri"/>
        </w:rPr>
        <w:t xml:space="preserve"> 2008</w:t>
      </w:r>
      <w:r w:rsidR="0074451C">
        <w:rPr>
          <w:rFonts w:ascii="Calibri" w:hAnsi="Calibri" w:cs="Calibri"/>
        </w:rPr>
        <w:t>;</w:t>
      </w:r>
      <w:r w:rsidR="00112206" w:rsidRPr="00112206">
        <w:rPr>
          <w:rFonts w:ascii="Calibri" w:hAnsi="Calibri" w:cs="Calibri"/>
        </w:rPr>
        <w:t xml:space="preserve"> Dunn</w:t>
      </w:r>
      <w:r w:rsidR="0074451C">
        <w:rPr>
          <w:rFonts w:ascii="Calibri" w:hAnsi="Calibri" w:cs="Calibri"/>
        </w:rPr>
        <w:t>,</w:t>
      </w:r>
      <w:r w:rsidR="00112206" w:rsidRPr="00112206">
        <w:rPr>
          <w:rFonts w:ascii="Calibri" w:hAnsi="Calibri" w:cs="Calibri"/>
        </w:rPr>
        <w:t xml:space="preserve"> 1993)</w:t>
      </w:r>
      <w:r>
        <w:t xml:space="preserve">. </w:t>
      </w:r>
      <w:r w:rsidR="00204632">
        <w:t>In the absence of substantial data and targeted research we can only assume the</w:t>
      </w:r>
      <w:r w:rsidR="00FE1ED6">
        <w:t>re may be</w:t>
      </w:r>
      <w:r w:rsidR="00204632">
        <w:t xml:space="preserve"> differences between the </w:t>
      </w:r>
      <w:r w:rsidR="00780039">
        <w:t>advocacy work</w:t>
      </w:r>
      <w:r w:rsidR="00204632">
        <w:t xml:space="preserve"> of parent-led organisations and self-advocacy organisations. Experience certainly shows that parent-led organisations successfully cooperate on many issues with self-advocacy groups (where the latter are present</w:t>
      </w:r>
      <w:r w:rsidR="00780039">
        <w:t xml:space="preserve"> at all</w:t>
      </w:r>
      <w:r w:rsidR="00204632">
        <w:t xml:space="preserve">), but it is unclear how policy-makers or courts can deal with differing opinions when such cooperation is lacking. </w:t>
      </w:r>
    </w:p>
    <w:p w14:paraId="5D946648" w14:textId="611E0D85" w:rsidR="009B6344" w:rsidRDefault="00204632" w:rsidP="00E222CA">
      <w:r>
        <w:t>It is</w:t>
      </w:r>
      <w:r w:rsidR="00DC0B11">
        <w:t xml:space="preserve"> also</w:t>
      </w:r>
      <w:r>
        <w:t xml:space="preserve"> worth remembering that</w:t>
      </w:r>
      <w:r w:rsidR="00342D76">
        <w:t xml:space="preserve"> the political slogan of ‘nothing about us without us’, emphasised by the CRPD</w:t>
      </w:r>
      <w:r w:rsidR="00FE1ED6">
        <w:t>,</w:t>
      </w:r>
      <w:r w:rsidR="00342D76">
        <w:t xml:space="preserve"> had previously been stressed by </w:t>
      </w:r>
      <w:r w:rsidR="00E61AE5">
        <w:t>the CRC as well</w:t>
      </w:r>
      <w:r w:rsidR="00780039">
        <w:t>,</w:t>
      </w:r>
      <w:r w:rsidR="00E61AE5">
        <w:t xml:space="preserve"> </w:t>
      </w:r>
      <w:r w:rsidR="00780039">
        <w:t>asserting</w:t>
      </w:r>
      <w:r w:rsidR="00E61AE5">
        <w:t xml:space="preserve"> that self-representation is not reserved only for adults</w:t>
      </w:r>
      <w:r>
        <w:t xml:space="preserve"> </w:t>
      </w:r>
      <w:r w:rsidR="00112206" w:rsidRPr="00112206">
        <w:rPr>
          <w:rFonts w:ascii="Calibri" w:hAnsi="Calibri" w:cs="Calibri"/>
        </w:rPr>
        <w:t>(United Nations</w:t>
      </w:r>
      <w:r w:rsidR="0074451C">
        <w:rPr>
          <w:rFonts w:ascii="Calibri" w:hAnsi="Calibri" w:cs="Calibri"/>
        </w:rPr>
        <w:t>,</w:t>
      </w:r>
      <w:r w:rsidR="00112206" w:rsidRPr="00112206">
        <w:rPr>
          <w:rFonts w:ascii="Calibri" w:hAnsi="Calibri" w:cs="Calibri"/>
        </w:rPr>
        <w:t xml:space="preserve"> 1989)</w:t>
      </w:r>
      <w:r w:rsidR="00E61AE5">
        <w:t>.</w:t>
      </w:r>
      <w:r w:rsidR="00A801AF">
        <w:t xml:space="preserve"> The CRC encourages societies to see children as bearers of rights rather than subjects </w:t>
      </w:r>
      <w:r w:rsidR="00FE1ED6">
        <w:t>of</w:t>
      </w:r>
      <w:r w:rsidR="00A801AF">
        <w:t xml:space="preserve"> care.</w:t>
      </w:r>
      <w:r w:rsidR="00342D76">
        <w:t xml:space="preserve"> </w:t>
      </w:r>
      <w:r w:rsidR="00E61AE5">
        <w:t>In the context of disability advocacy, t</w:t>
      </w:r>
      <w:r w:rsidR="00342D76">
        <w:t xml:space="preserve">he question </w:t>
      </w:r>
      <w:r w:rsidR="00A801AF">
        <w:t xml:space="preserve">is what measures could and should be taken in order to have </w:t>
      </w:r>
      <w:r w:rsidR="008F76A6">
        <w:t xml:space="preserve">disabled </w:t>
      </w:r>
      <w:r w:rsidR="00A801AF">
        <w:t xml:space="preserve">children’s voices heard within parent-led </w:t>
      </w:r>
      <w:r w:rsidR="00D41BCA">
        <w:t xml:space="preserve">or adult-led </w:t>
      </w:r>
      <w:r w:rsidR="00A801AF">
        <w:t xml:space="preserve">organisations. </w:t>
      </w:r>
      <w:r w:rsidR="00FE1ED6">
        <w:t xml:space="preserve">It is right </w:t>
      </w:r>
      <w:r w:rsidR="00A801AF">
        <w:t>that children must be carefully assessed and listened to in court procedures</w:t>
      </w:r>
      <w:r w:rsidR="00FE1ED6">
        <w:t>.</w:t>
      </w:r>
      <w:r w:rsidR="00A801AF">
        <w:t xml:space="preserve"> </w:t>
      </w:r>
      <w:r w:rsidR="00FE1ED6">
        <w:t>I</w:t>
      </w:r>
      <w:r w:rsidR="00A801AF">
        <w:t xml:space="preserve">t </w:t>
      </w:r>
      <w:r w:rsidR="00FE1ED6">
        <w:t xml:space="preserve">is </w:t>
      </w:r>
      <w:r w:rsidR="00A801AF">
        <w:t xml:space="preserve">equally important that advocacy organisations work </w:t>
      </w:r>
      <w:r w:rsidR="00A801AF" w:rsidRPr="00112206">
        <w:rPr>
          <w:i/>
        </w:rPr>
        <w:t>with</w:t>
      </w:r>
      <w:r w:rsidR="00A801AF">
        <w:t xml:space="preserve"> children and not only</w:t>
      </w:r>
      <w:r w:rsidR="00FE1ED6">
        <w:t>,</w:t>
      </w:r>
      <w:r w:rsidR="00A801AF">
        <w:t xml:space="preserve"> </w:t>
      </w:r>
      <w:r w:rsidR="00D41BCA">
        <w:t xml:space="preserve">on their behalf, </w:t>
      </w:r>
      <w:r w:rsidR="00A801AF">
        <w:t>with their parents.</w:t>
      </w:r>
    </w:p>
    <w:p w14:paraId="2124C39C" w14:textId="77777777" w:rsidR="00204632" w:rsidRPr="00204632" w:rsidRDefault="00204632" w:rsidP="00E222CA">
      <w:pPr>
        <w:rPr>
          <w:b/>
        </w:rPr>
      </w:pPr>
      <w:r w:rsidRPr="00204632">
        <w:rPr>
          <w:b/>
        </w:rPr>
        <w:t>Evolving practices in children’s advocacy</w:t>
      </w:r>
    </w:p>
    <w:p w14:paraId="1A70EDEC" w14:textId="56EB2146" w:rsidR="00CC1F3E" w:rsidRDefault="00204632" w:rsidP="00E222CA">
      <w:r>
        <w:t>P</w:t>
      </w:r>
      <w:r w:rsidR="00CC1F3E">
        <w:t xml:space="preserve">ractices to involve children in advocacy, decision-making or even human rights monitoring </w:t>
      </w:r>
      <w:r>
        <w:t>are</w:t>
      </w:r>
      <w:r w:rsidR="00CC1F3E">
        <w:t xml:space="preserve"> not unknown</w:t>
      </w:r>
      <w:r>
        <w:t xml:space="preserve"> within the </w:t>
      </w:r>
      <w:r w:rsidR="00DC0B11">
        <w:t xml:space="preserve">broader </w:t>
      </w:r>
      <w:r>
        <w:t>human rights movement</w:t>
      </w:r>
      <w:r w:rsidR="00CC1F3E">
        <w:t xml:space="preserve">. For example, UNICEF has issued a handbook to promote children’s advocacy work </w:t>
      </w:r>
      <w:r w:rsidR="00FE1ED6">
        <w:t xml:space="preserve">with sections </w:t>
      </w:r>
      <w:r w:rsidR="00CC1F3E">
        <w:t>dedicat</w:t>
      </w:r>
      <w:r w:rsidR="00FE1ED6">
        <w:t>ed</w:t>
      </w:r>
      <w:r w:rsidR="00CC1F3E">
        <w:t xml:space="preserve"> to good practices, setting up minimum standards for consulting children and explaining differences between real and false consultation </w:t>
      </w:r>
      <w:r w:rsidR="00112206" w:rsidRPr="00112206">
        <w:rPr>
          <w:rFonts w:ascii="Calibri" w:hAnsi="Calibri" w:cs="Calibri"/>
        </w:rPr>
        <w:t>(UNICEF</w:t>
      </w:r>
      <w:r w:rsidR="0074451C">
        <w:rPr>
          <w:rFonts w:ascii="Calibri" w:hAnsi="Calibri" w:cs="Calibri"/>
        </w:rPr>
        <w:t xml:space="preserve">, </w:t>
      </w:r>
      <w:r w:rsidR="00112206" w:rsidRPr="00112206">
        <w:rPr>
          <w:rFonts w:ascii="Calibri" w:hAnsi="Calibri" w:cs="Calibri"/>
        </w:rPr>
        <w:t>2010)</w:t>
      </w:r>
      <w:r w:rsidR="00CC1F3E">
        <w:t xml:space="preserve">. </w:t>
      </w:r>
    </w:p>
    <w:p w14:paraId="79643DB0" w14:textId="01A66867" w:rsidR="00311061" w:rsidRDefault="00204632" w:rsidP="002C6E16">
      <w:r>
        <w:t xml:space="preserve">One international advocacy organisation (founded and led by </w:t>
      </w:r>
      <w:r w:rsidR="002C6E16">
        <w:t>legal experts) recommends that, in line with the CRC</w:t>
      </w:r>
      <w:r w:rsidR="008F76A6">
        <w:t xml:space="preserve"> and the CRPD</w:t>
      </w:r>
      <w:r w:rsidR="002C6E16">
        <w:t xml:space="preserve">, children should be asked to express their views and preferences </w:t>
      </w:r>
      <w:r w:rsidR="00DC0B11">
        <w:t xml:space="preserve">during legal procedures, </w:t>
      </w:r>
      <w:r w:rsidR="002C6E16">
        <w:t>using all possible ways of communication such as drawing and painting, body language, facial expressions etc.</w:t>
      </w:r>
      <w:r w:rsidR="00FE1ED6">
        <w:t>,</w:t>
      </w:r>
      <w:r w:rsidR="002C6E16">
        <w:t xml:space="preserve"> and that such provision should be in place for children of all age</w:t>
      </w:r>
      <w:r w:rsidR="00FE1ED6">
        <w:t>s</w:t>
      </w:r>
      <w:r w:rsidR="002C6E16">
        <w:t xml:space="preserve"> </w:t>
      </w:r>
      <w:r w:rsidR="00112206" w:rsidRPr="00112206">
        <w:rPr>
          <w:rFonts w:ascii="Calibri" w:hAnsi="Calibri" w:cs="Calibri"/>
        </w:rPr>
        <w:t>(Mental Disability Advocacy Center</w:t>
      </w:r>
      <w:r w:rsidR="0074451C">
        <w:rPr>
          <w:rFonts w:ascii="Calibri" w:hAnsi="Calibri" w:cs="Calibri"/>
        </w:rPr>
        <w:t>,</w:t>
      </w:r>
      <w:r w:rsidR="00112206" w:rsidRPr="00112206">
        <w:rPr>
          <w:rFonts w:ascii="Calibri" w:hAnsi="Calibri" w:cs="Calibri"/>
        </w:rPr>
        <w:t xml:space="preserve"> 2015)</w:t>
      </w:r>
      <w:r w:rsidR="002C6E16">
        <w:t>. Furthermore,</w:t>
      </w:r>
      <w:r w:rsidR="0074451C">
        <w:t xml:space="preserve"> a General Comment of the responsible UN Committee recommends</w:t>
      </w:r>
      <w:r w:rsidR="002C6E16">
        <w:t xml:space="preserve"> “</w:t>
      </w:r>
      <w:r w:rsidR="002C6E16" w:rsidRPr="002C6E16">
        <w:rPr>
          <w:i/>
        </w:rPr>
        <w:t>it is not necessary that the child has comprehensive knowledge of all aspects of the matter affecting her or him, but that she or he has sufficient understanding to be capable of appropriately forming her or his own views on the matter</w:t>
      </w:r>
      <w:r w:rsidR="002C6E16">
        <w:rPr>
          <w:i/>
        </w:rPr>
        <w:t xml:space="preserve">” </w:t>
      </w:r>
      <w:r w:rsidR="00112206" w:rsidRPr="00112206">
        <w:rPr>
          <w:rFonts w:ascii="Calibri" w:hAnsi="Calibri" w:cs="Calibri"/>
        </w:rPr>
        <w:t>(United Nations Committee on the Rights of the Child</w:t>
      </w:r>
      <w:r w:rsidR="00047201">
        <w:rPr>
          <w:rFonts w:ascii="Calibri" w:hAnsi="Calibri" w:cs="Calibri"/>
        </w:rPr>
        <w:t>,</w:t>
      </w:r>
      <w:r w:rsidR="00112206" w:rsidRPr="00112206">
        <w:rPr>
          <w:rFonts w:ascii="Calibri" w:hAnsi="Calibri" w:cs="Calibri"/>
        </w:rPr>
        <w:t xml:space="preserve"> 2009</w:t>
      </w:r>
      <w:r w:rsidR="0074451C">
        <w:rPr>
          <w:rFonts w:ascii="Calibri" w:hAnsi="Calibri" w:cs="Calibri"/>
        </w:rPr>
        <w:t>, para. 21</w:t>
      </w:r>
      <w:r w:rsidR="00F26DAE">
        <w:rPr>
          <w:rFonts w:ascii="Calibri" w:hAnsi="Calibri" w:cs="Calibri"/>
        </w:rPr>
        <w:t>.</w:t>
      </w:r>
      <w:r w:rsidR="00112206" w:rsidRPr="00112206">
        <w:rPr>
          <w:rFonts w:ascii="Calibri" w:hAnsi="Calibri" w:cs="Calibri"/>
        </w:rPr>
        <w:t>)</w:t>
      </w:r>
      <w:r w:rsidR="002370A0">
        <w:t xml:space="preserve">. </w:t>
      </w:r>
      <w:r w:rsidR="00B52CCE">
        <w:t xml:space="preserve">This latter recommendation means that we should not see full understanding of </w:t>
      </w:r>
      <w:r w:rsidR="008F76A6">
        <w:t>laws</w:t>
      </w:r>
      <w:r w:rsidR="00B52CCE">
        <w:t xml:space="preserve"> as a prerequisite when assessing a child’s preferences – rather, we should provide </w:t>
      </w:r>
      <w:r w:rsidR="00DC0B11">
        <w:t>children</w:t>
      </w:r>
      <w:r w:rsidR="00B52CCE">
        <w:t xml:space="preserve"> with </w:t>
      </w:r>
      <w:r w:rsidR="00517D09">
        <w:t xml:space="preserve">accessible information that allows them to express their opinion. </w:t>
      </w:r>
      <w:r w:rsidR="008F76A6">
        <w:t>Good</w:t>
      </w:r>
      <w:r w:rsidR="003157A1">
        <w:t xml:space="preserve"> example</w:t>
      </w:r>
      <w:r w:rsidR="008F76A6">
        <w:t>s are available</w:t>
      </w:r>
      <w:r w:rsidR="00FE1ED6">
        <w:t xml:space="preserve"> e.g.,</w:t>
      </w:r>
      <w:r w:rsidR="003157A1">
        <w:t xml:space="preserve"> Queen’s University in Belfast has run a child-friendly survey to hear children’s voices on how the government should spend its money </w:t>
      </w:r>
      <w:r w:rsidR="00112206" w:rsidRPr="00112206">
        <w:rPr>
          <w:rFonts w:ascii="Calibri" w:hAnsi="Calibri" w:cs="Calibri"/>
        </w:rPr>
        <w:t>(Eurochild</w:t>
      </w:r>
      <w:r w:rsidR="00047201">
        <w:rPr>
          <w:rFonts w:ascii="Calibri" w:hAnsi="Calibri" w:cs="Calibri"/>
        </w:rPr>
        <w:t>,</w:t>
      </w:r>
      <w:r w:rsidR="00112206" w:rsidRPr="00112206">
        <w:rPr>
          <w:rFonts w:ascii="Calibri" w:hAnsi="Calibri" w:cs="Calibri"/>
        </w:rPr>
        <w:t xml:space="preserve"> 2015)</w:t>
      </w:r>
      <w:r w:rsidR="003157A1">
        <w:t xml:space="preserve">. The European </w:t>
      </w:r>
      <w:r w:rsidR="003157A1">
        <w:lastRenderedPageBreak/>
        <w:t xml:space="preserve">network of children’s </w:t>
      </w:r>
      <w:r w:rsidR="00DC0B11">
        <w:t>organisation</w:t>
      </w:r>
      <w:r w:rsidR="00FE1ED6">
        <w:t>s</w:t>
      </w:r>
      <w:r w:rsidR="00DC0B11">
        <w:t>, Eurochild</w:t>
      </w:r>
      <w:r w:rsidR="00FE1ED6">
        <w:t>,</w:t>
      </w:r>
      <w:r w:rsidR="003157A1">
        <w:t xml:space="preserve"> runs a dedicated webpage for participatory advocacy featuring best international practices </w:t>
      </w:r>
      <w:r w:rsidR="00112206" w:rsidRPr="00112206">
        <w:rPr>
          <w:rFonts w:ascii="Calibri" w:hAnsi="Calibri" w:cs="Calibri"/>
        </w:rPr>
        <w:t>(Eurochild</w:t>
      </w:r>
      <w:r w:rsidR="00047201">
        <w:rPr>
          <w:rFonts w:ascii="Calibri" w:hAnsi="Calibri" w:cs="Calibri"/>
        </w:rPr>
        <w:t>,</w:t>
      </w:r>
      <w:r w:rsidR="00112206" w:rsidRPr="00112206">
        <w:rPr>
          <w:rFonts w:ascii="Calibri" w:hAnsi="Calibri" w:cs="Calibri"/>
        </w:rPr>
        <w:t xml:space="preserve"> 2016a)</w:t>
      </w:r>
      <w:r w:rsidR="008F76A6">
        <w:t xml:space="preserve"> where many similar examples can be found.</w:t>
      </w:r>
    </w:p>
    <w:p w14:paraId="159F89AB" w14:textId="52F4B48F" w:rsidR="002370A0" w:rsidRDefault="008F76A6" w:rsidP="002C6E16">
      <w:r>
        <w:t xml:space="preserve">Other cases </w:t>
      </w:r>
      <w:r w:rsidR="002370A0">
        <w:t xml:space="preserve">show that disability organisations </w:t>
      </w:r>
      <w:r w:rsidR="00FE1ED6">
        <w:t xml:space="preserve">are </w:t>
      </w:r>
      <w:r w:rsidR="003157A1">
        <w:t xml:space="preserve">also </w:t>
      </w:r>
      <w:r w:rsidR="002370A0">
        <w:t>start</w:t>
      </w:r>
      <w:r w:rsidR="00FE1ED6">
        <w:t>ing</w:t>
      </w:r>
      <w:r w:rsidR="002370A0">
        <w:t xml:space="preserve"> to work with children with learning disabilities, empowering them to speak up for themselves. For example, a Hungarian hum</w:t>
      </w:r>
      <w:r w:rsidR="00517D09">
        <w:t>an rights watchdog organisation</w:t>
      </w:r>
      <w:r w:rsidR="003157A1">
        <w:t xml:space="preserve"> successfully cooperates </w:t>
      </w:r>
      <w:r w:rsidR="002370A0">
        <w:t xml:space="preserve">with parent-led </w:t>
      </w:r>
      <w:r w:rsidR="00517D09">
        <w:t xml:space="preserve">advocacy </w:t>
      </w:r>
      <w:r w:rsidR="002370A0">
        <w:t xml:space="preserve">organisations </w:t>
      </w:r>
      <w:r w:rsidR="00B52CCE">
        <w:t xml:space="preserve">and schools </w:t>
      </w:r>
      <w:r w:rsidR="002370A0">
        <w:t xml:space="preserve">for children with severe and multiple disabilities, providing special classes and visual materials for children to understand their legal rights </w:t>
      </w:r>
      <w:r w:rsidR="00112206" w:rsidRPr="00112206">
        <w:rPr>
          <w:rFonts w:ascii="Calibri" w:hAnsi="Calibri" w:cs="Calibri"/>
        </w:rPr>
        <w:t>(Hungarian Civil Liberties Union</w:t>
      </w:r>
      <w:r w:rsidR="00047201">
        <w:rPr>
          <w:rFonts w:ascii="Calibri" w:hAnsi="Calibri" w:cs="Calibri"/>
        </w:rPr>
        <w:t>,</w:t>
      </w:r>
      <w:r w:rsidR="00112206" w:rsidRPr="00112206">
        <w:rPr>
          <w:rFonts w:ascii="Calibri" w:hAnsi="Calibri" w:cs="Calibri"/>
        </w:rPr>
        <w:t xml:space="preserve"> 2016)</w:t>
      </w:r>
      <w:r w:rsidR="00B52CCE">
        <w:t xml:space="preserve">. </w:t>
      </w:r>
      <w:r w:rsidR="00517D09">
        <w:t xml:space="preserve">Such examples show that active citizenship can and should be achieved for everyone and empowerment should start </w:t>
      </w:r>
      <w:r w:rsidR="00FE1ED6">
        <w:t>in</w:t>
      </w:r>
      <w:r w:rsidR="00517D09">
        <w:t xml:space="preserve"> early childhood. </w:t>
      </w:r>
    </w:p>
    <w:p w14:paraId="24711AFF" w14:textId="77777777" w:rsidR="00B52CCE" w:rsidRDefault="00B52CCE" w:rsidP="002C6E16">
      <w:r>
        <w:t xml:space="preserve">Good practices and innovative recommendations alone are not enough </w:t>
      </w:r>
      <w:r w:rsidR="00DC0B11">
        <w:t>to make substantial changes in policies</w:t>
      </w:r>
      <w:r w:rsidR="00223B26">
        <w:t>.</w:t>
      </w:r>
      <w:r w:rsidR="00DC0B11">
        <w:t xml:space="preserve"> </w:t>
      </w:r>
      <w:r w:rsidR="00223B26">
        <w:t xml:space="preserve">However, </w:t>
      </w:r>
      <w:r w:rsidR="00DC0B11">
        <w:t>the</w:t>
      </w:r>
      <w:r w:rsidR="00223B26">
        <w:t>ir</w:t>
      </w:r>
      <w:r w:rsidR="00DC0B11">
        <w:t xml:space="preserve"> </w:t>
      </w:r>
      <w:r w:rsidR="0003696E">
        <w:t>availab</w:t>
      </w:r>
      <w:r w:rsidR="00223B26">
        <w:t>ility</w:t>
      </w:r>
      <w:r w:rsidR="00DC0B11">
        <w:t xml:space="preserve"> </w:t>
      </w:r>
      <w:r>
        <w:t xml:space="preserve">can give inspiration to policy-makers and DPOs to use them. </w:t>
      </w:r>
      <w:r w:rsidR="00380D78">
        <w:t>The road from exclusion to tokenistic involvement to full participation is certainly very long</w:t>
      </w:r>
      <w:r w:rsidR="00DC0B11">
        <w:t xml:space="preserve">. Investing </w:t>
      </w:r>
      <w:r w:rsidR="008F76A6">
        <w:t xml:space="preserve">time, expertise and other resources </w:t>
      </w:r>
      <w:r w:rsidR="00DC0B11">
        <w:t>into children</w:t>
      </w:r>
      <w:r w:rsidR="008F76A6">
        <w:t>’s advocacy and self-advocacy groups seem</w:t>
      </w:r>
      <w:r w:rsidR="00223B26">
        <w:t>s</w:t>
      </w:r>
      <w:r w:rsidR="00DC0B11">
        <w:t xml:space="preserve"> </w:t>
      </w:r>
      <w:r w:rsidR="0003696E">
        <w:t>crucially</w:t>
      </w:r>
      <w:r w:rsidR="00DC0B11">
        <w:t xml:space="preserve"> important because</w:t>
      </w:r>
      <w:r w:rsidR="00223B26">
        <w:t>,</w:t>
      </w:r>
      <w:r w:rsidR="00DC0B11">
        <w:t xml:space="preserve"> if we can learn one thing from the history of disability advocacy</w:t>
      </w:r>
      <w:r w:rsidR="00223B26">
        <w:t>,</w:t>
      </w:r>
      <w:r w:rsidR="00DC0B11">
        <w:t xml:space="preserve"> it is that p</w:t>
      </w:r>
      <w:r w:rsidR="0003696E">
        <w:t xml:space="preserve">rogressive changes </w:t>
      </w:r>
      <w:r w:rsidR="00223B26">
        <w:t>require pressure and lobbying of decision-makers by the people most affected, disabled people themselves</w:t>
      </w:r>
      <w:r w:rsidR="0003696E">
        <w:t xml:space="preserve">. Children with learning disabilities are those who should benefit from safeguarded judicial procedures and they are those who can make a change. DPOs should start working more with them and not only with others representing them. </w:t>
      </w:r>
    </w:p>
    <w:p w14:paraId="2225731E" w14:textId="77777777" w:rsidR="009B7A86" w:rsidRDefault="009B7A86" w:rsidP="002C6E16"/>
    <w:p w14:paraId="11BE0E82" w14:textId="77777777" w:rsidR="009B7A86" w:rsidRPr="002370A0" w:rsidRDefault="009B7A86" w:rsidP="002C6E16">
      <w:r>
        <w:t>References</w:t>
      </w:r>
    </w:p>
    <w:p w14:paraId="433F4514" w14:textId="7D60FD07" w:rsidR="00360F6F" w:rsidRPr="005B6332" w:rsidRDefault="009B7A86" w:rsidP="00360F6F">
      <w:pPr>
        <w:pStyle w:val="NormalWeb"/>
        <w:rPr>
          <w:rFonts w:ascii="Calibri" w:hAnsi="Calibri" w:cs="Calibri"/>
          <w:sz w:val="22"/>
        </w:rPr>
      </w:pPr>
      <w:r w:rsidRPr="009F53E8">
        <w:rPr>
          <w:rFonts w:ascii="Calibri" w:hAnsi="Calibri" w:cs="Calibri"/>
          <w:sz w:val="22"/>
        </w:rPr>
        <w:t>B</w:t>
      </w:r>
      <w:r>
        <w:rPr>
          <w:rFonts w:ascii="Calibri" w:hAnsi="Calibri" w:cs="Calibri"/>
          <w:sz w:val="22"/>
        </w:rPr>
        <w:t>arnes</w:t>
      </w:r>
      <w:r w:rsidR="00360F6F" w:rsidRPr="009F53E8">
        <w:rPr>
          <w:rFonts w:ascii="Calibri" w:hAnsi="Calibri" w:cs="Calibri"/>
          <w:sz w:val="22"/>
        </w:rPr>
        <w:t xml:space="preserve">, C., </w:t>
      </w:r>
      <w:r w:rsidRPr="009F53E8">
        <w:rPr>
          <w:rFonts w:ascii="Calibri" w:hAnsi="Calibri" w:cs="Calibri"/>
          <w:sz w:val="22"/>
        </w:rPr>
        <w:t>M</w:t>
      </w:r>
      <w:r>
        <w:rPr>
          <w:rFonts w:ascii="Calibri" w:hAnsi="Calibri" w:cs="Calibri"/>
          <w:sz w:val="22"/>
        </w:rPr>
        <w:t>ercer</w:t>
      </w:r>
      <w:r w:rsidR="00360F6F" w:rsidRPr="009F53E8">
        <w:rPr>
          <w:rFonts w:ascii="Calibri" w:hAnsi="Calibri" w:cs="Calibri"/>
          <w:sz w:val="22"/>
        </w:rPr>
        <w:t xml:space="preserve">, G. and </w:t>
      </w:r>
      <w:r>
        <w:rPr>
          <w:rFonts w:ascii="Calibri" w:hAnsi="Calibri" w:cs="Calibri"/>
          <w:sz w:val="22"/>
        </w:rPr>
        <w:t>Din</w:t>
      </w:r>
      <w:r w:rsidR="00360F6F" w:rsidRPr="009F53E8">
        <w:rPr>
          <w:rFonts w:ascii="Calibri" w:hAnsi="Calibri" w:cs="Calibri"/>
          <w:sz w:val="22"/>
        </w:rPr>
        <w:t xml:space="preserve">, I., </w:t>
      </w:r>
      <w:r>
        <w:rPr>
          <w:rFonts w:ascii="Calibri" w:hAnsi="Calibri" w:cs="Calibri"/>
          <w:sz w:val="22"/>
        </w:rPr>
        <w:t>(</w:t>
      </w:r>
      <w:r w:rsidR="00360F6F" w:rsidRPr="009F53E8">
        <w:rPr>
          <w:rFonts w:ascii="Calibri" w:hAnsi="Calibri" w:cs="Calibri"/>
          <w:sz w:val="22"/>
        </w:rPr>
        <w:t>2003</w:t>
      </w:r>
      <w:r>
        <w:rPr>
          <w:rFonts w:ascii="Calibri" w:hAnsi="Calibri" w:cs="Calibri"/>
          <w:sz w:val="22"/>
        </w:rPr>
        <w:t>)</w:t>
      </w:r>
      <w:r w:rsidR="005B6332">
        <w:rPr>
          <w:rFonts w:ascii="Calibri" w:hAnsi="Calibri" w:cs="Calibri"/>
          <w:sz w:val="22"/>
        </w:rPr>
        <w:t>,</w:t>
      </w:r>
      <w:r w:rsidR="00360F6F" w:rsidRPr="009F53E8">
        <w:rPr>
          <w:rFonts w:ascii="Calibri" w:hAnsi="Calibri" w:cs="Calibri"/>
          <w:sz w:val="22"/>
        </w:rPr>
        <w:t xml:space="preserve"> Research review on user involvement in promoting change and enhancing the quality of social ‘care’</w:t>
      </w:r>
      <w:r w:rsidR="005B6332">
        <w:rPr>
          <w:rFonts w:ascii="Calibri" w:hAnsi="Calibri" w:cs="Calibri"/>
          <w:sz w:val="22"/>
        </w:rPr>
        <w:t xml:space="preserve"> </w:t>
      </w:r>
      <w:r w:rsidR="00360F6F" w:rsidRPr="009F53E8">
        <w:rPr>
          <w:rFonts w:ascii="Calibri" w:hAnsi="Calibri" w:cs="Calibri"/>
          <w:sz w:val="22"/>
        </w:rPr>
        <w:t xml:space="preserve">services for disabled people. </w:t>
      </w:r>
      <w:r w:rsidR="00360F6F" w:rsidRPr="00A0565B">
        <w:rPr>
          <w:rFonts w:ascii="Calibri" w:hAnsi="Calibri" w:cs="Calibri"/>
          <w:iCs/>
          <w:sz w:val="22"/>
        </w:rPr>
        <w:t>Centre for Disability Studies, University of Leeds</w:t>
      </w:r>
      <w:r w:rsidR="005B6332">
        <w:rPr>
          <w:rFonts w:ascii="Calibri" w:hAnsi="Calibri" w:cs="Calibri"/>
          <w:sz w:val="22"/>
        </w:rPr>
        <w:t>.</w:t>
      </w:r>
    </w:p>
    <w:p w14:paraId="6D49DE6A" w14:textId="024E821C" w:rsidR="00360F6F" w:rsidRPr="005B6332" w:rsidRDefault="005B6332" w:rsidP="00360F6F">
      <w:pPr>
        <w:pStyle w:val="NormalWeb"/>
        <w:rPr>
          <w:rFonts w:ascii="Calibri" w:hAnsi="Calibri" w:cs="Calibri"/>
          <w:sz w:val="22"/>
        </w:rPr>
      </w:pPr>
      <w:r w:rsidRPr="009F53E8">
        <w:rPr>
          <w:rFonts w:ascii="Calibri" w:hAnsi="Calibri" w:cs="Calibri"/>
          <w:sz w:val="22"/>
        </w:rPr>
        <w:t>B</w:t>
      </w:r>
      <w:r>
        <w:rPr>
          <w:rFonts w:ascii="Calibri" w:hAnsi="Calibri" w:cs="Calibri"/>
          <w:sz w:val="22"/>
        </w:rPr>
        <w:t>arnes</w:t>
      </w:r>
      <w:r w:rsidR="00360F6F" w:rsidRPr="009F53E8">
        <w:rPr>
          <w:rFonts w:ascii="Calibri" w:hAnsi="Calibri" w:cs="Calibri"/>
          <w:sz w:val="22"/>
        </w:rPr>
        <w:t xml:space="preserve">, R. </w:t>
      </w:r>
      <w:r>
        <w:rPr>
          <w:rFonts w:ascii="Calibri" w:hAnsi="Calibri" w:cs="Calibri"/>
          <w:sz w:val="22"/>
        </w:rPr>
        <w:t>(</w:t>
      </w:r>
      <w:r w:rsidR="00360F6F" w:rsidRPr="009F53E8">
        <w:rPr>
          <w:rFonts w:ascii="Calibri" w:hAnsi="Calibri" w:cs="Calibri"/>
          <w:sz w:val="22"/>
        </w:rPr>
        <w:t>2014</w:t>
      </w:r>
      <w:r>
        <w:rPr>
          <w:rFonts w:ascii="Calibri" w:hAnsi="Calibri" w:cs="Calibri"/>
          <w:sz w:val="22"/>
        </w:rPr>
        <w:t>)</w:t>
      </w:r>
      <w:r w:rsidR="00DB0F09">
        <w:rPr>
          <w:rFonts w:ascii="Calibri" w:hAnsi="Calibri" w:cs="Calibri"/>
          <w:sz w:val="22"/>
        </w:rPr>
        <w:t>,</w:t>
      </w:r>
      <w:r w:rsidR="00360F6F" w:rsidRPr="009F53E8">
        <w:rPr>
          <w:rFonts w:ascii="Calibri" w:hAnsi="Calibri" w:cs="Calibri"/>
          <w:sz w:val="22"/>
        </w:rPr>
        <w:t xml:space="preserve"> Parents of disabled fear push for community living will close care centers. </w:t>
      </w:r>
      <w:r w:rsidR="00360F6F" w:rsidRPr="005B6332">
        <w:rPr>
          <w:rFonts w:ascii="Calibri" w:hAnsi="Calibri" w:cs="Calibri"/>
          <w:i/>
          <w:iCs/>
          <w:sz w:val="22"/>
        </w:rPr>
        <w:t>The Columbus Dispatch</w:t>
      </w:r>
      <w:r w:rsidR="00360F6F" w:rsidRPr="00A0565B">
        <w:rPr>
          <w:rFonts w:ascii="Calibri" w:hAnsi="Calibri" w:cs="Calibri"/>
          <w:iCs/>
          <w:sz w:val="22"/>
        </w:rPr>
        <w:t>,</w:t>
      </w:r>
      <w:r>
        <w:rPr>
          <w:rFonts w:ascii="Calibri" w:hAnsi="Calibri" w:cs="Calibri"/>
          <w:iCs/>
          <w:sz w:val="22"/>
        </w:rPr>
        <w:t xml:space="preserve"> 18 August.</w:t>
      </w:r>
    </w:p>
    <w:p w14:paraId="45E673A8" w14:textId="14A75597" w:rsidR="00360F6F" w:rsidRPr="009F53E8" w:rsidRDefault="005B6332" w:rsidP="00360F6F">
      <w:pPr>
        <w:pStyle w:val="NormalWeb"/>
        <w:rPr>
          <w:rFonts w:ascii="Calibri" w:hAnsi="Calibri" w:cs="Calibri"/>
          <w:sz w:val="22"/>
        </w:rPr>
      </w:pPr>
      <w:r>
        <w:rPr>
          <w:rFonts w:ascii="Calibri" w:hAnsi="Calibri" w:cs="Calibri"/>
          <w:sz w:val="22"/>
        </w:rPr>
        <w:t>Committee on the Rights of Persons with Disabilities</w:t>
      </w:r>
      <w:r w:rsidR="00360F6F" w:rsidRPr="009F53E8">
        <w:rPr>
          <w:rFonts w:ascii="Calibri" w:hAnsi="Calibri" w:cs="Calibri"/>
          <w:sz w:val="22"/>
        </w:rPr>
        <w:t xml:space="preserve">, </w:t>
      </w:r>
      <w:r>
        <w:rPr>
          <w:rFonts w:ascii="Calibri" w:hAnsi="Calibri" w:cs="Calibri"/>
          <w:sz w:val="22"/>
        </w:rPr>
        <w:t>(</w:t>
      </w:r>
      <w:r w:rsidR="00360F6F" w:rsidRPr="009F53E8">
        <w:rPr>
          <w:rFonts w:ascii="Calibri" w:hAnsi="Calibri" w:cs="Calibri"/>
          <w:sz w:val="22"/>
        </w:rPr>
        <w:t>2014</w:t>
      </w:r>
      <w:r>
        <w:rPr>
          <w:rFonts w:ascii="Calibri" w:hAnsi="Calibri" w:cs="Calibri"/>
          <w:sz w:val="22"/>
        </w:rPr>
        <w:t>),</w:t>
      </w:r>
      <w:r w:rsidR="00360F6F" w:rsidRPr="009F53E8">
        <w:rPr>
          <w:rFonts w:ascii="Calibri" w:hAnsi="Calibri" w:cs="Calibri"/>
          <w:sz w:val="22"/>
        </w:rPr>
        <w:t xml:space="preserve"> </w:t>
      </w:r>
      <w:r w:rsidR="00360F6F" w:rsidRPr="00A0565B">
        <w:rPr>
          <w:rFonts w:ascii="Calibri" w:hAnsi="Calibri" w:cs="Calibri"/>
          <w:iCs/>
          <w:sz w:val="22"/>
        </w:rPr>
        <w:t>General Comment No. 1.</w:t>
      </w:r>
      <w:r w:rsidR="00360F6F" w:rsidRPr="009F53E8">
        <w:rPr>
          <w:rFonts w:ascii="Calibri" w:hAnsi="Calibri" w:cs="Calibri"/>
          <w:i/>
          <w:iCs/>
          <w:sz w:val="22"/>
        </w:rPr>
        <w:t xml:space="preserve"> </w:t>
      </w:r>
      <w:r w:rsidR="00360F6F" w:rsidRPr="009F53E8">
        <w:rPr>
          <w:rFonts w:ascii="Calibri" w:hAnsi="Calibri" w:cs="Calibri"/>
          <w:sz w:val="22"/>
        </w:rPr>
        <w:t>United Nations.</w:t>
      </w:r>
    </w:p>
    <w:p w14:paraId="34EFC448" w14:textId="2C200884" w:rsidR="00360F6F" w:rsidRPr="009F53E8" w:rsidRDefault="005B6332" w:rsidP="00360F6F">
      <w:pPr>
        <w:pStyle w:val="NormalWeb"/>
        <w:rPr>
          <w:rFonts w:ascii="Calibri" w:hAnsi="Calibri" w:cs="Calibri"/>
          <w:sz w:val="22"/>
        </w:rPr>
      </w:pPr>
      <w:r w:rsidRPr="009F53E8">
        <w:rPr>
          <w:rFonts w:ascii="Calibri" w:hAnsi="Calibri" w:cs="Calibri"/>
          <w:sz w:val="22"/>
        </w:rPr>
        <w:t>D</w:t>
      </w:r>
      <w:r>
        <w:rPr>
          <w:rFonts w:ascii="Calibri" w:hAnsi="Calibri" w:cs="Calibri"/>
          <w:sz w:val="22"/>
        </w:rPr>
        <w:t>unn</w:t>
      </w:r>
      <w:r w:rsidR="00360F6F" w:rsidRPr="009F53E8">
        <w:rPr>
          <w:rFonts w:ascii="Calibri" w:hAnsi="Calibri" w:cs="Calibri"/>
          <w:sz w:val="22"/>
        </w:rPr>
        <w:t xml:space="preserve">, P.C. </w:t>
      </w:r>
      <w:r w:rsidR="00047201">
        <w:rPr>
          <w:rFonts w:ascii="Calibri" w:hAnsi="Calibri" w:cs="Calibri"/>
          <w:sz w:val="22"/>
        </w:rPr>
        <w:t>(</w:t>
      </w:r>
      <w:r w:rsidR="00360F6F" w:rsidRPr="009F53E8">
        <w:rPr>
          <w:rFonts w:ascii="Calibri" w:hAnsi="Calibri" w:cs="Calibri"/>
          <w:sz w:val="22"/>
        </w:rPr>
        <w:t>1993</w:t>
      </w:r>
      <w:r w:rsidR="00047201">
        <w:rPr>
          <w:rFonts w:ascii="Calibri" w:hAnsi="Calibri" w:cs="Calibri"/>
          <w:sz w:val="22"/>
        </w:rPr>
        <w:t>)</w:t>
      </w:r>
      <w:r w:rsidR="00DB0F09">
        <w:rPr>
          <w:rFonts w:ascii="Calibri" w:hAnsi="Calibri" w:cs="Calibri"/>
          <w:sz w:val="22"/>
        </w:rPr>
        <w:t>,</w:t>
      </w:r>
      <w:r w:rsidR="00360F6F" w:rsidRPr="009F53E8">
        <w:rPr>
          <w:rFonts w:ascii="Calibri" w:hAnsi="Calibri" w:cs="Calibri"/>
          <w:sz w:val="22"/>
        </w:rPr>
        <w:t xml:space="preserve"> </w:t>
      </w:r>
      <w:r w:rsidR="00360F6F" w:rsidRPr="00A0565B">
        <w:rPr>
          <w:rFonts w:ascii="Calibri" w:hAnsi="Calibri" w:cs="Calibri"/>
          <w:iCs/>
          <w:sz w:val="22"/>
        </w:rPr>
        <w:t>Closing Johnstone: The End of an Era</w:t>
      </w:r>
      <w:r w:rsidR="00360F6F" w:rsidRPr="009F53E8">
        <w:rPr>
          <w:rFonts w:ascii="Calibri" w:hAnsi="Calibri" w:cs="Calibri"/>
          <w:i/>
          <w:iCs/>
          <w:sz w:val="22"/>
        </w:rPr>
        <w:t xml:space="preserve">. </w:t>
      </w:r>
      <w:r w:rsidR="00360F6F" w:rsidRPr="009F53E8">
        <w:rPr>
          <w:rFonts w:ascii="Calibri" w:hAnsi="Calibri" w:cs="Calibri"/>
          <w:sz w:val="22"/>
        </w:rPr>
        <w:t>Rutgers: The State University of New Jersey - The Family Support Network.</w:t>
      </w:r>
    </w:p>
    <w:p w14:paraId="6D49C63C" w14:textId="090F03B4" w:rsidR="00360F6F" w:rsidRPr="009F53E8" w:rsidRDefault="00047201" w:rsidP="00360F6F">
      <w:pPr>
        <w:pStyle w:val="NormalWeb"/>
        <w:rPr>
          <w:rFonts w:ascii="Calibri" w:hAnsi="Calibri" w:cs="Calibri"/>
          <w:sz w:val="22"/>
        </w:rPr>
      </w:pPr>
      <w:r>
        <w:rPr>
          <w:rFonts w:ascii="Calibri" w:hAnsi="Calibri" w:cs="Calibri"/>
          <w:sz w:val="22"/>
        </w:rPr>
        <w:t>Eurochild</w:t>
      </w:r>
      <w:r w:rsidR="00360F6F" w:rsidRPr="009F53E8">
        <w:rPr>
          <w:rFonts w:ascii="Calibri" w:hAnsi="Calibri" w:cs="Calibri"/>
          <w:sz w:val="22"/>
        </w:rPr>
        <w:t xml:space="preserve"> </w:t>
      </w:r>
      <w:r w:rsidR="005B6332">
        <w:rPr>
          <w:rFonts w:ascii="Calibri" w:hAnsi="Calibri" w:cs="Calibri"/>
          <w:sz w:val="22"/>
        </w:rPr>
        <w:t>(</w:t>
      </w:r>
      <w:r w:rsidR="00360F6F" w:rsidRPr="009F53E8">
        <w:rPr>
          <w:rFonts w:ascii="Calibri" w:hAnsi="Calibri" w:cs="Calibri"/>
          <w:sz w:val="22"/>
        </w:rPr>
        <w:t>2016a</w:t>
      </w:r>
      <w:r w:rsidR="005B6332">
        <w:rPr>
          <w:rFonts w:ascii="Calibri" w:hAnsi="Calibri" w:cs="Calibri"/>
          <w:sz w:val="22"/>
        </w:rPr>
        <w:t>)</w:t>
      </w:r>
      <w:r w:rsidR="00DB0F09">
        <w:rPr>
          <w:rFonts w:ascii="Calibri" w:hAnsi="Calibri" w:cs="Calibri"/>
          <w:sz w:val="22"/>
        </w:rPr>
        <w:t>,</w:t>
      </w:r>
      <w:r w:rsidR="00360F6F" w:rsidRPr="009F53E8">
        <w:rPr>
          <w:rFonts w:ascii="Calibri" w:hAnsi="Calibri" w:cs="Calibri"/>
          <w:sz w:val="22"/>
        </w:rPr>
        <w:t xml:space="preserve"> Children's voices. Available</w:t>
      </w:r>
      <w:r w:rsidR="005B6332">
        <w:rPr>
          <w:rFonts w:ascii="Calibri" w:hAnsi="Calibri" w:cs="Calibri"/>
          <w:sz w:val="22"/>
        </w:rPr>
        <w:t xml:space="preserve"> at</w:t>
      </w:r>
      <w:r w:rsidR="00360F6F" w:rsidRPr="009F53E8">
        <w:rPr>
          <w:rFonts w:ascii="Calibri" w:hAnsi="Calibri" w:cs="Calibri"/>
          <w:sz w:val="22"/>
        </w:rPr>
        <w:t xml:space="preserve">: </w:t>
      </w:r>
      <w:r w:rsidR="00360F6F" w:rsidRPr="00A0565B">
        <w:t>http://www.eurochild.org/projects/childrens-voices/</w:t>
      </w:r>
      <w:r w:rsidR="00360F6F" w:rsidRPr="009F53E8">
        <w:rPr>
          <w:rFonts w:ascii="Calibri" w:hAnsi="Calibri" w:cs="Calibri"/>
          <w:sz w:val="22"/>
        </w:rPr>
        <w:t xml:space="preserve"> [</w:t>
      </w:r>
      <w:r w:rsidR="005B6332">
        <w:rPr>
          <w:rFonts w:ascii="Calibri" w:hAnsi="Calibri" w:cs="Calibri"/>
          <w:sz w:val="22"/>
        </w:rPr>
        <w:t xml:space="preserve">accessed </w:t>
      </w:r>
      <w:r w:rsidR="00360F6F" w:rsidRPr="009F53E8">
        <w:rPr>
          <w:rFonts w:ascii="Calibri" w:hAnsi="Calibri" w:cs="Calibri"/>
          <w:sz w:val="22"/>
        </w:rPr>
        <w:t>24 October 2016].</w:t>
      </w:r>
    </w:p>
    <w:p w14:paraId="4246E1F5" w14:textId="732E5596" w:rsidR="00360F6F" w:rsidRPr="00A0565B" w:rsidRDefault="00047201" w:rsidP="00360F6F">
      <w:pPr>
        <w:pStyle w:val="NormalWeb"/>
        <w:rPr>
          <w:rFonts w:ascii="Calibri" w:hAnsi="Calibri" w:cs="Calibri"/>
          <w:sz w:val="22"/>
          <w:lang w:val="hu-HU"/>
        </w:rPr>
      </w:pPr>
      <w:r>
        <w:rPr>
          <w:rFonts w:ascii="Calibri" w:hAnsi="Calibri" w:cs="Calibri"/>
          <w:sz w:val="22"/>
        </w:rPr>
        <w:t>Eurochild</w:t>
      </w:r>
      <w:r w:rsidR="00360F6F" w:rsidRPr="009F53E8">
        <w:rPr>
          <w:rFonts w:ascii="Calibri" w:hAnsi="Calibri" w:cs="Calibri"/>
          <w:sz w:val="22"/>
        </w:rPr>
        <w:t xml:space="preserve"> </w:t>
      </w:r>
      <w:r w:rsidR="005B6332">
        <w:rPr>
          <w:rFonts w:ascii="Calibri" w:hAnsi="Calibri" w:cs="Calibri"/>
          <w:sz w:val="22"/>
        </w:rPr>
        <w:t>(</w:t>
      </w:r>
      <w:r w:rsidR="00360F6F" w:rsidRPr="009F53E8">
        <w:rPr>
          <w:rFonts w:ascii="Calibri" w:hAnsi="Calibri" w:cs="Calibri"/>
          <w:sz w:val="22"/>
        </w:rPr>
        <w:t>2016</w:t>
      </w:r>
      <w:r w:rsidR="005B6332">
        <w:rPr>
          <w:rFonts w:ascii="Calibri" w:hAnsi="Calibri" w:cs="Calibri"/>
          <w:sz w:val="22"/>
        </w:rPr>
        <w:t>b)</w:t>
      </w:r>
      <w:r w:rsidR="00360F6F" w:rsidRPr="009F53E8">
        <w:rPr>
          <w:rFonts w:ascii="Calibri" w:hAnsi="Calibri" w:cs="Calibri"/>
          <w:sz w:val="22"/>
        </w:rPr>
        <w:t>, Opening Doors for Children. Available</w:t>
      </w:r>
      <w:r w:rsidR="005B6332">
        <w:rPr>
          <w:rFonts w:ascii="Calibri" w:hAnsi="Calibri" w:cs="Calibri"/>
          <w:sz w:val="22"/>
        </w:rPr>
        <w:t xml:space="preserve"> at</w:t>
      </w:r>
      <w:r w:rsidR="00360F6F" w:rsidRPr="009F53E8">
        <w:rPr>
          <w:rFonts w:ascii="Calibri" w:hAnsi="Calibri" w:cs="Calibri"/>
          <w:sz w:val="22"/>
        </w:rPr>
        <w:t xml:space="preserve">: </w:t>
      </w:r>
      <w:r w:rsidR="00360F6F" w:rsidRPr="00A0565B">
        <w:t>http://www.openingdoors.eu/</w:t>
      </w:r>
      <w:r w:rsidR="00360F6F" w:rsidRPr="009F53E8">
        <w:rPr>
          <w:rFonts w:ascii="Calibri" w:hAnsi="Calibri" w:cs="Calibri"/>
          <w:sz w:val="22"/>
        </w:rPr>
        <w:t xml:space="preserve"> [</w:t>
      </w:r>
      <w:r w:rsidR="005B6332">
        <w:rPr>
          <w:rFonts w:ascii="Calibri" w:hAnsi="Calibri" w:cs="Calibri"/>
          <w:sz w:val="22"/>
        </w:rPr>
        <w:t xml:space="preserve">accessed </w:t>
      </w:r>
      <w:r w:rsidR="00360F6F" w:rsidRPr="009F53E8">
        <w:rPr>
          <w:rFonts w:ascii="Calibri" w:hAnsi="Calibri" w:cs="Calibri"/>
          <w:sz w:val="22"/>
        </w:rPr>
        <w:t>21 October</w:t>
      </w:r>
      <w:r w:rsidR="005B6332">
        <w:rPr>
          <w:rFonts w:ascii="Calibri" w:hAnsi="Calibri" w:cs="Calibri"/>
          <w:sz w:val="22"/>
        </w:rPr>
        <w:t xml:space="preserve"> </w:t>
      </w:r>
      <w:r w:rsidR="00360F6F" w:rsidRPr="009F53E8">
        <w:rPr>
          <w:rFonts w:ascii="Calibri" w:hAnsi="Calibri" w:cs="Calibri"/>
          <w:sz w:val="22"/>
        </w:rPr>
        <w:t>2016].</w:t>
      </w:r>
    </w:p>
    <w:p w14:paraId="34575F14" w14:textId="4F60AEB8" w:rsidR="00360F6F" w:rsidRPr="009F53E8" w:rsidRDefault="00047201" w:rsidP="00360F6F">
      <w:pPr>
        <w:pStyle w:val="NormalWeb"/>
        <w:rPr>
          <w:rFonts w:ascii="Calibri" w:hAnsi="Calibri" w:cs="Calibri"/>
          <w:sz w:val="22"/>
        </w:rPr>
      </w:pPr>
      <w:r>
        <w:rPr>
          <w:rFonts w:ascii="Calibri" w:hAnsi="Calibri" w:cs="Calibri"/>
          <w:sz w:val="22"/>
        </w:rPr>
        <w:t>Eurochild</w:t>
      </w:r>
      <w:r w:rsidR="00360F6F" w:rsidRPr="009F53E8">
        <w:rPr>
          <w:rFonts w:ascii="Calibri" w:hAnsi="Calibri" w:cs="Calibri"/>
          <w:sz w:val="22"/>
        </w:rPr>
        <w:t xml:space="preserve"> </w:t>
      </w:r>
      <w:r w:rsidR="005B6332">
        <w:rPr>
          <w:rFonts w:ascii="Calibri" w:hAnsi="Calibri" w:cs="Calibri"/>
          <w:sz w:val="22"/>
        </w:rPr>
        <w:t>(</w:t>
      </w:r>
      <w:r w:rsidR="00360F6F" w:rsidRPr="009F53E8">
        <w:rPr>
          <w:rFonts w:ascii="Calibri" w:hAnsi="Calibri" w:cs="Calibri"/>
          <w:sz w:val="22"/>
        </w:rPr>
        <w:t>2015</w:t>
      </w:r>
      <w:r w:rsidR="005B6332">
        <w:rPr>
          <w:rFonts w:ascii="Calibri" w:hAnsi="Calibri" w:cs="Calibri"/>
          <w:sz w:val="22"/>
        </w:rPr>
        <w:t>)</w:t>
      </w:r>
      <w:r w:rsidR="00360F6F" w:rsidRPr="009F53E8">
        <w:rPr>
          <w:rFonts w:ascii="Calibri" w:hAnsi="Calibri" w:cs="Calibri"/>
          <w:sz w:val="22"/>
        </w:rPr>
        <w:t>, Children's voices. Megan's participatory experience. Available</w:t>
      </w:r>
      <w:r w:rsidR="005B6332">
        <w:rPr>
          <w:rFonts w:ascii="Calibri" w:hAnsi="Calibri" w:cs="Calibri"/>
          <w:sz w:val="22"/>
        </w:rPr>
        <w:t xml:space="preserve"> at</w:t>
      </w:r>
      <w:r w:rsidR="00360F6F" w:rsidRPr="009F53E8">
        <w:rPr>
          <w:rFonts w:ascii="Calibri" w:hAnsi="Calibri" w:cs="Calibri"/>
          <w:sz w:val="22"/>
        </w:rPr>
        <w:t xml:space="preserve">: </w:t>
      </w:r>
      <w:r w:rsidR="00360F6F" w:rsidRPr="00A0565B">
        <w:t>http://www.eurochild.org/fileadmin/public/06_Projects/Childrens_voices/children_voices_megan.jpg</w:t>
      </w:r>
      <w:r w:rsidR="00360F6F" w:rsidRPr="009F53E8">
        <w:rPr>
          <w:rFonts w:ascii="Calibri" w:hAnsi="Calibri" w:cs="Calibri"/>
          <w:sz w:val="22"/>
        </w:rPr>
        <w:t xml:space="preserve"> [</w:t>
      </w:r>
      <w:r w:rsidR="005B6332">
        <w:rPr>
          <w:rFonts w:ascii="Calibri" w:hAnsi="Calibri" w:cs="Calibri"/>
          <w:sz w:val="22"/>
        </w:rPr>
        <w:t xml:space="preserve">accessed </w:t>
      </w:r>
      <w:r w:rsidR="00360F6F" w:rsidRPr="009F53E8">
        <w:rPr>
          <w:rFonts w:ascii="Calibri" w:hAnsi="Calibri" w:cs="Calibri"/>
          <w:sz w:val="22"/>
        </w:rPr>
        <w:t>23 October 2016].</w:t>
      </w:r>
    </w:p>
    <w:p w14:paraId="16E74B66" w14:textId="7DBE6AEF" w:rsidR="00360F6F" w:rsidRPr="009F53E8" w:rsidRDefault="005B6332" w:rsidP="00360F6F">
      <w:pPr>
        <w:pStyle w:val="NormalWeb"/>
        <w:rPr>
          <w:rFonts w:ascii="Calibri" w:hAnsi="Calibri" w:cs="Calibri"/>
          <w:sz w:val="22"/>
        </w:rPr>
      </w:pPr>
      <w:r>
        <w:rPr>
          <w:rFonts w:ascii="Calibri" w:hAnsi="Calibri" w:cs="Calibri"/>
          <w:sz w:val="22"/>
        </w:rPr>
        <w:t>European Network on Independent Living</w:t>
      </w:r>
      <w:r w:rsidR="00360F6F" w:rsidRPr="009F53E8">
        <w:rPr>
          <w:rFonts w:ascii="Calibri" w:hAnsi="Calibri" w:cs="Calibri"/>
          <w:sz w:val="22"/>
        </w:rPr>
        <w:t xml:space="preserve">, </w:t>
      </w:r>
      <w:r>
        <w:rPr>
          <w:rFonts w:ascii="Calibri" w:hAnsi="Calibri" w:cs="Calibri"/>
          <w:sz w:val="22"/>
        </w:rPr>
        <w:t>(</w:t>
      </w:r>
      <w:r w:rsidR="00360F6F" w:rsidRPr="009F53E8">
        <w:rPr>
          <w:rFonts w:ascii="Calibri" w:hAnsi="Calibri" w:cs="Calibri"/>
          <w:sz w:val="22"/>
        </w:rPr>
        <w:t>2014</w:t>
      </w:r>
      <w:r>
        <w:rPr>
          <w:rFonts w:ascii="Calibri" w:hAnsi="Calibri" w:cs="Calibri"/>
          <w:sz w:val="22"/>
        </w:rPr>
        <w:t>),</w:t>
      </w:r>
      <w:r w:rsidR="00360F6F" w:rsidRPr="009F53E8">
        <w:rPr>
          <w:rFonts w:ascii="Calibri" w:hAnsi="Calibri" w:cs="Calibri"/>
          <w:sz w:val="22"/>
        </w:rPr>
        <w:t xml:space="preserve"> Myth Buster -- Independent Living. </w:t>
      </w:r>
      <w:r>
        <w:rPr>
          <w:rFonts w:ascii="Calibri" w:hAnsi="Calibri" w:cs="Calibri"/>
          <w:sz w:val="22"/>
        </w:rPr>
        <w:t xml:space="preserve">Available at: </w:t>
      </w:r>
      <w:r w:rsidRPr="005B6332">
        <w:rPr>
          <w:rFonts w:ascii="Calibri" w:hAnsi="Calibri" w:cs="Calibri"/>
          <w:sz w:val="22"/>
        </w:rPr>
        <w:t>http://www.enil.eu/wp-content/uploads/2014/12/Myths-Buster-final-spread-A3-WEB.pdf</w:t>
      </w:r>
      <w:r>
        <w:rPr>
          <w:rFonts w:ascii="Calibri" w:hAnsi="Calibri" w:cs="Calibri"/>
          <w:sz w:val="22"/>
        </w:rPr>
        <w:t xml:space="preserve"> [accessed 24 October 2016)</w:t>
      </w:r>
    </w:p>
    <w:p w14:paraId="42444652" w14:textId="0D12988B" w:rsidR="009B7A86" w:rsidRPr="009F53E8" w:rsidRDefault="005B6332" w:rsidP="009B7A86">
      <w:pPr>
        <w:pStyle w:val="NormalWeb"/>
        <w:rPr>
          <w:rFonts w:ascii="Calibri" w:hAnsi="Calibri" w:cs="Calibri"/>
          <w:sz w:val="22"/>
        </w:rPr>
      </w:pPr>
      <w:r>
        <w:rPr>
          <w:rFonts w:ascii="Calibri" w:hAnsi="Calibri" w:cs="Calibri"/>
          <w:sz w:val="22"/>
        </w:rPr>
        <w:lastRenderedPageBreak/>
        <w:t>Garcia-Iriarte</w:t>
      </w:r>
      <w:r w:rsidR="009B7A86" w:rsidRPr="009F53E8">
        <w:rPr>
          <w:rFonts w:ascii="Calibri" w:hAnsi="Calibri" w:cs="Calibri"/>
          <w:sz w:val="22"/>
        </w:rPr>
        <w:t xml:space="preserve">, E.G., </w:t>
      </w:r>
      <w:r>
        <w:rPr>
          <w:rFonts w:ascii="Calibri" w:hAnsi="Calibri" w:cs="Calibri"/>
          <w:sz w:val="22"/>
        </w:rPr>
        <w:t>McConkey</w:t>
      </w:r>
      <w:r w:rsidR="009B7A86" w:rsidRPr="009F53E8">
        <w:rPr>
          <w:rFonts w:ascii="Calibri" w:hAnsi="Calibri" w:cs="Calibri"/>
          <w:sz w:val="22"/>
        </w:rPr>
        <w:t>, R. and G</w:t>
      </w:r>
      <w:r>
        <w:rPr>
          <w:rFonts w:ascii="Calibri" w:hAnsi="Calibri" w:cs="Calibri"/>
          <w:sz w:val="22"/>
        </w:rPr>
        <w:t>illigan</w:t>
      </w:r>
      <w:r w:rsidR="00047201">
        <w:rPr>
          <w:rFonts w:ascii="Calibri" w:hAnsi="Calibri" w:cs="Calibri"/>
          <w:sz w:val="22"/>
        </w:rPr>
        <w:t>, R.</w:t>
      </w:r>
      <w:r w:rsidR="009B7A86" w:rsidRPr="009F53E8">
        <w:rPr>
          <w:rFonts w:ascii="Calibri" w:hAnsi="Calibri" w:cs="Calibri"/>
          <w:sz w:val="22"/>
        </w:rPr>
        <w:t xml:space="preserve"> </w:t>
      </w:r>
      <w:r w:rsidR="00047201">
        <w:rPr>
          <w:rFonts w:ascii="Calibri" w:hAnsi="Calibri" w:cs="Calibri"/>
          <w:sz w:val="22"/>
        </w:rPr>
        <w:t>(</w:t>
      </w:r>
      <w:r w:rsidR="009B7A86" w:rsidRPr="009F53E8">
        <w:rPr>
          <w:rFonts w:ascii="Calibri" w:hAnsi="Calibri" w:cs="Calibri"/>
          <w:sz w:val="22"/>
        </w:rPr>
        <w:t>2015</w:t>
      </w:r>
      <w:r w:rsidR="00047201">
        <w:rPr>
          <w:rFonts w:ascii="Calibri" w:hAnsi="Calibri" w:cs="Calibri"/>
          <w:sz w:val="22"/>
        </w:rPr>
        <w:t>),</w:t>
      </w:r>
      <w:r w:rsidR="009B7A86" w:rsidRPr="009F53E8">
        <w:rPr>
          <w:rFonts w:ascii="Calibri" w:hAnsi="Calibri" w:cs="Calibri"/>
          <w:sz w:val="22"/>
        </w:rPr>
        <w:t xml:space="preserve"> </w:t>
      </w:r>
      <w:r w:rsidR="009B7A86" w:rsidRPr="009F53E8">
        <w:rPr>
          <w:rFonts w:ascii="Calibri" w:hAnsi="Calibri" w:cs="Calibri"/>
          <w:i/>
          <w:iCs/>
          <w:sz w:val="22"/>
        </w:rPr>
        <w:t xml:space="preserve">Disability and Human Rights: Global Perspectives. </w:t>
      </w:r>
      <w:r w:rsidR="009B7A86" w:rsidRPr="009F53E8">
        <w:rPr>
          <w:rFonts w:ascii="Calibri" w:hAnsi="Calibri" w:cs="Calibri"/>
          <w:sz w:val="22"/>
        </w:rPr>
        <w:t>Palgrave Macmillan.</w:t>
      </w:r>
    </w:p>
    <w:p w14:paraId="504A8F74" w14:textId="08D7BC85" w:rsidR="00360F6F" w:rsidRPr="009F53E8" w:rsidRDefault="005B6332" w:rsidP="00360F6F">
      <w:pPr>
        <w:pStyle w:val="NormalWeb"/>
        <w:rPr>
          <w:rFonts w:ascii="Calibri" w:hAnsi="Calibri" w:cs="Calibri"/>
          <w:sz w:val="22"/>
        </w:rPr>
      </w:pPr>
      <w:r w:rsidRPr="009F53E8">
        <w:rPr>
          <w:rFonts w:ascii="Calibri" w:hAnsi="Calibri" w:cs="Calibri"/>
          <w:sz w:val="22"/>
        </w:rPr>
        <w:t>G</w:t>
      </w:r>
      <w:r>
        <w:rPr>
          <w:rFonts w:ascii="Calibri" w:hAnsi="Calibri" w:cs="Calibri"/>
          <w:sz w:val="22"/>
        </w:rPr>
        <w:t>oodley</w:t>
      </w:r>
      <w:r w:rsidR="00360F6F" w:rsidRPr="009F53E8">
        <w:rPr>
          <w:rFonts w:ascii="Calibri" w:hAnsi="Calibri" w:cs="Calibri"/>
          <w:sz w:val="22"/>
        </w:rPr>
        <w:t xml:space="preserve">, D. </w:t>
      </w:r>
      <w:r>
        <w:rPr>
          <w:rFonts w:ascii="Calibri" w:hAnsi="Calibri" w:cs="Calibri"/>
          <w:sz w:val="22"/>
        </w:rPr>
        <w:t>(</w:t>
      </w:r>
      <w:r w:rsidR="00360F6F" w:rsidRPr="009F53E8">
        <w:rPr>
          <w:rFonts w:ascii="Calibri" w:hAnsi="Calibri" w:cs="Calibri"/>
          <w:sz w:val="22"/>
        </w:rPr>
        <w:t>2000</w:t>
      </w:r>
      <w:r>
        <w:rPr>
          <w:rFonts w:ascii="Calibri" w:hAnsi="Calibri" w:cs="Calibri"/>
          <w:sz w:val="22"/>
        </w:rPr>
        <w:t>),</w:t>
      </w:r>
      <w:r w:rsidR="00360F6F" w:rsidRPr="009F53E8">
        <w:rPr>
          <w:rFonts w:ascii="Calibri" w:hAnsi="Calibri" w:cs="Calibri"/>
          <w:sz w:val="22"/>
        </w:rPr>
        <w:t xml:space="preserve"> </w:t>
      </w:r>
      <w:r w:rsidR="00360F6F" w:rsidRPr="009F53E8">
        <w:rPr>
          <w:rFonts w:ascii="Calibri" w:hAnsi="Calibri" w:cs="Calibri"/>
          <w:i/>
          <w:iCs/>
          <w:sz w:val="22"/>
        </w:rPr>
        <w:t>Self-advocacy in the lives of people with learning difficulties : the politics of resilience.</w:t>
      </w:r>
      <w:r w:rsidR="00360F6F" w:rsidRPr="009F53E8">
        <w:rPr>
          <w:rFonts w:ascii="Calibri" w:hAnsi="Calibri" w:cs="Calibri"/>
          <w:sz w:val="22"/>
        </w:rPr>
        <w:t>Open University Press.</w:t>
      </w:r>
    </w:p>
    <w:p w14:paraId="576E42E9" w14:textId="4AB843CB" w:rsidR="00360F6F" w:rsidRPr="009F53E8" w:rsidRDefault="005B6332" w:rsidP="00360F6F">
      <w:pPr>
        <w:pStyle w:val="NormalWeb"/>
        <w:rPr>
          <w:rFonts w:ascii="Calibri" w:hAnsi="Calibri" w:cs="Calibri"/>
          <w:sz w:val="22"/>
        </w:rPr>
      </w:pPr>
      <w:r>
        <w:rPr>
          <w:rFonts w:ascii="Calibri" w:hAnsi="Calibri" w:cs="Calibri"/>
          <w:sz w:val="22"/>
        </w:rPr>
        <w:t>Hungarian Civil Liberties Union</w:t>
      </w:r>
      <w:r w:rsidR="00360F6F" w:rsidRPr="009F53E8">
        <w:rPr>
          <w:rFonts w:ascii="Calibri" w:hAnsi="Calibri" w:cs="Calibri"/>
          <w:sz w:val="22"/>
        </w:rPr>
        <w:t xml:space="preserve">, </w:t>
      </w:r>
      <w:r>
        <w:rPr>
          <w:rFonts w:ascii="Calibri" w:hAnsi="Calibri" w:cs="Calibri"/>
          <w:sz w:val="22"/>
        </w:rPr>
        <w:t>(</w:t>
      </w:r>
      <w:r w:rsidR="00360F6F" w:rsidRPr="009F53E8">
        <w:rPr>
          <w:rFonts w:ascii="Calibri" w:hAnsi="Calibri" w:cs="Calibri"/>
          <w:sz w:val="22"/>
        </w:rPr>
        <w:t>2016</w:t>
      </w:r>
      <w:r>
        <w:rPr>
          <w:rFonts w:ascii="Calibri" w:hAnsi="Calibri" w:cs="Calibri"/>
          <w:sz w:val="22"/>
        </w:rPr>
        <w:t>)</w:t>
      </w:r>
      <w:r w:rsidR="00360F6F" w:rsidRPr="009F53E8">
        <w:rPr>
          <w:rFonts w:ascii="Calibri" w:hAnsi="Calibri" w:cs="Calibri"/>
          <w:sz w:val="22"/>
        </w:rPr>
        <w:t xml:space="preserve">, MONDO card game. Available: </w:t>
      </w:r>
      <w:hyperlink r:id="rId8" w:history="1">
        <w:r w:rsidRPr="005B6332">
          <w:rPr>
            <w:rStyle w:val="Hyperlink"/>
            <w:rFonts w:ascii="Calibri" w:hAnsi="Calibri" w:cs="Calibri"/>
            <w:sz w:val="22"/>
          </w:rPr>
          <w:t>http://szuloi.tasz.hu/english/</w:t>
        </w:r>
      </w:hyperlink>
      <w:r>
        <w:rPr>
          <w:rFonts w:ascii="Calibri" w:hAnsi="Calibri" w:cs="Calibri"/>
          <w:sz w:val="22"/>
        </w:rPr>
        <w:t xml:space="preserve"> </w:t>
      </w:r>
      <w:r w:rsidR="00360F6F" w:rsidRPr="009F53E8">
        <w:rPr>
          <w:rFonts w:ascii="Calibri" w:hAnsi="Calibri" w:cs="Calibri"/>
          <w:sz w:val="22"/>
        </w:rPr>
        <w:t xml:space="preserve"> [</w:t>
      </w:r>
      <w:r>
        <w:rPr>
          <w:rFonts w:ascii="Calibri" w:hAnsi="Calibri" w:cs="Calibri"/>
          <w:sz w:val="22"/>
        </w:rPr>
        <w:t xml:space="preserve">accessed </w:t>
      </w:r>
      <w:r w:rsidR="00360F6F" w:rsidRPr="009F53E8">
        <w:rPr>
          <w:rFonts w:ascii="Calibri" w:hAnsi="Calibri" w:cs="Calibri"/>
          <w:sz w:val="22"/>
        </w:rPr>
        <w:t>23 October, 2016].</w:t>
      </w:r>
    </w:p>
    <w:p w14:paraId="5D75C5DD" w14:textId="6DF06725" w:rsidR="00360F6F" w:rsidRPr="009F53E8" w:rsidRDefault="00360F6F" w:rsidP="00360F6F">
      <w:pPr>
        <w:pStyle w:val="NormalWeb"/>
        <w:rPr>
          <w:rFonts w:ascii="Calibri" w:hAnsi="Calibri" w:cs="Calibri"/>
          <w:sz w:val="22"/>
        </w:rPr>
      </w:pPr>
      <w:r w:rsidRPr="009F53E8">
        <w:rPr>
          <w:rFonts w:ascii="Calibri" w:hAnsi="Calibri" w:cs="Calibri"/>
          <w:sz w:val="22"/>
        </w:rPr>
        <w:t>K</w:t>
      </w:r>
      <w:r w:rsidR="005B6332">
        <w:rPr>
          <w:rFonts w:ascii="Calibri" w:hAnsi="Calibri" w:cs="Calibri"/>
          <w:sz w:val="22"/>
        </w:rPr>
        <w:t>ozma</w:t>
      </w:r>
      <w:r w:rsidRPr="009F53E8">
        <w:rPr>
          <w:rFonts w:ascii="Calibri" w:hAnsi="Calibri" w:cs="Calibri"/>
          <w:sz w:val="22"/>
        </w:rPr>
        <w:t xml:space="preserve">, A. and </w:t>
      </w:r>
      <w:r w:rsidR="005B6332" w:rsidRPr="009F53E8">
        <w:rPr>
          <w:rFonts w:ascii="Calibri" w:hAnsi="Calibri" w:cs="Calibri"/>
          <w:sz w:val="22"/>
        </w:rPr>
        <w:t>P</w:t>
      </w:r>
      <w:r w:rsidR="005B6332">
        <w:rPr>
          <w:rFonts w:ascii="Calibri" w:hAnsi="Calibri" w:cs="Calibri"/>
          <w:sz w:val="22"/>
        </w:rPr>
        <w:t>etri</w:t>
      </w:r>
      <w:r w:rsidRPr="009F53E8">
        <w:rPr>
          <w:rFonts w:ascii="Calibri" w:hAnsi="Calibri" w:cs="Calibri"/>
          <w:sz w:val="22"/>
        </w:rPr>
        <w:t xml:space="preserve">, G. </w:t>
      </w:r>
      <w:r w:rsidR="005B6332">
        <w:rPr>
          <w:rFonts w:ascii="Calibri" w:hAnsi="Calibri" w:cs="Calibri"/>
          <w:sz w:val="22"/>
        </w:rPr>
        <w:t>(</w:t>
      </w:r>
      <w:r w:rsidRPr="009F53E8">
        <w:rPr>
          <w:rFonts w:ascii="Calibri" w:hAnsi="Calibri" w:cs="Calibri"/>
          <w:sz w:val="22"/>
        </w:rPr>
        <w:t>2012</w:t>
      </w:r>
      <w:r w:rsidR="005B6332">
        <w:rPr>
          <w:rFonts w:ascii="Calibri" w:hAnsi="Calibri" w:cs="Calibri"/>
          <w:sz w:val="22"/>
        </w:rPr>
        <w:t>),</w:t>
      </w:r>
      <w:r w:rsidRPr="009F53E8">
        <w:rPr>
          <w:rFonts w:ascii="Calibri" w:hAnsi="Calibri" w:cs="Calibri"/>
          <w:sz w:val="22"/>
        </w:rPr>
        <w:t xml:space="preserve"> </w:t>
      </w:r>
      <w:r w:rsidRPr="009F53E8">
        <w:rPr>
          <w:rFonts w:ascii="Calibri" w:hAnsi="Calibri" w:cs="Calibri"/>
          <w:i/>
          <w:iCs/>
          <w:sz w:val="22"/>
        </w:rPr>
        <w:t xml:space="preserve">Mapping Exclusion. Institutional and Community-Based Services in the Mental Health Field in Europe. </w:t>
      </w:r>
      <w:r w:rsidRPr="009F53E8">
        <w:rPr>
          <w:rFonts w:ascii="Calibri" w:hAnsi="Calibri" w:cs="Calibri"/>
          <w:sz w:val="22"/>
        </w:rPr>
        <w:t>Mental Health Europe</w:t>
      </w:r>
      <w:r w:rsidR="005B6332">
        <w:rPr>
          <w:rFonts w:ascii="Calibri" w:hAnsi="Calibri" w:cs="Calibri"/>
          <w:sz w:val="22"/>
        </w:rPr>
        <w:t>, Brussels</w:t>
      </w:r>
      <w:r w:rsidRPr="009F53E8">
        <w:rPr>
          <w:rFonts w:ascii="Calibri" w:hAnsi="Calibri" w:cs="Calibri"/>
          <w:sz w:val="22"/>
        </w:rPr>
        <w:t>.</w:t>
      </w:r>
    </w:p>
    <w:p w14:paraId="0A349471" w14:textId="1693414C" w:rsidR="00360F6F" w:rsidRPr="009F53E8" w:rsidRDefault="005B6332" w:rsidP="00360F6F">
      <w:pPr>
        <w:pStyle w:val="NormalWeb"/>
        <w:rPr>
          <w:rFonts w:ascii="Calibri" w:hAnsi="Calibri" w:cs="Calibri"/>
          <w:sz w:val="22"/>
        </w:rPr>
      </w:pPr>
      <w:r w:rsidRPr="009F53E8">
        <w:rPr>
          <w:rFonts w:ascii="Calibri" w:hAnsi="Calibri" w:cs="Calibri"/>
          <w:sz w:val="22"/>
        </w:rPr>
        <w:t>M</w:t>
      </w:r>
      <w:r>
        <w:rPr>
          <w:rFonts w:ascii="Calibri" w:hAnsi="Calibri" w:cs="Calibri"/>
          <w:sz w:val="22"/>
        </w:rPr>
        <w:t>ansell</w:t>
      </w:r>
      <w:r w:rsidR="00360F6F" w:rsidRPr="009F53E8">
        <w:rPr>
          <w:rFonts w:ascii="Calibri" w:hAnsi="Calibri" w:cs="Calibri"/>
          <w:sz w:val="22"/>
        </w:rPr>
        <w:t xml:space="preserve">, J., </w:t>
      </w:r>
      <w:r w:rsidRPr="009F53E8">
        <w:rPr>
          <w:rFonts w:ascii="Calibri" w:hAnsi="Calibri" w:cs="Calibri"/>
          <w:sz w:val="22"/>
        </w:rPr>
        <w:t>K</w:t>
      </w:r>
      <w:r>
        <w:rPr>
          <w:rFonts w:ascii="Calibri" w:hAnsi="Calibri" w:cs="Calibri"/>
          <w:sz w:val="22"/>
        </w:rPr>
        <w:t>napp</w:t>
      </w:r>
      <w:r w:rsidR="00360F6F" w:rsidRPr="009F53E8">
        <w:rPr>
          <w:rFonts w:ascii="Calibri" w:hAnsi="Calibri" w:cs="Calibri"/>
          <w:sz w:val="22"/>
        </w:rPr>
        <w:t xml:space="preserve">, M., </w:t>
      </w:r>
      <w:r>
        <w:rPr>
          <w:rFonts w:ascii="Calibri" w:hAnsi="Calibri" w:cs="Calibri"/>
          <w:sz w:val="22"/>
        </w:rPr>
        <w:t>Beadle-Brown</w:t>
      </w:r>
      <w:r w:rsidR="00360F6F" w:rsidRPr="009F53E8">
        <w:rPr>
          <w:rFonts w:ascii="Calibri" w:hAnsi="Calibri" w:cs="Calibri"/>
          <w:sz w:val="22"/>
        </w:rPr>
        <w:t xml:space="preserve">, J. and </w:t>
      </w:r>
      <w:r w:rsidRPr="009F53E8">
        <w:rPr>
          <w:rFonts w:ascii="Calibri" w:hAnsi="Calibri" w:cs="Calibri"/>
          <w:sz w:val="22"/>
        </w:rPr>
        <w:t>B</w:t>
      </w:r>
      <w:r>
        <w:rPr>
          <w:rFonts w:ascii="Calibri" w:hAnsi="Calibri" w:cs="Calibri"/>
          <w:sz w:val="22"/>
        </w:rPr>
        <w:t>eecham</w:t>
      </w:r>
      <w:r w:rsidR="00360F6F" w:rsidRPr="009F53E8">
        <w:rPr>
          <w:rFonts w:ascii="Calibri" w:hAnsi="Calibri" w:cs="Calibri"/>
          <w:sz w:val="22"/>
        </w:rPr>
        <w:t xml:space="preserve">, J. </w:t>
      </w:r>
      <w:r>
        <w:rPr>
          <w:rFonts w:ascii="Calibri" w:hAnsi="Calibri" w:cs="Calibri"/>
          <w:sz w:val="22"/>
        </w:rPr>
        <w:t>(</w:t>
      </w:r>
      <w:r w:rsidR="00360F6F" w:rsidRPr="009F53E8">
        <w:rPr>
          <w:rFonts w:ascii="Calibri" w:hAnsi="Calibri" w:cs="Calibri"/>
          <w:sz w:val="22"/>
        </w:rPr>
        <w:t>2007</w:t>
      </w:r>
      <w:r>
        <w:rPr>
          <w:rFonts w:ascii="Calibri" w:hAnsi="Calibri" w:cs="Calibri"/>
          <w:sz w:val="22"/>
        </w:rPr>
        <w:t>),</w:t>
      </w:r>
      <w:r w:rsidR="00360F6F" w:rsidRPr="009F53E8">
        <w:rPr>
          <w:rFonts w:ascii="Calibri" w:hAnsi="Calibri" w:cs="Calibri"/>
          <w:sz w:val="22"/>
        </w:rPr>
        <w:t xml:space="preserve"> </w:t>
      </w:r>
      <w:r w:rsidR="00360F6F" w:rsidRPr="00A0565B">
        <w:rPr>
          <w:rFonts w:ascii="Calibri" w:hAnsi="Calibri" w:cs="Calibri"/>
          <w:i/>
          <w:sz w:val="22"/>
        </w:rPr>
        <w:t>Deinstitutionalization and community living–outcomes and costs</w:t>
      </w:r>
      <w:r w:rsidR="00360F6F" w:rsidRPr="009F53E8">
        <w:rPr>
          <w:rFonts w:ascii="Calibri" w:hAnsi="Calibri" w:cs="Calibri"/>
          <w:sz w:val="22"/>
        </w:rPr>
        <w:t xml:space="preserve">. </w:t>
      </w:r>
      <w:r w:rsidR="00360F6F" w:rsidRPr="009F53E8">
        <w:rPr>
          <w:rFonts w:ascii="Calibri" w:hAnsi="Calibri" w:cs="Calibri"/>
          <w:i/>
          <w:iCs/>
          <w:sz w:val="22"/>
        </w:rPr>
        <w:t xml:space="preserve">Report of a European study, </w:t>
      </w:r>
      <w:r w:rsidR="0074451C">
        <w:rPr>
          <w:rFonts w:ascii="Calibri" w:hAnsi="Calibri" w:cs="Calibri"/>
          <w:i/>
          <w:iCs/>
          <w:sz w:val="22"/>
        </w:rPr>
        <w:t xml:space="preserve">Vol. </w:t>
      </w:r>
      <w:r w:rsidR="00360F6F" w:rsidRPr="00A0565B">
        <w:rPr>
          <w:rFonts w:ascii="Calibri" w:hAnsi="Calibri" w:cs="Calibri"/>
          <w:bCs/>
          <w:i/>
          <w:sz w:val="22"/>
        </w:rPr>
        <w:t>1</w:t>
      </w:r>
      <w:r w:rsidR="00360F6F" w:rsidRPr="00A0565B">
        <w:rPr>
          <w:rFonts w:ascii="Calibri" w:hAnsi="Calibri" w:cs="Calibri"/>
          <w:i/>
          <w:sz w:val="22"/>
        </w:rPr>
        <w:t>.</w:t>
      </w:r>
      <w:r>
        <w:rPr>
          <w:rFonts w:ascii="Calibri" w:hAnsi="Calibri" w:cs="Calibri"/>
          <w:sz w:val="22"/>
        </w:rPr>
        <w:t xml:space="preserve"> </w:t>
      </w:r>
      <w:r w:rsidRPr="00A0565B">
        <w:rPr>
          <w:rFonts w:ascii="Calibri" w:hAnsi="Calibri" w:cs="Calibri"/>
          <w:i/>
          <w:sz w:val="22"/>
        </w:rPr>
        <w:t>Executive summary</w:t>
      </w:r>
      <w:r>
        <w:rPr>
          <w:rFonts w:ascii="Calibri" w:hAnsi="Calibri" w:cs="Calibri"/>
          <w:sz w:val="22"/>
        </w:rPr>
        <w:t>, Tizard Centre, University of Kent, Canterbury.</w:t>
      </w:r>
    </w:p>
    <w:p w14:paraId="1E2F6EC5" w14:textId="24014D26" w:rsidR="00360F6F" w:rsidRPr="009F53E8" w:rsidRDefault="00850202" w:rsidP="00360F6F">
      <w:pPr>
        <w:pStyle w:val="NormalWeb"/>
        <w:rPr>
          <w:rFonts w:ascii="Calibri" w:hAnsi="Calibri" w:cs="Calibri"/>
          <w:sz w:val="22"/>
        </w:rPr>
      </w:pPr>
      <w:r>
        <w:rPr>
          <w:rFonts w:ascii="Calibri" w:hAnsi="Calibri" w:cs="Calibri"/>
          <w:sz w:val="22"/>
        </w:rPr>
        <w:t>Mental Disability Advocacy Center</w:t>
      </w:r>
      <w:r w:rsidR="00360F6F" w:rsidRPr="009F53E8">
        <w:rPr>
          <w:rFonts w:ascii="Calibri" w:hAnsi="Calibri" w:cs="Calibri"/>
          <w:sz w:val="22"/>
        </w:rPr>
        <w:t xml:space="preserve"> 2015. </w:t>
      </w:r>
      <w:r w:rsidR="00360F6F" w:rsidRPr="009F53E8">
        <w:rPr>
          <w:rFonts w:ascii="Calibri" w:hAnsi="Calibri" w:cs="Calibri"/>
          <w:i/>
          <w:iCs/>
          <w:sz w:val="22"/>
        </w:rPr>
        <w:t xml:space="preserve">Access to justice for children with mental disabilities. Project summary report. </w:t>
      </w:r>
      <w:r w:rsidR="00360F6F" w:rsidRPr="009F53E8">
        <w:rPr>
          <w:rFonts w:ascii="Calibri" w:hAnsi="Calibri" w:cs="Calibri"/>
          <w:sz w:val="22"/>
        </w:rPr>
        <w:t>MDAC</w:t>
      </w:r>
      <w:r>
        <w:rPr>
          <w:rFonts w:ascii="Calibri" w:hAnsi="Calibri" w:cs="Calibri"/>
          <w:sz w:val="22"/>
        </w:rPr>
        <w:t>, Budapest</w:t>
      </w:r>
      <w:r w:rsidR="00360F6F" w:rsidRPr="009F53E8">
        <w:rPr>
          <w:rFonts w:ascii="Calibri" w:hAnsi="Calibri" w:cs="Calibri"/>
          <w:sz w:val="22"/>
        </w:rPr>
        <w:t>.</w:t>
      </w:r>
      <w:r>
        <w:rPr>
          <w:rFonts w:ascii="Calibri" w:hAnsi="Calibri" w:cs="Calibri"/>
          <w:sz w:val="22"/>
        </w:rPr>
        <w:t xml:space="preserve"> Available: </w:t>
      </w:r>
      <w:r w:rsidRPr="00850202">
        <w:rPr>
          <w:rFonts w:ascii="Calibri" w:hAnsi="Calibri" w:cs="Calibri"/>
          <w:sz w:val="22"/>
        </w:rPr>
        <w:t>http://www.mdac.org/sites/mdac.info/files/access_to_justice_children_ws0_summary_eng.pdf</w:t>
      </w:r>
      <w:r>
        <w:rPr>
          <w:rFonts w:ascii="Calibri" w:hAnsi="Calibri" w:cs="Calibri"/>
          <w:sz w:val="22"/>
        </w:rPr>
        <w:t xml:space="preserve"> [accessed 24 October 2016]</w:t>
      </w:r>
    </w:p>
    <w:p w14:paraId="1CB94C7E" w14:textId="168ED74A" w:rsidR="00360F6F" w:rsidRPr="009F53E8" w:rsidRDefault="00850202" w:rsidP="00360F6F">
      <w:pPr>
        <w:pStyle w:val="NormalWeb"/>
        <w:rPr>
          <w:rFonts w:ascii="Calibri" w:hAnsi="Calibri" w:cs="Calibri"/>
          <w:sz w:val="22"/>
        </w:rPr>
      </w:pPr>
      <w:r w:rsidRPr="009F53E8">
        <w:rPr>
          <w:rFonts w:ascii="Calibri" w:hAnsi="Calibri" w:cs="Calibri"/>
          <w:sz w:val="22"/>
        </w:rPr>
        <w:t>M</w:t>
      </w:r>
      <w:r>
        <w:rPr>
          <w:rFonts w:ascii="Calibri" w:hAnsi="Calibri" w:cs="Calibri"/>
          <w:sz w:val="22"/>
        </w:rPr>
        <w:t>inkowitz</w:t>
      </w:r>
      <w:r w:rsidR="00360F6F" w:rsidRPr="009F53E8">
        <w:rPr>
          <w:rFonts w:ascii="Calibri" w:hAnsi="Calibri" w:cs="Calibri"/>
          <w:sz w:val="22"/>
        </w:rPr>
        <w:t xml:space="preserve">, T. </w:t>
      </w:r>
      <w:r>
        <w:rPr>
          <w:rFonts w:ascii="Calibri" w:hAnsi="Calibri" w:cs="Calibri"/>
          <w:sz w:val="22"/>
        </w:rPr>
        <w:t>(</w:t>
      </w:r>
      <w:r w:rsidR="00360F6F" w:rsidRPr="009F53E8">
        <w:rPr>
          <w:rFonts w:ascii="Calibri" w:hAnsi="Calibri" w:cs="Calibri"/>
          <w:sz w:val="22"/>
        </w:rPr>
        <w:t>2007</w:t>
      </w:r>
      <w:r>
        <w:rPr>
          <w:rFonts w:ascii="Calibri" w:hAnsi="Calibri" w:cs="Calibri"/>
          <w:sz w:val="22"/>
        </w:rPr>
        <w:t>),</w:t>
      </w:r>
      <w:r w:rsidR="00360F6F" w:rsidRPr="009F53E8">
        <w:rPr>
          <w:rFonts w:ascii="Calibri" w:hAnsi="Calibri" w:cs="Calibri"/>
          <w:sz w:val="22"/>
        </w:rPr>
        <w:t xml:space="preserve"> The United Nations Convention on the Rights of Persons with Disabilities and the right to be free from nonconsensual psychiatric interventions. </w:t>
      </w:r>
      <w:r w:rsidR="00360F6F" w:rsidRPr="009F53E8">
        <w:rPr>
          <w:rFonts w:ascii="Calibri" w:hAnsi="Calibri" w:cs="Calibri"/>
          <w:i/>
          <w:iCs/>
          <w:sz w:val="22"/>
        </w:rPr>
        <w:t xml:space="preserve">Syracuse Journal of International Law and Commerce, </w:t>
      </w:r>
      <w:r w:rsidR="004052B0">
        <w:rPr>
          <w:rFonts w:ascii="Calibri" w:hAnsi="Calibri" w:cs="Calibri"/>
          <w:i/>
          <w:iCs/>
          <w:sz w:val="22"/>
        </w:rPr>
        <w:t xml:space="preserve">Vol. </w:t>
      </w:r>
      <w:r w:rsidR="00360F6F" w:rsidRPr="00A0565B">
        <w:rPr>
          <w:rFonts w:ascii="Calibri" w:hAnsi="Calibri" w:cs="Calibri"/>
          <w:bCs/>
          <w:sz w:val="22"/>
        </w:rPr>
        <w:t>34</w:t>
      </w:r>
      <w:r w:rsidR="00360F6F" w:rsidRPr="009F53E8">
        <w:rPr>
          <w:rFonts w:ascii="Calibri" w:hAnsi="Calibri" w:cs="Calibri"/>
          <w:sz w:val="22"/>
        </w:rPr>
        <w:t>(2),</w:t>
      </w:r>
      <w:r>
        <w:rPr>
          <w:rFonts w:ascii="Calibri" w:hAnsi="Calibri" w:cs="Calibri"/>
          <w:sz w:val="22"/>
        </w:rPr>
        <w:t xml:space="preserve"> pp. 405-428</w:t>
      </w:r>
      <w:r w:rsidR="00360F6F" w:rsidRPr="009F53E8">
        <w:rPr>
          <w:rFonts w:ascii="Calibri" w:hAnsi="Calibri" w:cs="Calibri"/>
          <w:sz w:val="22"/>
        </w:rPr>
        <w:t>.</w:t>
      </w:r>
    </w:p>
    <w:p w14:paraId="0BB837D9" w14:textId="2BE53473" w:rsidR="00360F6F" w:rsidRPr="009F53E8" w:rsidRDefault="00850202" w:rsidP="00360F6F">
      <w:pPr>
        <w:pStyle w:val="NormalWeb"/>
        <w:rPr>
          <w:rFonts w:ascii="Calibri" w:hAnsi="Calibri" w:cs="Calibri"/>
          <w:sz w:val="22"/>
        </w:rPr>
      </w:pPr>
      <w:r w:rsidRPr="009F53E8">
        <w:rPr>
          <w:rFonts w:ascii="Calibri" w:hAnsi="Calibri" w:cs="Calibri"/>
          <w:sz w:val="22"/>
        </w:rPr>
        <w:t>M</w:t>
      </w:r>
      <w:r>
        <w:rPr>
          <w:rFonts w:ascii="Calibri" w:hAnsi="Calibri" w:cs="Calibri"/>
          <w:sz w:val="22"/>
        </w:rPr>
        <w:t>ladenov</w:t>
      </w:r>
      <w:r w:rsidR="00360F6F" w:rsidRPr="009F53E8">
        <w:rPr>
          <w:rFonts w:ascii="Calibri" w:hAnsi="Calibri" w:cs="Calibri"/>
          <w:sz w:val="22"/>
        </w:rPr>
        <w:t>, T.</w:t>
      </w:r>
      <w:r>
        <w:rPr>
          <w:rFonts w:ascii="Calibri" w:hAnsi="Calibri" w:cs="Calibri"/>
          <w:sz w:val="22"/>
        </w:rPr>
        <w:t xml:space="preserve"> (</w:t>
      </w:r>
      <w:r w:rsidR="00360F6F" w:rsidRPr="009F53E8">
        <w:rPr>
          <w:rFonts w:ascii="Calibri" w:hAnsi="Calibri" w:cs="Calibri"/>
          <w:sz w:val="22"/>
        </w:rPr>
        <w:t>2013</w:t>
      </w:r>
      <w:r>
        <w:rPr>
          <w:rFonts w:ascii="Calibri" w:hAnsi="Calibri" w:cs="Calibri"/>
          <w:sz w:val="22"/>
        </w:rPr>
        <w:t>),</w:t>
      </w:r>
      <w:r w:rsidR="00360F6F" w:rsidRPr="009F53E8">
        <w:rPr>
          <w:rFonts w:ascii="Calibri" w:hAnsi="Calibri" w:cs="Calibri"/>
          <w:sz w:val="22"/>
        </w:rPr>
        <w:t xml:space="preserve"> The UN Convention on the rights of persons with disabilities and its interpretation. </w:t>
      </w:r>
      <w:r w:rsidR="00360F6F" w:rsidRPr="009F53E8">
        <w:rPr>
          <w:rFonts w:ascii="Calibri" w:hAnsi="Calibri" w:cs="Calibri"/>
          <w:i/>
          <w:iCs/>
          <w:sz w:val="22"/>
        </w:rPr>
        <w:t xml:space="preserve">ALTER-European Journal of Disability Research/Revue Européenne de Recherche sur le Handicap, </w:t>
      </w:r>
      <w:r w:rsidR="004052B0">
        <w:rPr>
          <w:rFonts w:ascii="Calibri" w:hAnsi="Calibri" w:cs="Calibri"/>
          <w:i/>
          <w:iCs/>
          <w:sz w:val="22"/>
        </w:rPr>
        <w:t xml:space="preserve">Vol. </w:t>
      </w:r>
      <w:r w:rsidR="00360F6F" w:rsidRPr="00A0565B">
        <w:rPr>
          <w:rFonts w:ascii="Calibri" w:hAnsi="Calibri" w:cs="Calibri"/>
          <w:bCs/>
          <w:sz w:val="22"/>
        </w:rPr>
        <w:t>7</w:t>
      </w:r>
      <w:r w:rsidR="00360F6F" w:rsidRPr="009F53E8">
        <w:rPr>
          <w:rFonts w:ascii="Calibri" w:hAnsi="Calibri" w:cs="Calibri"/>
          <w:sz w:val="22"/>
        </w:rPr>
        <w:t>(1), pp. 69-82.</w:t>
      </w:r>
    </w:p>
    <w:p w14:paraId="35432A8B" w14:textId="737178B8" w:rsidR="00360F6F" w:rsidRPr="009F53E8" w:rsidRDefault="00047201" w:rsidP="00360F6F">
      <w:pPr>
        <w:pStyle w:val="NormalWeb"/>
        <w:rPr>
          <w:rFonts w:ascii="Calibri" w:hAnsi="Calibri" w:cs="Calibri"/>
          <w:sz w:val="22"/>
        </w:rPr>
      </w:pPr>
      <w:r>
        <w:rPr>
          <w:rFonts w:ascii="Calibri" w:hAnsi="Calibri" w:cs="Calibri"/>
          <w:sz w:val="22"/>
        </w:rPr>
        <w:t>Save the Children</w:t>
      </w:r>
      <w:r w:rsidR="00360F6F" w:rsidRPr="009F53E8">
        <w:rPr>
          <w:rFonts w:ascii="Calibri" w:hAnsi="Calibri" w:cs="Calibri"/>
          <w:sz w:val="22"/>
        </w:rPr>
        <w:t xml:space="preserve"> </w:t>
      </w:r>
      <w:r>
        <w:rPr>
          <w:rFonts w:ascii="Calibri" w:hAnsi="Calibri" w:cs="Calibri"/>
          <w:sz w:val="22"/>
        </w:rPr>
        <w:t>(</w:t>
      </w:r>
      <w:r w:rsidR="00360F6F" w:rsidRPr="009F53E8">
        <w:rPr>
          <w:rFonts w:ascii="Calibri" w:hAnsi="Calibri" w:cs="Calibri"/>
          <w:sz w:val="22"/>
        </w:rPr>
        <w:t>2014</w:t>
      </w:r>
      <w:r>
        <w:rPr>
          <w:rFonts w:ascii="Calibri" w:hAnsi="Calibri" w:cs="Calibri"/>
          <w:sz w:val="22"/>
        </w:rPr>
        <w:t>),</w:t>
      </w:r>
      <w:r w:rsidR="00360F6F" w:rsidRPr="009F53E8">
        <w:rPr>
          <w:rFonts w:ascii="Calibri" w:hAnsi="Calibri" w:cs="Calibri"/>
          <w:sz w:val="22"/>
        </w:rPr>
        <w:t xml:space="preserve"> </w:t>
      </w:r>
      <w:r w:rsidR="00360F6F" w:rsidRPr="009F53E8">
        <w:rPr>
          <w:rFonts w:ascii="Calibri" w:hAnsi="Calibri" w:cs="Calibri"/>
          <w:i/>
          <w:iCs/>
          <w:sz w:val="22"/>
        </w:rPr>
        <w:t xml:space="preserve">Institutional Care: The Last Resort. </w:t>
      </w:r>
      <w:r w:rsidR="00850202" w:rsidRPr="00850202">
        <w:rPr>
          <w:rFonts w:ascii="Calibri" w:hAnsi="Calibri" w:cs="Calibri"/>
          <w:i/>
          <w:iCs/>
          <w:sz w:val="22"/>
        </w:rPr>
        <w:t>The growing concern about children in residential care</w:t>
      </w:r>
      <w:r w:rsidR="00850202">
        <w:rPr>
          <w:rFonts w:ascii="Calibri" w:hAnsi="Calibri" w:cs="Calibri"/>
          <w:i/>
          <w:iCs/>
          <w:sz w:val="22"/>
        </w:rPr>
        <w:t xml:space="preserve">. </w:t>
      </w:r>
      <w:r w:rsidR="00360F6F" w:rsidRPr="009F53E8">
        <w:rPr>
          <w:rFonts w:ascii="Calibri" w:hAnsi="Calibri" w:cs="Calibri"/>
          <w:sz w:val="22"/>
        </w:rPr>
        <w:t>Save the Children.</w:t>
      </w:r>
      <w:r w:rsidR="00850202">
        <w:rPr>
          <w:rFonts w:ascii="Calibri" w:hAnsi="Calibri" w:cs="Calibri"/>
          <w:sz w:val="22"/>
        </w:rPr>
        <w:t xml:space="preserve"> Available: </w:t>
      </w:r>
      <w:r w:rsidR="00850202" w:rsidRPr="00850202">
        <w:rPr>
          <w:rFonts w:ascii="Calibri" w:hAnsi="Calibri" w:cs="Calibri"/>
          <w:sz w:val="22"/>
        </w:rPr>
        <w:t>https://www.savethechildren.org.uk/sites/default/files/docs/A_last_resort_1.pdf</w:t>
      </w:r>
      <w:r w:rsidR="00850202">
        <w:rPr>
          <w:rFonts w:ascii="Calibri" w:hAnsi="Calibri" w:cs="Calibri"/>
          <w:sz w:val="22"/>
        </w:rPr>
        <w:t xml:space="preserve"> [accessed 24 October 2016]</w:t>
      </w:r>
    </w:p>
    <w:p w14:paraId="6CC3DE80" w14:textId="55DF3A9E" w:rsidR="00360F6F" w:rsidRPr="009F53E8" w:rsidRDefault="00850202" w:rsidP="00360F6F">
      <w:pPr>
        <w:pStyle w:val="NormalWeb"/>
        <w:rPr>
          <w:rFonts w:ascii="Calibri" w:hAnsi="Calibri" w:cs="Calibri"/>
          <w:sz w:val="22"/>
        </w:rPr>
      </w:pPr>
      <w:r w:rsidRPr="009F53E8">
        <w:rPr>
          <w:rFonts w:ascii="Calibri" w:hAnsi="Calibri" w:cs="Calibri"/>
          <w:sz w:val="22"/>
        </w:rPr>
        <w:t>S</w:t>
      </w:r>
      <w:r>
        <w:rPr>
          <w:rFonts w:ascii="Calibri" w:hAnsi="Calibri" w:cs="Calibri"/>
          <w:sz w:val="22"/>
        </w:rPr>
        <w:t>impson</w:t>
      </w:r>
      <w:r w:rsidR="00360F6F" w:rsidRPr="009F53E8">
        <w:rPr>
          <w:rFonts w:ascii="Calibri" w:hAnsi="Calibri" w:cs="Calibri"/>
          <w:sz w:val="22"/>
        </w:rPr>
        <w:t xml:space="preserve">, E. </w:t>
      </w:r>
      <w:r>
        <w:rPr>
          <w:rFonts w:ascii="Calibri" w:hAnsi="Calibri" w:cs="Calibri"/>
          <w:sz w:val="22"/>
        </w:rPr>
        <w:t>(</w:t>
      </w:r>
      <w:r w:rsidR="00360F6F" w:rsidRPr="009F53E8">
        <w:rPr>
          <w:rFonts w:ascii="Calibri" w:hAnsi="Calibri" w:cs="Calibri"/>
          <w:sz w:val="22"/>
        </w:rPr>
        <w:t>2008</w:t>
      </w:r>
      <w:r>
        <w:rPr>
          <w:rFonts w:ascii="Calibri" w:hAnsi="Calibri" w:cs="Calibri"/>
          <w:sz w:val="22"/>
        </w:rPr>
        <w:t>)</w:t>
      </w:r>
      <w:r w:rsidR="00360F6F" w:rsidRPr="009F53E8">
        <w:rPr>
          <w:rFonts w:ascii="Calibri" w:hAnsi="Calibri" w:cs="Calibri"/>
          <w:sz w:val="22"/>
        </w:rPr>
        <w:t>. Some parents oppose closing center for mentally disabled</w:t>
      </w:r>
      <w:r w:rsidR="00360F6F" w:rsidRPr="009F53E8">
        <w:rPr>
          <w:rFonts w:ascii="Calibri" w:hAnsi="Calibri" w:cs="Calibri"/>
          <w:i/>
          <w:iCs/>
          <w:sz w:val="22"/>
        </w:rPr>
        <w:t>. The Virginian Pilot</w:t>
      </w:r>
      <w:r w:rsidR="00360F6F" w:rsidRPr="009F53E8">
        <w:rPr>
          <w:rFonts w:ascii="Calibri" w:hAnsi="Calibri" w:cs="Calibri"/>
          <w:sz w:val="22"/>
        </w:rPr>
        <w:t>.</w:t>
      </w:r>
      <w:r>
        <w:rPr>
          <w:rFonts w:ascii="Calibri" w:hAnsi="Calibri" w:cs="Calibri"/>
          <w:sz w:val="22"/>
        </w:rPr>
        <w:t xml:space="preserve"> 19 December</w:t>
      </w:r>
    </w:p>
    <w:p w14:paraId="313BC3B2" w14:textId="75C565A4" w:rsidR="00360F6F" w:rsidRPr="009F53E8" w:rsidRDefault="00850202" w:rsidP="00360F6F">
      <w:pPr>
        <w:pStyle w:val="NormalWeb"/>
        <w:rPr>
          <w:rFonts w:ascii="Calibri" w:hAnsi="Calibri" w:cs="Calibri"/>
          <w:sz w:val="22"/>
        </w:rPr>
      </w:pPr>
      <w:r w:rsidRPr="009F53E8">
        <w:rPr>
          <w:rFonts w:ascii="Calibri" w:hAnsi="Calibri" w:cs="Calibri"/>
          <w:sz w:val="22"/>
        </w:rPr>
        <w:t>S</w:t>
      </w:r>
      <w:r>
        <w:rPr>
          <w:rFonts w:ascii="Calibri" w:hAnsi="Calibri" w:cs="Calibri"/>
          <w:sz w:val="22"/>
        </w:rPr>
        <w:t>tein</w:t>
      </w:r>
      <w:r w:rsidR="00360F6F" w:rsidRPr="009F53E8">
        <w:rPr>
          <w:rFonts w:ascii="Calibri" w:hAnsi="Calibri" w:cs="Calibri"/>
          <w:sz w:val="22"/>
        </w:rPr>
        <w:t xml:space="preserve">, M.A. </w:t>
      </w:r>
      <w:r>
        <w:rPr>
          <w:rFonts w:ascii="Calibri" w:hAnsi="Calibri" w:cs="Calibri"/>
          <w:sz w:val="22"/>
        </w:rPr>
        <w:t>(</w:t>
      </w:r>
      <w:r w:rsidR="00360F6F" w:rsidRPr="009F53E8">
        <w:rPr>
          <w:rFonts w:ascii="Calibri" w:hAnsi="Calibri" w:cs="Calibri"/>
          <w:sz w:val="22"/>
        </w:rPr>
        <w:t>2007</w:t>
      </w:r>
      <w:r>
        <w:rPr>
          <w:rFonts w:ascii="Calibri" w:hAnsi="Calibri" w:cs="Calibri"/>
          <w:sz w:val="22"/>
        </w:rPr>
        <w:t>),</w:t>
      </w:r>
      <w:r w:rsidR="00360F6F" w:rsidRPr="009F53E8">
        <w:rPr>
          <w:rFonts w:ascii="Calibri" w:hAnsi="Calibri" w:cs="Calibri"/>
          <w:sz w:val="22"/>
        </w:rPr>
        <w:t xml:space="preserve"> Disability human rights. </w:t>
      </w:r>
      <w:r w:rsidR="00360F6F" w:rsidRPr="009F53E8">
        <w:rPr>
          <w:rFonts w:ascii="Calibri" w:hAnsi="Calibri" w:cs="Calibri"/>
          <w:i/>
          <w:iCs/>
          <w:sz w:val="22"/>
        </w:rPr>
        <w:t>California law review,</w:t>
      </w:r>
      <w:r w:rsidR="004052B0">
        <w:rPr>
          <w:rFonts w:ascii="Calibri" w:hAnsi="Calibri" w:cs="Calibri"/>
          <w:i/>
          <w:iCs/>
          <w:sz w:val="22"/>
        </w:rPr>
        <w:t xml:space="preserve"> Vol.</w:t>
      </w:r>
      <w:r w:rsidR="00360F6F" w:rsidRPr="009F53E8">
        <w:rPr>
          <w:rFonts w:ascii="Calibri" w:hAnsi="Calibri" w:cs="Calibri"/>
          <w:i/>
          <w:iCs/>
          <w:sz w:val="22"/>
        </w:rPr>
        <w:t xml:space="preserve"> </w:t>
      </w:r>
      <w:r w:rsidR="00360F6F" w:rsidRPr="00A0565B">
        <w:rPr>
          <w:rFonts w:ascii="Calibri" w:hAnsi="Calibri" w:cs="Calibri"/>
          <w:bCs/>
          <w:sz w:val="22"/>
        </w:rPr>
        <w:t>95</w:t>
      </w:r>
      <w:r w:rsidR="00360F6F" w:rsidRPr="00047201">
        <w:rPr>
          <w:rFonts w:ascii="Calibri" w:hAnsi="Calibri" w:cs="Calibri"/>
          <w:sz w:val="22"/>
        </w:rPr>
        <w:t>.</w:t>
      </w:r>
      <w:r w:rsidR="00047201">
        <w:rPr>
          <w:rFonts w:ascii="Calibri" w:hAnsi="Calibri" w:cs="Calibri"/>
          <w:sz w:val="22"/>
        </w:rPr>
        <w:t>, pp. 75-122.</w:t>
      </w:r>
    </w:p>
    <w:p w14:paraId="5CCF4C6B" w14:textId="4B67B9B4" w:rsidR="00360F6F" w:rsidRPr="009F53E8" w:rsidRDefault="00047201" w:rsidP="00360F6F">
      <w:pPr>
        <w:pStyle w:val="NormalWeb"/>
        <w:rPr>
          <w:rFonts w:ascii="Calibri" w:hAnsi="Calibri" w:cs="Calibri"/>
          <w:sz w:val="22"/>
        </w:rPr>
      </w:pPr>
      <w:r>
        <w:rPr>
          <w:rFonts w:ascii="Calibri" w:hAnsi="Calibri" w:cs="Calibri"/>
          <w:sz w:val="22"/>
        </w:rPr>
        <w:t>UN General Assembly</w:t>
      </w:r>
      <w:r w:rsidR="00360F6F" w:rsidRPr="009F53E8">
        <w:rPr>
          <w:rFonts w:ascii="Calibri" w:hAnsi="Calibri" w:cs="Calibri"/>
          <w:sz w:val="22"/>
        </w:rPr>
        <w:t xml:space="preserve"> </w:t>
      </w:r>
      <w:r>
        <w:rPr>
          <w:rFonts w:ascii="Calibri" w:hAnsi="Calibri" w:cs="Calibri"/>
          <w:sz w:val="22"/>
        </w:rPr>
        <w:t>(</w:t>
      </w:r>
      <w:r w:rsidR="00360F6F" w:rsidRPr="009F53E8">
        <w:rPr>
          <w:rFonts w:ascii="Calibri" w:hAnsi="Calibri" w:cs="Calibri"/>
          <w:sz w:val="22"/>
        </w:rPr>
        <w:t>2007</w:t>
      </w:r>
      <w:r>
        <w:rPr>
          <w:rFonts w:ascii="Calibri" w:hAnsi="Calibri" w:cs="Calibri"/>
          <w:sz w:val="22"/>
        </w:rPr>
        <w:t>),</w:t>
      </w:r>
      <w:r w:rsidR="00360F6F" w:rsidRPr="009F53E8">
        <w:rPr>
          <w:rFonts w:ascii="Calibri" w:hAnsi="Calibri" w:cs="Calibri"/>
          <w:sz w:val="22"/>
        </w:rPr>
        <w:t xml:space="preserve"> </w:t>
      </w:r>
      <w:r w:rsidR="00360F6F" w:rsidRPr="009F53E8">
        <w:rPr>
          <w:rFonts w:ascii="Calibri" w:hAnsi="Calibri" w:cs="Calibri"/>
          <w:i/>
          <w:iCs/>
          <w:sz w:val="22"/>
        </w:rPr>
        <w:t>Convention on the Rights of Persons with Disabilitie</w:t>
      </w:r>
      <w:r w:rsidR="004052B0">
        <w:rPr>
          <w:rFonts w:ascii="Calibri" w:hAnsi="Calibri" w:cs="Calibri"/>
          <w:i/>
          <w:iCs/>
          <w:sz w:val="22"/>
        </w:rPr>
        <w:t>s</w:t>
      </w:r>
      <w:r w:rsidR="00360F6F" w:rsidRPr="009F53E8">
        <w:rPr>
          <w:rFonts w:ascii="Calibri" w:hAnsi="Calibri" w:cs="Calibri"/>
          <w:i/>
          <w:iCs/>
          <w:sz w:val="22"/>
        </w:rPr>
        <w:t xml:space="preserve">: resolution / adopted by the General Assembly. </w:t>
      </w:r>
    </w:p>
    <w:p w14:paraId="17B38D06" w14:textId="2FEA7C5C" w:rsidR="00360F6F" w:rsidRPr="009F53E8" w:rsidRDefault="00360F6F" w:rsidP="00360F6F">
      <w:pPr>
        <w:pStyle w:val="NormalWeb"/>
        <w:rPr>
          <w:rFonts w:ascii="Calibri" w:hAnsi="Calibri" w:cs="Calibri"/>
          <w:sz w:val="22"/>
        </w:rPr>
      </w:pPr>
      <w:r w:rsidRPr="009F53E8">
        <w:rPr>
          <w:rFonts w:ascii="Calibri" w:hAnsi="Calibri" w:cs="Calibri"/>
          <w:sz w:val="22"/>
        </w:rPr>
        <w:t xml:space="preserve">UNICEF, </w:t>
      </w:r>
      <w:r w:rsidR="00047201">
        <w:rPr>
          <w:rFonts w:ascii="Calibri" w:hAnsi="Calibri" w:cs="Calibri"/>
          <w:sz w:val="22"/>
        </w:rPr>
        <w:t>(</w:t>
      </w:r>
      <w:r w:rsidRPr="009F53E8">
        <w:rPr>
          <w:rFonts w:ascii="Calibri" w:hAnsi="Calibri" w:cs="Calibri"/>
          <w:sz w:val="22"/>
        </w:rPr>
        <w:t>2010</w:t>
      </w:r>
      <w:r w:rsidR="00047201">
        <w:rPr>
          <w:rFonts w:ascii="Calibri" w:hAnsi="Calibri" w:cs="Calibri"/>
          <w:sz w:val="22"/>
        </w:rPr>
        <w:t>),</w:t>
      </w:r>
      <w:r w:rsidRPr="009F53E8">
        <w:rPr>
          <w:rFonts w:ascii="Calibri" w:hAnsi="Calibri" w:cs="Calibri"/>
          <w:sz w:val="22"/>
        </w:rPr>
        <w:t xml:space="preserve"> </w:t>
      </w:r>
      <w:r w:rsidRPr="009F53E8">
        <w:rPr>
          <w:rFonts w:ascii="Calibri" w:hAnsi="Calibri" w:cs="Calibri"/>
          <w:i/>
          <w:iCs/>
          <w:sz w:val="22"/>
        </w:rPr>
        <w:t xml:space="preserve">Children as Advocates. Strengthening child and young people's participation in advocacy fora. </w:t>
      </w:r>
      <w:r w:rsidRPr="009F53E8">
        <w:rPr>
          <w:rFonts w:ascii="Calibri" w:hAnsi="Calibri" w:cs="Calibri"/>
          <w:sz w:val="22"/>
        </w:rPr>
        <w:t>UNICEF</w:t>
      </w:r>
      <w:r w:rsidR="004052B0">
        <w:rPr>
          <w:rFonts w:ascii="Calibri" w:hAnsi="Calibri" w:cs="Calibri"/>
          <w:sz w:val="22"/>
        </w:rPr>
        <w:t>, New York</w:t>
      </w:r>
      <w:r w:rsidRPr="009F53E8">
        <w:rPr>
          <w:rFonts w:ascii="Calibri" w:hAnsi="Calibri" w:cs="Calibri"/>
          <w:sz w:val="22"/>
        </w:rPr>
        <w:t>.</w:t>
      </w:r>
    </w:p>
    <w:p w14:paraId="5E35E516" w14:textId="4D897892" w:rsidR="00360F6F" w:rsidRPr="009F53E8" w:rsidRDefault="009B7A86" w:rsidP="00360F6F">
      <w:pPr>
        <w:pStyle w:val="NormalWeb"/>
        <w:rPr>
          <w:rFonts w:ascii="Calibri" w:hAnsi="Calibri" w:cs="Calibri"/>
          <w:sz w:val="22"/>
        </w:rPr>
      </w:pPr>
      <w:r>
        <w:rPr>
          <w:rFonts w:ascii="Calibri" w:hAnsi="Calibri" w:cs="Calibri"/>
          <w:sz w:val="22"/>
        </w:rPr>
        <w:t>UN General Assembly</w:t>
      </w:r>
      <w:r w:rsidR="00360F6F" w:rsidRPr="009F53E8">
        <w:rPr>
          <w:rFonts w:ascii="Calibri" w:hAnsi="Calibri" w:cs="Calibri"/>
          <w:sz w:val="22"/>
        </w:rPr>
        <w:t xml:space="preserve">, </w:t>
      </w:r>
      <w:r w:rsidR="00047201">
        <w:rPr>
          <w:rFonts w:ascii="Calibri" w:hAnsi="Calibri" w:cs="Calibri"/>
          <w:sz w:val="22"/>
        </w:rPr>
        <w:t>(</w:t>
      </w:r>
      <w:r w:rsidR="00360F6F" w:rsidRPr="009F53E8">
        <w:rPr>
          <w:rFonts w:ascii="Calibri" w:hAnsi="Calibri" w:cs="Calibri"/>
          <w:sz w:val="22"/>
        </w:rPr>
        <w:t>1989</w:t>
      </w:r>
      <w:r w:rsidR="00047201">
        <w:rPr>
          <w:rFonts w:ascii="Calibri" w:hAnsi="Calibri" w:cs="Calibri"/>
          <w:sz w:val="22"/>
        </w:rPr>
        <w:t>),</w:t>
      </w:r>
      <w:r w:rsidR="00360F6F" w:rsidRPr="009F53E8">
        <w:rPr>
          <w:rFonts w:ascii="Calibri" w:hAnsi="Calibri" w:cs="Calibri"/>
          <w:sz w:val="22"/>
        </w:rPr>
        <w:t xml:space="preserve"> </w:t>
      </w:r>
      <w:r w:rsidR="00360F6F" w:rsidRPr="00A0565B">
        <w:rPr>
          <w:rFonts w:ascii="Calibri" w:hAnsi="Calibri" w:cs="Calibri"/>
          <w:i/>
          <w:sz w:val="22"/>
        </w:rPr>
        <w:t>Convention on the Rights of the Child</w:t>
      </w:r>
      <w:r>
        <w:rPr>
          <w:rFonts w:ascii="Calibri" w:hAnsi="Calibri" w:cs="Calibri"/>
          <w:sz w:val="22"/>
        </w:rPr>
        <w:t>: resolution / adopted by the General Ass</w:t>
      </w:r>
      <w:r w:rsidR="004052B0">
        <w:rPr>
          <w:rFonts w:ascii="Calibri" w:hAnsi="Calibri" w:cs="Calibri"/>
          <w:sz w:val="22"/>
        </w:rPr>
        <w:t>e</w:t>
      </w:r>
      <w:r>
        <w:rPr>
          <w:rFonts w:ascii="Calibri" w:hAnsi="Calibri" w:cs="Calibri"/>
          <w:sz w:val="22"/>
        </w:rPr>
        <w:t>mbly</w:t>
      </w:r>
    </w:p>
    <w:p w14:paraId="54A268E3" w14:textId="03C460DD" w:rsidR="00360F6F" w:rsidRPr="009F53E8" w:rsidRDefault="00047201" w:rsidP="00360F6F">
      <w:pPr>
        <w:pStyle w:val="NormalWeb"/>
        <w:rPr>
          <w:rFonts w:ascii="Calibri" w:hAnsi="Calibri" w:cs="Calibri"/>
          <w:sz w:val="22"/>
        </w:rPr>
      </w:pPr>
      <w:r>
        <w:rPr>
          <w:rFonts w:ascii="Calibri" w:hAnsi="Calibri" w:cs="Calibri"/>
          <w:sz w:val="22"/>
        </w:rPr>
        <w:t>United Nations Committee on the Rights of the Child</w:t>
      </w:r>
      <w:r w:rsidR="00360F6F" w:rsidRPr="009F53E8">
        <w:rPr>
          <w:rFonts w:ascii="Calibri" w:hAnsi="Calibri" w:cs="Calibri"/>
          <w:sz w:val="22"/>
        </w:rPr>
        <w:t xml:space="preserve">, </w:t>
      </w:r>
      <w:r>
        <w:rPr>
          <w:rFonts w:ascii="Calibri" w:hAnsi="Calibri" w:cs="Calibri"/>
          <w:sz w:val="22"/>
        </w:rPr>
        <w:t>(</w:t>
      </w:r>
      <w:r w:rsidR="00360F6F" w:rsidRPr="009F53E8">
        <w:rPr>
          <w:rFonts w:ascii="Calibri" w:hAnsi="Calibri" w:cs="Calibri"/>
          <w:sz w:val="22"/>
        </w:rPr>
        <w:t>2009</w:t>
      </w:r>
      <w:r>
        <w:rPr>
          <w:rFonts w:ascii="Calibri" w:hAnsi="Calibri" w:cs="Calibri"/>
          <w:sz w:val="22"/>
        </w:rPr>
        <w:t>),</w:t>
      </w:r>
      <w:r w:rsidR="00360F6F" w:rsidRPr="009F53E8">
        <w:rPr>
          <w:rFonts w:ascii="Calibri" w:hAnsi="Calibri" w:cs="Calibri"/>
          <w:sz w:val="22"/>
        </w:rPr>
        <w:t xml:space="preserve"> </w:t>
      </w:r>
      <w:r w:rsidR="00360F6F" w:rsidRPr="009F53E8">
        <w:rPr>
          <w:rFonts w:ascii="Calibri" w:hAnsi="Calibri" w:cs="Calibri"/>
          <w:i/>
          <w:iCs/>
          <w:sz w:val="22"/>
        </w:rPr>
        <w:t xml:space="preserve">General Comment No. 12: The right of the child to be heard, CRC/C/GC/12. </w:t>
      </w:r>
    </w:p>
    <w:p w14:paraId="759EBBE1" w14:textId="58D00CE8" w:rsidR="00360F6F" w:rsidRPr="009F53E8" w:rsidRDefault="00047201" w:rsidP="00360F6F">
      <w:pPr>
        <w:pStyle w:val="NormalWeb"/>
        <w:rPr>
          <w:rFonts w:ascii="Calibri" w:hAnsi="Calibri" w:cs="Calibri"/>
          <w:sz w:val="22"/>
        </w:rPr>
      </w:pPr>
      <w:r>
        <w:rPr>
          <w:rFonts w:ascii="Calibri" w:hAnsi="Calibri" w:cs="Calibri"/>
          <w:sz w:val="22"/>
        </w:rPr>
        <w:lastRenderedPageBreak/>
        <w:t>Virtanen</w:t>
      </w:r>
      <w:r w:rsidR="00360F6F" w:rsidRPr="009F53E8">
        <w:rPr>
          <w:rFonts w:ascii="Calibri" w:hAnsi="Calibri" w:cs="Calibri"/>
          <w:sz w:val="22"/>
        </w:rPr>
        <w:t xml:space="preserve">, R., </w:t>
      </w:r>
      <w:r>
        <w:rPr>
          <w:rFonts w:ascii="Calibri" w:hAnsi="Calibri" w:cs="Calibri"/>
          <w:sz w:val="22"/>
        </w:rPr>
        <w:t>(</w:t>
      </w:r>
      <w:r w:rsidR="00360F6F" w:rsidRPr="009F53E8">
        <w:rPr>
          <w:rFonts w:ascii="Calibri" w:hAnsi="Calibri" w:cs="Calibri"/>
          <w:sz w:val="22"/>
        </w:rPr>
        <w:t>2008</w:t>
      </w:r>
      <w:r>
        <w:rPr>
          <w:rFonts w:ascii="Calibri" w:hAnsi="Calibri" w:cs="Calibri"/>
          <w:sz w:val="22"/>
        </w:rPr>
        <w:t>),</w:t>
      </w:r>
      <w:r w:rsidR="00360F6F" w:rsidRPr="009F53E8">
        <w:rPr>
          <w:rFonts w:ascii="Calibri" w:hAnsi="Calibri" w:cs="Calibri"/>
          <w:sz w:val="22"/>
        </w:rPr>
        <w:t xml:space="preserve"> </w:t>
      </w:r>
      <w:r w:rsidR="00360F6F" w:rsidRPr="00A0565B">
        <w:rPr>
          <w:rFonts w:ascii="Calibri" w:hAnsi="Calibri" w:cs="Calibri"/>
          <w:iCs/>
          <w:sz w:val="22"/>
        </w:rPr>
        <w:t>The Survey on the Ratification Processes of the Convention on the Rights of Persons with Disabilities in Seven States</w:t>
      </w:r>
      <w:r w:rsidR="00360F6F" w:rsidRPr="009F53E8">
        <w:rPr>
          <w:rFonts w:ascii="Calibri" w:hAnsi="Calibri" w:cs="Calibri"/>
          <w:i/>
          <w:iCs/>
          <w:sz w:val="22"/>
        </w:rPr>
        <w:t xml:space="preserve">. </w:t>
      </w:r>
      <w:r w:rsidR="00360F6F" w:rsidRPr="009F53E8">
        <w:rPr>
          <w:rFonts w:ascii="Calibri" w:hAnsi="Calibri" w:cs="Calibri"/>
          <w:sz w:val="22"/>
        </w:rPr>
        <w:t>Helsinki: VIKE - The Centre for Human Rights for Persons with Disabil</w:t>
      </w:r>
      <w:r>
        <w:rPr>
          <w:rFonts w:ascii="Calibri" w:hAnsi="Calibri" w:cs="Calibri"/>
          <w:sz w:val="22"/>
        </w:rPr>
        <w:t>i</w:t>
      </w:r>
      <w:r w:rsidR="00360F6F" w:rsidRPr="009F53E8">
        <w:rPr>
          <w:rFonts w:ascii="Calibri" w:hAnsi="Calibri" w:cs="Calibri"/>
          <w:sz w:val="22"/>
        </w:rPr>
        <w:t>ties.</w:t>
      </w:r>
    </w:p>
    <w:p w14:paraId="659AAAC3" w14:textId="560FBD09" w:rsidR="00360F6F" w:rsidRPr="009F53E8" w:rsidRDefault="00047201" w:rsidP="00360F6F">
      <w:pPr>
        <w:pStyle w:val="NormalWeb"/>
        <w:rPr>
          <w:rFonts w:ascii="Calibri" w:hAnsi="Calibri" w:cs="Calibri"/>
          <w:sz w:val="22"/>
        </w:rPr>
      </w:pPr>
      <w:r>
        <w:rPr>
          <w:rFonts w:ascii="Calibri" w:hAnsi="Calibri" w:cs="Calibri"/>
          <w:sz w:val="22"/>
        </w:rPr>
        <w:t>World Health Organisation</w:t>
      </w:r>
      <w:r w:rsidR="00360F6F" w:rsidRPr="009F53E8">
        <w:rPr>
          <w:rFonts w:ascii="Calibri" w:hAnsi="Calibri" w:cs="Calibri"/>
          <w:sz w:val="22"/>
        </w:rPr>
        <w:t xml:space="preserve">, </w:t>
      </w:r>
      <w:r>
        <w:rPr>
          <w:rFonts w:ascii="Calibri" w:hAnsi="Calibri" w:cs="Calibri"/>
          <w:sz w:val="22"/>
        </w:rPr>
        <w:t>(</w:t>
      </w:r>
      <w:r w:rsidR="00360F6F" w:rsidRPr="009F53E8">
        <w:rPr>
          <w:rFonts w:ascii="Calibri" w:hAnsi="Calibri" w:cs="Calibri"/>
          <w:sz w:val="22"/>
        </w:rPr>
        <w:t>2011</w:t>
      </w:r>
      <w:r>
        <w:rPr>
          <w:rFonts w:ascii="Calibri" w:hAnsi="Calibri" w:cs="Calibri"/>
          <w:sz w:val="22"/>
        </w:rPr>
        <w:t>),</w:t>
      </w:r>
      <w:r w:rsidR="00360F6F" w:rsidRPr="00047201">
        <w:rPr>
          <w:rFonts w:ascii="Calibri" w:hAnsi="Calibri" w:cs="Calibri"/>
          <w:sz w:val="22"/>
        </w:rPr>
        <w:t xml:space="preserve"> </w:t>
      </w:r>
      <w:r w:rsidR="00360F6F" w:rsidRPr="00A0565B">
        <w:rPr>
          <w:rFonts w:ascii="Calibri" w:hAnsi="Calibri" w:cs="Calibri"/>
          <w:iCs/>
          <w:sz w:val="22"/>
        </w:rPr>
        <w:t xml:space="preserve">World report on disability. </w:t>
      </w:r>
      <w:r w:rsidR="00360F6F" w:rsidRPr="009F53E8">
        <w:rPr>
          <w:rFonts w:ascii="Calibri" w:hAnsi="Calibri" w:cs="Calibri"/>
          <w:sz w:val="22"/>
        </w:rPr>
        <w:t>World Health Organization.</w:t>
      </w:r>
    </w:p>
    <w:p w14:paraId="7995D6C6" w14:textId="77777777" w:rsidR="00112206" w:rsidRDefault="00360F6F" w:rsidP="00360F6F">
      <w:r w:rsidRPr="00A0565B">
        <w:rPr>
          <w:rFonts w:ascii="Calibri" w:eastAsia="Times New Roman" w:hAnsi="Calibri" w:cs="Calibri"/>
        </w:rPr>
        <w:t> </w:t>
      </w:r>
    </w:p>
    <w:p w14:paraId="045D6544" w14:textId="77777777" w:rsidR="00E61AE5" w:rsidRPr="009C000F" w:rsidRDefault="00E61AE5" w:rsidP="00112206"/>
    <w:sectPr w:rsidR="00E61AE5" w:rsidRPr="009C000F">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8EA67C" w14:textId="77777777" w:rsidR="00EE7A93" w:rsidRDefault="00EE7A93" w:rsidP="00A80548">
      <w:pPr>
        <w:spacing w:after="0" w:line="240" w:lineRule="auto"/>
      </w:pPr>
      <w:r>
        <w:separator/>
      </w:r>
    </w:p>
  </w:endnote>
  <w:endnote w:type="continuationSeparator" w:id="0">
    <w:p w14:paraId="0B927311" w14:textId="77777777" w:rsidR="00EE7A93" w:rsidRDefault="00EE7A93" w:rsidP="00A80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8206687"/>
      <w:docPartObj>
        <w:docPartGallery w:val="Page Numbers (Bottom of Page)"/>
        <w:docPartUnique/>
      </w:docPartObj>
    </w:sdtPr>
    <w:sdtEndPr>
      <w:rPr>
        <w:noProof/>
      </w:rPr>
    </w:sdtEndPr>
    <w:sdtContent>
      <w:p w14:paraId="4320B213" w14:textId="77777777" w:rsidR="00360F6F" w:rsidRDefault="00360F6F">
        <w:pPr>
          <w:pStyle w:val="Footer"/>
          <w:jc w:val="center"/>
        </w:pPr>
        <w:r>
          <w:fldChar w:fldCharType="begin"/>
        </w:r>
        <w:r>
          <w:instrText xml:space="preserve"> PAGE   \* MERGEFORMAT </w:instrText>
        </w:r>
        <w:r>
          <w:fldChar w:fldCharType="separate"/>
        </w:r>
        <w:r w:rsidR="00CB658F">
          <w:rPr>
            <w:noProof/>
          </w:rPr>
          <w:t>1</w:t>
        </w:r>
        <w:r>
          <w:rPr>
            <w:noProof/>
          </w:rPr>
          <w:fldChar w:fldCharType="end"/>
        </w:r>
      </w:p>
    </w:sdtContent>
  </w:sdt>
  <w:p w14:paraId="585C4BA8" w14:textId="77777777" w:rsidR="00360F6F" w:rsidRDefault="00360F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27508" w14:textId="77777777" w:rsidR="00EE7A93" w:rsidRDefault="00EE7A93" w:rsidP="00A80548">
      <w:pPr>
        <w:spacing w:after="0" w:line="240" w:lineRule="auto"/>
      </w:pPr>
      <w:r>
        <w:separator/>
      </w:r>
    </w:p>
  </w:footnote>
  <w:footnote w:type="continuationSeparator" w:id="0">
    <w:p w14:paraId="4E3DB570" w14:textId="77777777" w:rsidR="00EE7A93" w:rsidRDefault="00EE7A93" w:rsidP="00A805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D53574"/>
    <w:multiLevelType w:val="hybridMultilevel"/>
    <w:tmpl w:val="B15477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00F"/>
    <w:rsid w:val="0003696E"/>
    <w:rsid w:val="00047201"/>
    <w:rsid w:val="00062D68"/>
    <w:rsid w:val="00076E29"/>
    <w:rsid w:val="000B01E1"/>
    <w:rsid w:val="00100AEB"/>
    <w:rsid w:val="00106CA0"/>
    <w:rsid w:val="00112206"/>
    <w:rsid w:val="001540C2"/>
    <w:rsid w:val="00190C18"/>
    <w:rsid w:val="001D0140"/>
    <w:rsid w:val="001D4F41"/>
    <w:rsid w:val="001E02D4"/>
    <w:rsid w:val="002013AE"/>
    <w:rsid w:val="00204632"/>
    <w:rsid w:val="00223B26"/>
    <w:rsid w:val="002370A0"/>
    <w:rsid w:val="0024225D"/>
    <w:rsid w:val="00242EBE"/>
    <w:rsid w:val="002B2972"/>
    <w:rsid w:val="002B2A92"/>
    <w:rsid w:val="002C1692"/>
    <w:rsid w:val="002C6E16"/>
    <w:rsid w:val="00311061"/>
    <w:rsid w:val="003157A1"/>
    <w:rsid w:val="00342D76"/>
    <w:rsid w:val="00360F6F"/>
    <w:rsid w:val="003739E5"/>
    <w:rsid w:val="00380D78"/>
    <w:rsid w:val="003B0506"/>
    <w:rsid w:val="003C262A"/>
    <w:rsid w:val="004052B0"/>
    <w:rsid w:val="004F1A53"/>
    <w:rsid w:val="004F476B"/>
    <w:rsid w:val="00517D09"/>
    <w:rsid w:val="005509EC"/>
    <w:rsid w:val="0057042A"/>
    <w:rsid w:val="00581783"/>
    <w:rsid w:val="005B6332"/>
    <w:rsid w:val="00600AF1"/>
    <w:rsid w:val="006026E7"/>
    <w:rsid w:val="00614784"/>
    <w:rsid w:val="00644855"/>
    <w:rsid w:val="006A2E3D"/>
    <w:rsid w:val="0071423D"/>
    <w:rsid w:val="007303B7"/>
    <w:rsid w:val="007306EC"/>
    <w:rsid w:val="0074451C"/>
    <w:rsid w:val="00767A76"/>
    <w:rsid w:val="007727C1"/>
    <w:rsid w:val="00780039"/>
    <w:rsid w:val="007A580E"/>
    <w:rsid w:val="007B3530"/>
    <w:rsid w:val="007D4AF9"/>
    <w:rsid w:val="00850202"/>
    <w:rsid w:val="008545F1"/>
    <w:rsid w:val="00885D7F"/>
    <w:rsid w:val="00891014"/>
    <w:rsid w:val="00893EBD"/>
    <w:rsid w:val="008C0838"/>
    <w:rsid w:val="008F6C9D"/>
    <w:rsid w:val="008F76A6"/>
    <w:rsid w:val="0099080D"/>
    <w:rsid w:val="009B6344"/>
    <w:rsid w:val="009B7A86"/>
    <w:rsid w:val="009C000F"/>
    <w:rsid w:val="009F53E8"/>
    <w:rsid w:val="00A0565B"/>
    <w:rsid w:val="00A14138"/>
    <w:rsid w:val="00A801AF"/>
    <w:rsid w:val="00A80548"/>
    <w:rsid w:val="00AB125A"/>
    <w:rsid w:val="00AB3DD9"/>
    <w:rsid w:val="00AB6B03"/>
    <w:rsid w:val="00B41EC8"/>
    <w:rsid w:val="00B52CCE"/>
    <w:rsid w:val="00B749B2"/>
    <w:rsid w:val="00B80B3D"/>
    <w:rsid w:val="00BA4FE5"/>
    <w:rsid w:val="00BA5921"/>
    <w:rsid w:val="00BA5E0C"/>
    <w:rsid w:val="00BB0E05"/>
    <w:rsid w:val="00BB6FE7"/>
    <w:rsid w:val="00BC0D70"/>
    <w:rsid w:val="00BC73C4"/>
    <w:rsid w:val="00C01799"/>
    <w:rsid w:val="00C15360"/>
    <w:rsid w:val="00C16C7B"/>
    <w:rsid w:val="00C222C3"/>
    <w:rsid w:val="00C35653"/>
    <w:rsid w:val="00C859FA"/>
    <w:rsid w:val="00C975EF"/>
    <w:rsid w:val="00CB3A6B"/>
    <w:rsid w:val="00CB658F"/>
    <w:rsid w:val="00CC1F3E"/>
    <w:rsid w:val="00CC256E"/>
    <w:rsid w:val="00D01593"/>
    <w:rsid w:val="00D01E99"/>
    <w:rsid w:val="00D24356"/>
    <w:rsid w:val="00D32DB2"/>
    <w:rsid w:val="00D41BCA"/>
    <w:rsid w:val="00D64E86"/>
    <w:rsid w:val="00DB0F09"/>
    <w:rsid w:val="00DB3425"/>
    <w:rsid w:val="00DC0B11"/>
    <w:rsid w:val="00DC3DF5"/>
    <w:rsid w:val="00DD225F"/>
    <w:rsid w:val="00E222CA"/>
    <w:rsid w:val="00E320BA"/>
    <w:rsid w:val="00E34D9F"/>
    <w:rsid w:val="00E61AE5"/>
    <w:rsid w:val="00E913F3"/>
    <w:rsid w:val="00E92A03"/>
    <w:rsid w:val="00EC4B9E"/>
    <w:rsid w:val="00ED3338"/>
    <w:rsid w:val="00EE7A93"/>
    <w:rsid w:val="00F14AC0"/>
    <w:rsid w:val="00F26DAE"/>
    <w:rsid w:val="00F53A2C"/>
    <w:rsid w:val="00FA2DEF"/>
    <w:rsid w:val="00FD7194"/>
    <w:rsid w:val="00FE110A"/>
    <w:rsid w:val="00FE1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95D2F"/>
  <w15:docId w15:val="{E6FF334E-E31B-46FC-98A5-04AEDFAB0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2D4"/>
    <w:pPr>
      <w:ind w:left="720"/>
      <w:contextualSpacing/>
    </w:pPr>
  </w:style>
  <w:style w:type="character" w:styleId="Hyperlink">
    <w:name w:val="Hyperlink"/>
    <w:basedOn w:val="DefaultParagraphFont"/>
    <w:uiPriority w:val="99"/>
    <w:unhideWhenUsed/>
    <w:rsid w:val="002B2A92"/>
    <w:rPr>
      <w:color w:val="0563C1" w:themeColor="hyperlink"/>
      <w:u w:val="single"/>
    </w:rPr>
  </w:style>
  <w:style w:type="paragraph" w:styleId="NormalWeb">
    <w:name w:val="Normal (Web)"/>
    <w:basedOn w:val="Normal"/>
    <w:uiPriority w:val="99"/>
    <w:unhideWhenUsed/>
    <w:rsid w:val="00E61AE5"/>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FollowedHyperlink">
    <w:name w:val="FollowedHyperlink"/>
    <w:basedOn w:val="DefaultParagraphFont"/>
    <w:uiPriority w:val="99"/>
    <w:semiHidden/>
    <w:unhideWhenUsed/>
    <w:rsid w:val="002C6E16"/>
    <w:rPr>
      <w:color w:val="954F72" w:themeColor="followedHyperlink"/>
      <w:u w:val="single"/>
    </w:rPr>
  </w:style>
  <w:style w:type="paragraph" w:styleId="Header">
    <w:name w:val="header"/>
    <w:basedOn w:val="Normal"/>
    <w:link w:val="HeaderChar"/>
    <w:uiPriority w:val="99"/>
    <w:unhideWhenUsed/>
    <w:rsid w:val="00A805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0548"/>
  </w:style>
  <w:style w:type="paragraph" w:styleId="Footer">
    <w:name w:val="footer"/>
    <w:basedOn w:val="Normal"/>
    <w:link w:val="FooterChar"/>
    <w:uiPriority w:val="99"/>
    <w:unhideWhenUsed/>
    <w:rsid w:val="00A805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0548"/>
  </w:style>
  <w:style w:type="paragraph" w:styleId="BalloonText">
    <w:name w:val="Balloon Text"/>
    <w:basedOn w:val="Normal"/>
    <w:link w:val="BalloonTextChar"/>
    <w:uiPriority w:val="99"/>
    <w:semiHidden/>
    <w:unhideWhenUsed/>
    <w:rsid w:val="00FE1E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ED6"/>
    <w:rPr>
      <w:rFonts w:ascii="Tahoma" w:hAnsi="Tahoma" w:cs="Tahoma"/>
      <w:sz w:val="16"/>
      <w:szCs w:val="16"/>
    </w:rPr>
  </w:style>
  <w:style w:type="character" w:styleId="CommentReference">
    <w:name w:val="annotation reference"/>
    <w:basedOn w:val="DefaultParagraphFont"/>
    <w:uiPriority w:val="99"/>
    <w:semiHidden/>
    <w:unhideWhenUsed/>
    <w:rsid w:val="00FE1ED6"/>
    <w:rPr>
      <w:sz w:val="16"/>
      <w:szCs w:val="16"/>
    </w:rPr>
  </w:style>
  <w:style w:type="paragraph" w:styleId="CommentText">
    <w:name w:val="annotation text"/>
    <w:basedOn w:val="Normal"/>
    <w:link w:val="CommentTextChar"/>
    <w:uiPriority w:val="99"/>
    <w:semiHidden/>
    <w:unhideWhenUsed/>
    <w:rsid w:val="00FE1ED6"/>
    <w:pPr>
      <w:spacing w:line="240" w:lineRule="auto"/>
    </w:pPr>
    <w:rPr>
      <w:sz w:val="20"/>
      <w:szCs w:val="20"/>
    </w:rPr>
  </w:style>
  <w:style w:type="character" w:customStyle="1" w:styleId="CommentTextChar">
    <w:name w:val="Comment Text Char"/>
    <w:basedOn w:val="DefaultParagraphFont"/>
    <w:link w:val="CommentText"/>
    <w:uiPriority w:val="99"/>
    <w:semiHidden/>
    <w:rsid w:val="00FE1ED6"/>
    <w:rPr>
      <w:sz w:val="20"/>
      <w:szCs w:val="20"/>
    </w:rPr>
  </w:style>
  <w:style w:type="paragraph" w:styleId="CommentSubject">
    <w:name w:val="annotation subject"/>
    <w:basedOn w:val="CommentText"/>
    <w:next w:val="CommentText"/>
    <w:link w:val="CommentSubjectChar"/>
    <w:uiPriority w:val="99"/>
    <w:semiHidden/>
    <w:unhideWhenUsed/>
    <w:rsid w:val="00FE1ED6"/>
    <w:rPr>
      <w:b/>
      <w:bCs/>
    </w:rPr>
  </w:style>
  <w:style w:type="character" w:customStyle="1" w:styleId="CommentSubjectChar">
    <w:name w:val="Comment Subject Char"/>
    <w:basedOn w:val="CommentTextChar"/>
    <w:link w:val="CommentSubject"/>
    <w:uiPriority w:val="99"/>
    <w:semiHidden/>
    <w:rsid w:val="00FE1ED6"/>
    <w:rPr>
      <w:b/>
      <w:bCs/>
      <w:sz w:val="20"/>
      <w:szCs w:val="20"/>
    </w:rPr>
  </w:style>
  <w:style w:type="paragraph" w:styleId="Revision">
    <w:name w:val="Revision"/>
    <w:hidden/>
    <w:uiPriority w:val="99"/>
    <w:semiHidden/>
    <w:rsid w:val="00FE1E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16974">
      <w:bodyDiv w:val="1"/>
      <w:marLeft w:val="0"/>
      <w:marRight w:val="0"/>
      <w:marTop w:val="0"/>
      <w:marBottom w:val="0"/>
      <w:divBdr>
        <w:top w:val="none" w:sz="0" w:space="0" w:color="auto"/>
        <w:left w:val="none" w:sz="0" w:space="0" w:color="auto"/>
        <w:bottom w:val="none" w:sz="0" w:space="0" w:color="auto"/>
        <w:right w:val="none" w:sz="0" w:space="0" w:color="auto"/>
      </w:divBdr>
    </w:div>
    <w:div w:id="137764151">
      <w:bodyDiv w:val="1"/>
      <w:marLeft w:val="0"/>
      <w:marRight w:val="0"/>
      <w:marTop w:val="0"/>
      <w:marBottom w:val="0"/>
      <w:divBdr>
        <w:top w:val="none" w:sz="0" w:space="0" w:color="auto"/>
        <w:left w:val="none" w:sz="0" w:space="0" w:color="auto"/>
        <w:bottom w:val="none" w:sz="0" w:space="0" w:color="auto"/>
        <w:right w:val="none" w:sz="0" w:space="0" w:color="auto"/>
      </w:divBdr>
    </w:div>
    <w:div w:id="142089689">
      <w:bodyDiv w:val="1"/>
      <w:marLeft w:val="0"/>
      <w:marRight w:val="0"/>
      <w:marTop w:val="0"/>
      <w:marBottom w:val="0"/>
      <w:divBdr>
        <w:top w:val="none" w:sz="0" w:space="0" w:color="auto"/>
        <w:left w:val="none" w:sz="0" w:space="0" w:color="auto"/>
        <w:bottom w:val="none" w:sz="0" w:space="0" w:color="auto"/>
        <w:right w:val="none" w:sz="0" w:space="0" w:color="auto"/>
      </w:divBdr>
    </w:div>
    <w:div w:id="146089518">
      <w:bodyDiv w:val="1"/>
      <w:marLeft w:val="0"/>
      <w:marRight w:val="0"/>
      <w:marTop w:val="0"/>
      <w:marBottom w:val="0"/>
      <w:divBdr>
        <w:top w:val="none" w:sz="0" w:space="0" w:color="auto"/>
        <w:left w:val="none" w:sz="0" w:space="0" w:color="auto"/>
        <w:bottom w:val="none" w:sz="0" w:space="0" w:color="auto"/>
        <w:right w:val="none" w:sz="0" w:space="0" w:color="auto"/>
      </w:divBdr>
    </w:div>
    <w:div w:id="171069493">
      <w:bodyDiv w:val="1"/>
      <w:marLeft w:val="0"/>
      <w:marRight w:val="0"/>
      <w:marTop w:val="0"/>
      <w:marBottom w:val="0"/>
      <w:divBdr>
        <w:top w:val="none" w:sz="0" w:space="0" w:color="auto"/>
        <w:left w:val="none" w:sz="0" w:space="0" w:color="auto"/>
        <w:bottom w:val="none" w:sz="0" w:space="0" w:color="auto"/>
        <w:right w:val="none" w:sz="0" w:space="0" w:color="auto"/>
      </w:divBdr>
    </w:div>
    <w:div w:id="284040225">
      <w:bodyDiv w:val="1"/>
      <w:marLeft w:val="0"/>
      <w:marRight w:val="0"/>
      <w:marTop w:val="0"/>
      <w:marBottom w:val="0"/>
      <w:divBdr>
        <w:top w:val="none" w:sz="0" w:space="0" w:color="auto"/>
        <w:left w:val="none" w:sz="0" w:space="0" w:color="auto"/>
        <w:bottom w:val="none" w:sz="0" w:space="0" w:color="auto"/>
        <w:right w:val="none" w:sz="0" w:space="0" w:color="auto"/>
      </w:divBdr>
    </w:div>
    <w:div w:id="350884022">
      <w:bodyDiv w:val="1"/>
      <w:marLeft w:val="0"/>
      <w:marRight w:val="0"/>
      <w:marTop w:val="0"/>
      <w:marBottom w:val="0"/>
      <w:divBdr>
        <w:top w:val="none" w:sz="0" w:space="0" w:color="auto"/>
        <w:left w:val="none" w:sz="0" w:space="0" w:color="auto"/>
        <w:bottom w:val="none" w:sz="0" w:space="0" w:color="auto"/>
        <w:right w:val="none" w:sz="0" w:space="0" w:color="auto"/>
      </w:divBdr>
    </w:div>
    <w:div w:id="378632987">
      <w:bodyDiv w:val="1"/>
      <w:marLeft w:val="0"/>
      <w:marRight w:val="0"/>
      <w:marTop w:val="0"/>
      <w:marBottom w:val="0"/>
      <w:divBdr>
        <w:top w:val="none" w:sz="0" w:space="0" w:color="auto"/>
        <w:left w:val="none" w:sz="0" w:space="0" w:color="auto"/>
        <w:bottom w:val="none" w:sz="0" w:space="0" w:color="auto"/>
        <w:right w:val="none" w:sz="0" w:space="0" w:color="auto"/>
      </w:divBdr>
    </w:div>
    <w:div w:id="426317896">
      <w:bodyDiv w:val="1"/>
      <w:marLeft w:val="0"/>
      <w:marRight w:val="0"/>
      <w:marTop w:val="0"/>
      <w:marBottom w:val="0"/>
      <w:divBdr>
        <w:top w:val="none" w:sz="0" w:space="0" w:color="auto"/>
        <w:left w:val="none" w:sz="0" w:space="0" w:color="auto"/>
        <w:bottom w:val="none" w:sz="0" w:space="0" w:color="auto"/>
        <w:right w:val="none" w:sz="0" w:space="0" w:color="auto"/>
      </w:divBdr>
    </w:div>
    <w:div w:id="459691064">
      <w:bodyDiv w:val="1"/>
      <w:marLeft w:val="0"/>
      <w:marRight w:val="0"/>
      <w:marTop w:val="0"/>
      <w:marBottom w:val="0"/>
      <w:divBdr>
        <w:top w:val="none" w:sz="0" w:space="0" w:color="auto"/>
        <w:left w:val="none" w:sz="0" w:space="0" w:color="auto"/>
        <w:bottom w:val="none" w:sz="0" w:space="0" w:color="auto"/>
        <w:right w:val="none" w:sz="0" w:space="0" w:color="auto"/>
      </w:divBdr>
    </w:div>
    <w:div w:id="481435299">
      <w:bodyDiv w:val="1"/>
      <w:marLeft w:val="0"/>
      <w:marRight w:val="0"/>
      <w:marTop w:val="0"/>
      <w:marBottom w:val="0"/>
      <w:divBdr>
        <w:top w:val="none" w:sz="0" w:space="0" w:color="auto"/>
        <w:left w:val="none" w:sz="0" w:space="0" w:color="auto"/>
        <w:bottom w:val="none" w:sz="0" w:space="0" w:color="auto"/>
        <w:right w:val="none" w:sz="0" w:space="0" w:color="auto"/>
      </w:divBdr>
    </w:div>
    <w:div w:id="507642672">
      <w:bodyDiv w:val="1"/>
      <w:marLeft w:val="0"/>
      <w:marRight w:val="0"/>
      <w:marTop w:val="0"/>
      <w:marBottom w:val="0"/>
      <w:divBdr>
        <w:top w:val="none" w:sz="0" w:space="0" w:color="auto"/>
        <w:left w:val="none" w:sz="0" w:space="0" w:color="auto"/>
        <w:bottom w:val="none" w:sz="0" w:space="0" w:color="auto"/>
        <w:right w:val="none" w:sz="0" w:space="0" w:color="auto"/>
      </w:divBdr>
    </w:div>
    <w:div w:id="546798875">
      <w:bodyDiv w:val="1"/>
      <w:marLeft w:val="0"/>
      <w:marRight w:val="0"/>
      <w:marTop w:val="0"/>
      <w:marBottom w:val="0"/>
      <w:divBdr>
        <w:top w:val="none" w:sz="0" w:space="0" w:color="auto"/>
        <w:left w:val="none" w:sz="0" w:space="0" w:color="auto"/>
        <w:bottom w:val="none" w:sz="0" w:space="0" w:color="auto"/>
        <w:right w:val="none" w:sz="0" w:space="0" w:color="auto"/>
      </w:divBdr>
    </w:div>
    <w:div w:id="618495349">
      <w:bodyDiv w:val="1"/>
      <w:marLeft w:val="0"/>
      <w:marRight w:val="0"/>
      <w:marTop w:val="0"/>
      <w:marBottom w:val="0"/>
      <w:divBdr>
        <w:top w:val="none" w:sz="0" w:space="0" w:color="auto"/>
        <w:left w:val="none" w:sz="0" w:space="0" w:color="auto"/>
        <w:bottom w:val="none" w:sz="0" w:space="0" w:color="auto"/>
        <w:right w:val="none" w:sz="0" w:space="0" w:color="auto"/>
      </w:divBdr>
    </w:div>
    <w:div w:id="643197148">
      <w:bodyDiv w:val="1"/>
      <w:marLeft w:val="0"/>
      <w:marRight w:val="0"/>
      <w:marTop w:val="0"/>
      <w:marBottom w:val="0"/>
      <w:divBdr>
        <w:top w:val="none" w:sz="0" w:space="0" w:color="auto"/>
        <w:left w:val="none" w:sz="0" w:space="0" w:color="auto"/>
        <w:bottom w:val="none" w:sz="0" w:space="0" w:color="auto"/>
        <w:right w:val="none" w:sz="0" w:space="0" w:color="auto"/>
      </w:divBdr>
    </w:div>
    <w:div w:id="667178315">
      <w:bodyDiv w:val="1"/>
      <w:marLeft w:val="0"/>
      <w:marRight w:val="0"/>
      <w:marTop w:val="0"/>
      <w:marBottom w:val="0"/>
      <w:divBdr>
        <w:top w:val="none" w:sz="0" w:space="0" w:color="auto"/>
        <w:left w:val="none" w:sz="0" w:space="0" w:color="auto"/>
        <w:bottom w:val="none" w:sz="0" w:space="0" w:color="auto"/>
        <w:right w:val="none" w:sz="0" w:space="0" w:color="auto"/>
      </w:divBdr>
    </w:div>
    <w:div w:id="671182946">
      <w:bodyDiv w:val="1"/>
      <w:marLeft w:val="0"/>
      <w:marRight w:val="0"/>
      <w:marTop w:val="0"/>
      <w:marBottom w:val="0"/>
      <w:divBdr>
        <w:top w:val="none" w:sz="0" w:space="0" w:color="auto"/>
        <w:left w:val="none" w:sz="0" w:space="0" w:color="auto"/>
        <w:bottom w:val="none" w:sz="0" w:space="0" w:color="auto"/>
        <w:right w:val="none" w:sz="0" w:space="0" w:color="auto"/>
      </w:divBdr>
    </w:div>
    <w:div w:id="742680805">
      <w:bodyDiv w:val="1"/>
      <w:marLeft w:val="0"/>
      <w:marRight w:val="0"/>
      <w:marTop w:val="0"/>
      <w:marBottom w:val="0"/>
      <w:divBdr>
        <w:top w:val="none" w:sz="0" w:space="0" w:color="auto"/>
        <w:left w:val="none" w:sz="0" w:space="0" w:color="auto"/>
        <w:bottom w:val="none" w:sz="0" w:space="0" w:color="auto"/>
        <w:right w:val="none" w:sz="0" w:space="0" w:color="auto"/>
      </w:divBdr>
    </w:div>
    <w:div w:id="754739665">
      <w:bodyDiv w:val="1"/>
      <w:marLeft w:val="0"/>
      <w:marRight w:val="0"/>
      <w:marTop w:val="0"/>
      <w:marBottom w:val="0"/>
      <w:divBdr>
        <w:top w:val="none" w:sz="0" w:space="0" w:color="auto"/>
        <w:left w:val="none" w:sz="0" w:space="0" w:color="auto"/>
        <w:bottom w:val="none" w:sz="0" w:space="0" w:color="auto"/>
        <w:right w:val="none" w:sz="0" w:space="0" w:color="auto"/>
      </w:divBdr>
    </w:div>
    <w:div w:id="762066253">
      <w:bodyDiv w:val="1"/>
      <w:marLeft w:val="0"/>
      <w:marRight w:val="0"/>
      <w:marTop w:val="0"/>
      <w:marBottom w:val="0"/>
      <w:divBdr>
        <w:top w:val="none" w:sz="0" w:space="0" w:color="auto"/>
        <w:left w:val="none" w:sz="0" w:space="0" w:color="auto"/>
        <w:bottom w:val="none" w:sz="0" w:space="0" w:color="auto"/>
        <w:right w:val="none" w:sz="0" w:space="0" w:color="auto"/>
      </w:divBdr>
    </w:div>
    <w:div w:id="915281557">
      <w:bodyDiv w:val="1"/>
      <w:marLeft w:val="0"/>
      <w:marRight w:val="0"/>
      <w:marTop w:val="0"/>
      <w:marBottom w:val="0"/>
      <w:divBdr>
        <w:top w:val="none" w:sz="0" w:space="0" w:color="auto"/>
        <w:left w:val="none" w:sz="0" w:space="0" w:color="auto"/>
        <w:bottom w:val="none" w:sz="0" w:space="0" w:color="auto"/>
        <w:right w:val="none" w:sz="0" w:space="0" w:color="auto"/>
      </w:divBdr>
    </w:div>
    <w:div w:id="1009454225">
      <w:bodyDiv w:val="1"/>
      <w:marLeft w:val="0"/>
      <w:marRight w:val="0"/>
      <w:marTop w:val="0"/>
      <w:marBottom w:val="0"/>
      <w:divBdr>
        <w:top w:val="none" w:sz="0" w:space="0" w:color="auto"/>
        <w:left w:val="none" w:sz="0" w:space="0" w:color="auto"/>
        <w:bottom w:val="none" w:sz="0" w:space="0" w:color="auto"/>
        <w:right w:val="none" w:sz="0" w:space="0" w:color="auto"/>
      </w:divBdr>
    </w:div>
    <w:div w:id="1018896620">
      <w:bodyDiv w:val="1"/>
      <w:marLeft w:val="0"/>
      <w:marRight w:val="0"/>
      <w:marTop w:val="0"/>
      <w:marBottom w:val="0"/>
      <w:divBdr>
        <w:top w:val="none" w:sz="0" w:space="0" w:color="auto"/>
        <w:left w:val="none" w:sz="0" w:space="0" w:color="auto"/>
        <w:bottom w:val="none" w:sz="0" w:space="0" w:color="auto"/>
        <w:right w:val="none" w:sz="0" w:space="0" w:color="auto"/>
      </w:divBdr>
    </w:div>
    <w:div w:id="1031802249">
      <w:bodyDiv w:val="1"/>
      <w:marLeft w:val="0"/>
      <w:marRight w:val="0"/>
      <w:marTop w:val="0"/>
      <w:marBottom w:val="0"/>
      <w:divBdr>
        <w:top w:val="none" w:sz="0" w:space="0" w:color="auto"/>
        <w:left w:val="none" w:sz="0" w:space="0" w:color="auto"/>
        <w:bottom w:val="none" w:sz="0" w:space="0" w:color="auto"/>
        <w:right w:val="none" w:sz="0" w:space="0" w:color="auto"/>
      </w:divBdr>
    </w:div>
    <w:div w:id="1057124413">
      <w:bodyDiv w:val="1"/>
      <w:marLeft w:val="0"/>
      <w:marRight w:val="0"/>
      <w:marTop w:val="0"/>
      <w:marBottom w:val="0"/>
      <w:divBdr>
        <w:top w:val="none" w:sz="0" w:space="0" w:color="auto"/>
        <w:left w:val="none" w:sz="0" w:space="0" w:color="auto"/>
        <w:bottom w:val="none" w:sz="0" w:space="0" w:color="auto"/>
        <w:right w:val="none" w:sz="0" w:space="0" w:color="auto"/>
      </w:divBdr>
    </w:div>
    <w:div w:id="1090855026">
      <w:bodyDiv w:val="1"/>
      <w:marLeft w:val="0"/>
      <w:marRight w:val="0"/>
      <w:marTop w:val="0"/>
      <w:marBottom w:val="0"/>
      <w:divBdr>
        <w:top w:val="none" w:sz="0" w:space="0" w:color="auto"/>
        <w:left w:val="none" w:sz="0" w:space="0" w:color="auto"/>
        <w:bottom w:val="none" w:sz="0" w:space="0" w:color="auto"/>
        <w:right w:val="none" w:sz="0" w:space="0" w:color="auto"/>
      </w:divBdr>
    </w:div>
    <w:div w:id="1115253609">
      <w:bodyDiv w:val="1"/>
      <w:marLeft w:val="0"/>
      <w:marRight w:val="0"/>
      <w:marTop w:val="0"/>
      <w:marBottom w:val="0"/>
      <w:divBdr>
        <w:top w:val="none" w:sz="0" w:space="0" w:color="auto"/>
        <w:left w:val="none" w:sz="0" w:space="0" w:color="auto"/>
        <w:bottom w:val="none" w:sz="0" w:space="0" w:color="auto"/>
        <w:right w:val="none" w:sz="0" w:space="0" w:color="auto"/>
      </w:divBdr>
    </w:div>
    <w:div w:id="1123422171">
      <w:bodyDiv w:val="1"/>
      <w:marLeft w:val="0"/>
      <w:marRight w:val="0"/>
      <w:marTop w:val="0"/>
      <w:marBottom w:val="0"/>
      <w:divBdr>
        <w:top w:val="none" w:sz="0" w:space="0" w:color="auto"/>
        <w:left w:val="none" w:sz="0" w:space="0" w:color="auto"/>
        <w:bottom w:val="none" w:sz="0" w:space="0" w:color="auto"/>
        <w:right w:val="none" w:sz="0" w:space="0" w:color="auto"/>
      </w:divBdr>
    </w:div>
    <w:div w:id="1145077349">
      <w:bodyDiv w:val="1"/>
      <w:marLeft w:val="0"/>
      <w:marRight w:val="0"/>
      <w:marTop w:val="0"/>
      <w:marBottom w:val="0"/>
      <w:divBdr>
        <w:top w:val="none" w:sz="0" w:space="0" w:color="auto"/>
        <w:left w:val="none" w:sz="0" w:space="0" w:color="auto"/>
        <w:bottom w:val="none" w:sz="0" w:space="0" w:color="auto"/>
        <w:right w:val="none" w:sz="0" w:space="0" w:color="auto"/>
      </w:divBdr>
    </w:div>
    <w:div w:id="1194659984">
      <w:bodyDiv w:val="1"/>
      <w:marLeft w:val="0"/>
      <w:marRight w:val="0"/>
      <w:marTop w:val="0"/>
      <w:marBottom w:val="0"/>
      <w:divBdr>
        <w:top w:val="none" w:sz="0" w:space="0" w:color="auto"/>
        <w:left w:val="none" w:sz="0" w:space="0" w:color="auto"/>
        <w:bottom w:val="none" w:sz="0" w:space="0" w:color="auto"/>
        <w:right w:val="none" w:sz="0" w:space="0" w:color="auto"/>
      </w:divBdr>
    </w:div>
    <w:div w:id="1223639407">
      <w:bodyDiv w:val="1"/>
      <w:marLeft w:val="0"/>
      <w:marRight w:val="0"/>
      <w:marTop w:val="0"/>
      <w:marBottom w:val="0"/>
      <w:divBdr>
        <w:top w:val="none" w:sz="0" w:space="0" w:color="auto"/>
        <w:left w:val="none" w:sz="0" w:space="0" w:color="auto"/>
        <w:bottom w:val="none" w:sz="0" w:space="0" w:color="auto"/>
        <w:right w:val="none" w:sz="0" w:space="0" w:color="auto"/>
      </w:divBdr>
    </w:div>
    <w:div w:id="1238858096">
      <w:bodyDiv w:val="1"/>
      <w:marLeft w:val="0"/>
      <w:marRight w:val="0"/>
      <w:marTop w:val="0"/>
      <w:marBottom w:val="0"/>
      <w:divBdr>
        <w:top w:val="none" w:sz="0" w:space="0" w:color="auto"/>
        <w:left w:val="none" w:sz="0" w:space="0" w:color="auto"/>
        <w:bottom w:val="none" w:sz="0" w:space="0" w:color="auto"/>
        <w:right w:val="none" w:sz="0" w:space="0" w:color="auto"/>
      </w:divBdr>
    </w:div>
    <w:div w:id="1251545347">
      <w:bodyDiv w:val="1"/>
      <w:marLeft w:val="0"/>
      <w:marRight w:val="0"/>
      <w:marTop w:val="0"/>
      <w:marBottom w:val="0"/>
      <w:divBdr>
        <w:top w:val="none" w:sz="0" w:space="0" w:color="auto"/>
        <w:left w:val="none" w:sz="0" w:space="0" w:color="auto"/>
        <w:bottom w:val="none" w:sz="0" w:space="0" w:color="auto"/>
        <w:right w:val="none" w:sz="0" w:space="0" w:color="auto"/>
      </w:divBdr>
    </w:div>
    <w:div w:id="126838781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408185881">
      <w:bodyDiv w:val="1"/>
      <w:marLeft w:val="0"/>
      <w:marRight w:val="0"/>
      <w:marTop w:val="0"/>
      <w:marBottom w:val="0"/>
      <w:divBdr>
        <w:top w:val="none" w:sz="0" w:space="0" w:color="auto"/>
        <w:left w:val="none" w:sz="0" w:space="0" w:color="auto"/>
        <w:bottom w:val="none" w:sz="0" w:space="0" w:color="auto"/>
        <w:right w:val="none" w:sz="0" w:space="0" w:color="auto"/>
      </w:divBdr>
    </w:div>
    <w:div w:id="1443763679">
      <w:bodyDiv w:val="1"/>
      <w:marLeft w:val="0"/>
      <w:marRight w:val="0"/>
      <w:marTop w:val="0"/>
      <w:marBottom w:val="0"/>
      <w:divBdr>
        <w:top w:val="none" w:sz="0" w:space="0" w:color="auto"/>
        <w:left w:val="none" w:sz="0" w:space="0" w:color="auto"/>
        <w:bottom w:val="none" w:sz="0" w:space="0" w:color="auto"/>
        <w:right w:val="none" w:sz="0" w:space="0" w:color="auto"/>
      </w:divBdr>
    </w:div>
    <w:div w:id="1443838191">
      <w:bodyDiv w:val="1"/>
      <w:marLeft w:val="0"/>
      <w:marRight w:val="0"/>
      <w:marTop w:val="0"/>
      <w:marBottom w:val="0"/>
      <w:divBdr>
        <w:top w:val="none" w:sz="0" w:space="0" w:color="auto"/>
        <w:left w:val="none" w:sz="0" w:space="0" w:color="auto"/>
        <w:bottom w:val="none" w:sz="0" w:space="0" w:color="auto"/>
        <w:right w:val="none" w:sz="0" w:space="0" w:color="auto"/>
      </w:divBdr>
    </w:div>
    <w:div w:id="1535120506">
      <w:bodyDiv w:val="1"/>
      <w:marLeft w:val="0"/>
      <w:marRight w:val="0"/>
      <w:marTop w:val="0"/>
      <w:marBottom w:val="0"/>
      <w:divBdr>
        <w:top w:val="none" w:sz="0" w:space="0" w:color="auto"/>
        <w:left w:val="none" w:sz="0" w:space="0" w:color="auto"/>
        <w:bottom w:val="none" w:sz="0" w:space="0" w:color="auto"/>
        <w:right w:val="none" w:sz="0" w:space="0" w:color="auto"/>
      </w:divBdr>
    </w:div>
    <w:div w:id="1655184771">
      <w:bodyDiv w:val="1"/>
      <w:marLeft w:val="0"/>
      <w:marRight w:val="0"/>
      <w:marTop w:val="0"/>
      <w:marBottom w:val="0"/>
      <w:divBdr>
        <w:top w:val="none" w:sz="0" w:space="0" w:color="auto"/>
        <w:left w:val="none" w:sz="0" w:space="0" w:color="auto"/>
        <w:bottom w:val="none" w:sz="0" w:space="0" w:color="auto"/>
        <w:right w:val="none" w:sz="0" w:space="0" w:color="auto"/>
      </w:divBdr>
    </w:div>
    <w:div w:id="1819571991">
      <w:bodyDiv w:val="1"/>
      <w:marLeft w:val="0"/>
      <w:marRight w:val="0"/>
      <w:marTop w:val="0"/>
      <w:marBottom w:val="0"/>
      <w:divBdr>
        <w:top w:val="none" w:sz="0" w:space="0" w:color="auto"/>
        <w:left w:val="none" w:sz="0" w:space="0" w:color="auto"/>
        <w:bottom w:val="none" w:sz="0" w:space="0" w:color="auto"/>
        <w:right w:val="none" w:sz="0" w:space="0" w:color="auto"/>
      </w:divBdr>
    </w:div>
    <w:div w:id="1937127944">
      <w:bodyDiv w:val="1"/>
      <w:marLeft w:val="0"/>
      <w:marRight w:val="0"/>
      <w:marTop w:val="0"/>
      <w:marBottom w:val="0"/>
      <w:divBdr>
        <w:top w:val="none" w:sz="0" w:space="0" w:color="auto"/>
        <w:left w:val="none" w:sz="0" w:space="0" w:color="auto"/>
        <w:bottom w:val="none" w:sz="0" w:space="0" w:color="auto"/>
        <w:right w:val="none" w:sz="0" w:space="0" w:color="auto"/>
      </w:divBdr>
    </w:div>
    <w:div w:id="1958827160">
      <w:bodyDiv w:val="1"/>
      <w:marLeft w:val="0"/>
      <w:marRight w:val="0"/>
      <w:marTop w:val="0"/>
      <w:marBottom w:val="0"/>
      <w:divBdr>
        <w:top w:val="none" w:sz="0" w:space="0" w:color="auto"/>
        <w:left w:val="none" w:sz="0" w:space="0" w:color="auto"/>
        <w:bottom w:val="none" w:sz="0" w:space="0" w:color="auto"/>
        <w:right w:val="none" w:sz="0" w:space="0" w:color="auto"/>
      </w:divBdr>
    </w:div>
    <w:div w:id="1981305217">
      <w:bodyDiv w:val="1"/>
      <w:marLeft w:val="0"/>
      <w:marRight w:val="0"/>
      <w:marTop w:val="0"/>
      <w:marBottom w:val="0"/>
      <w:divBdr>
        <w:top w:val="none" w:sz="0" w:space="0" w:color="auto"/>
        <w:left w:val="none" w:sz="0" w:space="0" w:color="auto"/>
        <w:bottom w:val="none" w:sz="0" w:space="0" w:color="auto"/>
        <w:right w:val="none" w:sz="0" w:space="0" w:color="auto"/>
      </w:divBdr>
    </w:div>
    <w:div w:id="2055078535">
      <w:bodyDiv w:val="1"/>
      <w:marLeft w:val="0"/>
      <w:marRight w:val="0"/>
      <w:marTop w:val="0"/>
      <w:marBottom w:val="0"/>
      <w:divBdr>
        <w:top w:val="none" w:sz="0" w:space="0" w:color="auto"/>
        <w:left w:val="none" w:sz="0" w:space="0" w:color="auto"/>
        <w:bottom w:val="none" w:sz="0" w:space="0" w:color="auto"/>
        <w:right w:val="none" w:sz="0" w:space="0" w:color="auto"/>
      </w:divBdr>
    </w:div>
    <w:div w:id="2063170621">
      <w:bodyDiv w:val="1"/>
      <w:marLeft w:val="0"/>
      <w:marRight w:val="0"/>
      <w:marTop w:val="0"/>
      <w:marBottom w:val="0"/>
      <w:divBdr>
        <w:top w:val="none" w:sz="0" w:space="0" w:color="auto"/>
        <w:left w:val="none" w:sz="0" w:space="0" w:color="auto"/>
        <w:bottom w:val="none" w:sz="0" w:space="0" w:color="auto"/>
        <w:right w:val="none" w:sz="0" w:space="0" w:color="auto"/>
      </w:divBdr>
    </w:div>
    <w:div w:id="2108455961">
      <w:bodyDiv w:val="1"/>
      <w:marLeft w:val="0"/>
      <w:marRight w:val="0"/>
      <w:marTop w:val="0"/>
      <w:marBottom w:val="0"/>
      <w:divBdr>
        <w:top w:val="none" w:sz="0" w:space="0" w:color="auto"/>
        <w:left w:val="none" w:sz="0" w:space="0" w:color="auto"/>
        <w:bottom w:val="none" w:sz="0" w:space="0" w:color="auto"/>
        <w:right w:val="none" w:sz="0" w:space="0" w:color="auto"/>
      </w:divBdr>
    </w:div>
    <w:div w:id="212087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uloi.tasz.hu/englis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2D052-02CB-4B25-B0B1-04BA144F4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3258</Words>
  <Characters>18572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_</vt:lpstr>
    </vt:vector>
  </TitlesOfParts>
  <Company>University of Kent</Company>
  <LinksUpToDate>false</LinksUpToDate>
  <CharactersWithSpaces>21787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Owner</dc:creator>
  <cp:keywords/>
  <cp:lastModifiedBy>Owner</cp:lastModifiedBy>
  <cp:revision>4</cp:revision>
  <dcterms:created xsi:type="dcterms:W3CDTF">2017-04-06T12:09:00Z</dcterms:created>
  <dcterms:modified xsi:type="dcterms:W3CDTF">2017-04-06T12:11:00Z</dcterms:modified>
</cp:coreProperties>
</file>