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33CEB" w14:textId="600009CE" w:rsidR="007274E7" w:rsidRDefault="00BE6C68">
      <w:pPr>
        <w:rPr>
          <w:b/>
        </w:rPr>
      </w:pPr>
      <w:r>
        <w:rPr>
          <w:b/>
        </w:rPr>
        <w:t xml:space="preserve">Painterly </w:t>
      </w:r>
      <w:r w:rsidRPr="00BE6C68">
        <w:rPr>
          <w:b/>
          <w:i/>
        </w:rPr>
        <w:t>and</w:t>
      </w:r>
      <w:r w:rsidR="000C5C47">
        <w:rPr>
          <w:b/>
        </w:rPr>
        <w:t xml:space="preserve"> Planar:</w:t>
      </w:r>
      <w:r>
        <w:rPr>
          <w:b/>
        </w:rPr>
        <w:t xml:space="preserve"> </w:t>
      </w:r>
      <w:proofErr w:type="spellStart"/>
      <w:r w:rsidR="00F76D1F">
        <w:rPr>
          <w:b/>
        </w:rPr>
        <w:t>W</w:t>
      </w:r>
      <w:r w:rsidR="00E333C6" w:rsidRPr="00E333C6">
        <w:rPr>
          <w:b/>
        </w:rPr>
        <w:t>ö</w:t>
      </w:r>
      <w:r w:rsidR="00F76D1F" w:rsidRPr="00E333C6">
        <w:rPr>
          <w:b/>
        </w:rPr>
        <w:t>lf</w:t>
      </w:r>
      <w:r w:rsidR="00F76D1F">
        <w:rPr>
          <w:b/>
        </w:rPr>
        <w:t>flinian</w:t>
      </w:r>
      <w:proofErr w:type="spellEnd"/>
      <w:r w:rsidR="00F76D1F">
        <w:rPr>
          <w:b/>
        </w:rPr>
        <w:t xml:space="preserve"> analysis b</w:t>
      </w:r>
      <w:r w:rsidR="007274E7">
        <w:rPr>
          <w:b/>
        </w:rPr>
        <w:t xml:space="preserve">eyond Classical and Baroque </w:t>
      </w:r>
    </w:p>
    <w:p w14:paraId="427D40D4" w14:textId="77777777" w:rsidR="00A15136" w:rsidRDefault="00A15136">
      <w:pPr>
        <w:rPr>
          <w:b/>
        </w:rPr>
      </w:pPr>
    </w:p>
    <w:p w14:paraId="6C467CC0" w14:textId="73F23F14" w:rsidR="00177CD7" w:rsidRDefault="00177CD7">
      <w:pPr>
        <w:rPr>
          <w:b/>
        </w:rPr>
      </w:pPr>
      <w:r>
        <w:rPr>
          <w:b/>
        </w:rPr>
        <w:t xml:space="preserve">Michael Newall </w:t>
      </w:r>
    </w:p>
    <w:p w14:paraId="5B3F5CC2" w14:textId="77777777" w:rsidR="00093D2F" w:rsidRDefault="00093D2F" w:rsidP="00B64E8C"/>
    <w:p w14:paraId="289454C4" w14:textId="43184FDC" w:rsidR="002F02C0" w:rsidRPr="002F02C0" w:rsidRDefault="002F02C0" w:rsidP="00B64E8C">
      <w:pPr>
        <w:rPr>
          <w:b/>
        </w:rPr>
      </w:pPr>
      <w:r w:rsidRPr="002F02C0">
        <w:rPr>
          <w:b/>
        </w:rPr>
        <w:t>Introduction</w:t>
      </w:r>
    </w:p>
    <w:p w14:paraId="04B214CF" w14:textId="77777777" w:rsidR="000044AC" w:rsidRDefault="000044AC" w:rsidP="000044AC"/>
    <w:p w14:paraId="4092177D" w14:textId="77777777" w:rsidR="000044AC" w:rsidRPr="00B97131" w:rsidRDefault="000044AC" w:rsidP="000044AC">
      <w:r w:rsidRPr="00B97131">
        <w:t>In the</w:t>
      </w:r>
      <w:r>
        <w:t xml:space="preserve"> early editions of </w:t>
      </w:r>
      <w:r w:rsidRPr="00816B37">
        <w:rPr>
          <w:i/>
        </w:rPr>
        <w:t>Principles of Art History</w:t>
      </w:r>
      <w:r>
        <w:t xml:space="preserve">, </w:t>
      </w:r>
      <w:proofErr w:type="spellStart"/>
      <w:r w:rsidRPr="00DD11BC">
        <w:t>Wölfflin</w:t>
      </w:r>
      <w:proofErr w:type="spellEnd"/>
      <w:r>
        <w:t xml:space="preserve"> included the following passage in the preface.</w:t>
      </w:r>
    </w:p>
    <w:p w14:paraId="3F9BEB01" w14:textId="77777777" w:rsidR="000044AC" w:rsidRDefault="000044AC" w:rsidP="000044AC"/>
    <w:p w14:paraId="5B9361F9" w14:textId="2A1C8284" w:rsidR="000044AC" w:rsidRDefault="000044AC" w:rsidP="000044AC">
      <w:pPr>
        <w:pStyle w:val="FootnoteText"/>
        <w:ind w:left="567" w:right="567"/>
      </w:pPr>
      <w:r>
        <w:t xml:space="preserve">Nothing marks so clearly the opposition between the art of the past and the art of today as the unity of visual forms then and the multiplicity of visual forms now. </w:t>
      </w:r>
      <w:r w:rsidR="00094B0F">
        <w:t xml:space="preserve"> </w:t>
      </w:r>
      <w:r>
        <w:t>In a manner unprecedented in the history of art, the most contradictory [tendencies] seem to be compatible with each other … But the loss of vitality compared to the one-sided strength of earlier epochs is immeasurable.</w:t>
      </w:r>
      <w:r>
        <w:rPr>
          <w:rStyle w:val="FootnoteReference"/>
        </w:rPr>
        <w:footnoteReference w:id="1"/>
      </w:r>
    </w:p>
    <w:p w14:paraId="40227AC7" w14:textId="77777777" w:rsidR="000044AC" w:rsidRDefault="000044AC" w:rsidP="000044AC"/>
    <w:p w14:paraId="60BD3A2B" w14:textId="74BA0F95" w:rsidR="00BD63D9" w:rsidRDefault="000044AC" w:rsidP="00772A2F">
      <w:r>
        <w:t xml:space="preserve">By the unity of visual forms, </w:t>
      </w:r>
      <w:r w:rsidR="00D40A95">
        <w:t xml:space="preserve">I take it that </w:t>
      </w:r>
      <w:proofErr w:type="spellStart"/>
      <w:r w:rsidRPr="00DD11BC">
        <w:t>Wölfflin</w:t>
      </w:r>
      <w:proofErr w:type="spellEnd"/>
      <w:r>
        <w:t xml:space="preserve"> means, or at least includes, the coincidence of </w:t>
      </w:r>
      <w:r w:rsidR="004A1F7D">
        <w:t>th</w:t>
      </w:r>
      <w:r w:rsidR="00EB59AE">
        <w:t>os</w:t>
      </w:r>
      <w:r w:rsidR="004A1F7D">
        <w:t>e</w:t>
      </w:r>
      <w:r>
        <w:t xml:space="preserve"> </w:t>
      </w:r>
      <w:r w:rsidR="00EB59AE">
        <w:t xml:space="preserve">general </w:t>
      </w:r>
      <w:r w:rsidR="00C76561">
        <w:t>representational forms, or concepts as he more often called them,</w:t>
      </w:r>
      <w:r w:rsidR="00F214C3">
        <w:t xml:space="preserve"> which</w:t>
      </w:r>
      <w:r w:rsidR="004A1F7D">
        <w:t xml:space="preserve"> he found typical of</w:t>
      </w:r>
      <w:r>
        <w:t xml:space="preserve"> </w:t>
      </w:r>
      <w:r w:rsidR="00CE6FD7">
        <w:t>sixteenth century Renaissance</w:t>
      </w:r>
      <w:r w:rsidR="00FF4E3C">
        <w:t xml:space="preserve">, </w:t>
      </w:r>
      <w:r w:rsidR="00772A2F">
        <w:t xml:space="preserve">‘Classical’ </w:t>
      </w:r>
      <w:r w:rsidR="00C8289A">
        <w:t>art</w:t>
      </w:r>
      <w:r w:rsidR="00772A2F">
        <w:t>,</w:t>
      </w:r>
      <w:r w:rsidR="00C8289A">
        <w:t xml:space="preserve"> </w:t>
      </w:r>
      <w:r w:rsidR="00CE6FD7">
        <w:t xml:space="preserve">and of those he found </w:t>
      </w:r>
      <w:r w:rsidR="00CE6FD7" w:rsidRPr="00F33396">
        <w:t>typical of Baroque</w:t>
      </w:r>
      <w:r w:rsidR="006D51EB" w:rsidRPr="00F33396">
        <w:t xml:space="preserve"> </w:t>
      </w:r>
      <w:r w:rsidRPr="00F33396">
        <w:t>seventeenth century art.</w:t>
      </w:r>
      <w:r w:rsidR="00EB59AE" w:rsidRPr="00F33396">
        <w:rPr>
          <w:rStyle w:val="FootnoteReference"/>
        </w:rPr>
        <w:footnoteReference w:id="2"/>
      </w:r>
      <w:r w:rsidR="00EB59AE" w:rsidRPr="00F33396">
        <w:t xml:space="preserve"> </w:t>
      </w:r>
      <w:r w:rsidR="00076F0C">
        <w:t>By contrast, t</w:t>
      </w:r>
      <w:r w:rsidR="00F33396">
        <w:t>he art of his time</w:t>
      </w:r>
      <w:r w:rsidR="00565059">
        <w:t xml:space="preserve"> (he was perhaps</w:t>
      </w:r>
      <w:r w:rsidR="00076F0C">
        <w:t xml:space="preserve"> thinking of the eclecticism of Salon art at least as much as early Modernism) </w:t>
      </w:r>
      <w:r w:rsidR="007252D4">
        <w:t>combine</w:t>
      </w:r>
      <w:r w:rsidR="00076F0C">
        <w:t>s</w:t>
      </w:r>
      <w:r w:rsidR="00F33396">
        <w:t xml:space="preserve"> in a “confusing jumble”</w:t>
      </w:r>
      <w:r w:rsidR="00EB59AE">
        <w:t xml:space="preserve"> the Classical and Baroque concepts</w:t>
      </w:r>
      <w:r w:rsidR="007252D4">
        <w:t>.</w:t>
      </w:r>
      <w:r w:rsidR="00F33396">
        <w:rPr>
          <w:rStyle w:val="FootnoteReference"/>
        </w:rPr>
        <w:footnoteReference w:id="3"/>
      </w:r>
    </w:p>
    <w:p w14:paraId="28BFF67D" w14:textId="77777777" w:rsidR="007252D4" w:rsidRDefault="007252D4" w:rsidP="007252D4"/>
    <w:p w14:paraId="31ECBDBD" w14:textId="210A7E9A" w:rsidR="00565059" w:rsidRDefault="00F33396" w:rsidP="00565059">
      <w:proofErr w:type="spellStart"/>
      <w:r>
        <w:t>W</w:t>
      </w:r>
      <w:r w:rsidR="00E333C6">
        <w:t>ö</w:t>
      </w:r>
      <w:r>
        <w:t>lfflin’s</w:t>
      </w:r>
      <w:proofErr w:type="spellEnd"/>
      <w:r>
        <w:t xml:space="preserve"> remarks raise two </w:t>
      </w:r>
      <w:r w:rsidRPr="00093D2F">
        <w:t xml:space="preserve">questions </w:t>
      </w:r>
      <w:r w:rsidR="00F91F10">
        <w:t>that</w:t>
      </w:r>
      <w:r w:rsidRPr="00093D2F">
        <w:t xml:space="preserve"> this article addresses. First, </w:t>
      </w:r>
      <w:r w:rsidR="004C6C61" w:rsidRPr="00093D2F">
        <w:t>what</w:t>
      </w:r>
      <w:r w:rsidRPr="00093D2F">
        <w:t xml:space="preserve"> links the concepts into Classical and Baroque groupings, beyond their historical coincidence</w:t>
      </w:r>
      <w:r w:rsidR="004C6C61" w:rsidRPr="00093D2F">
        <w:t xml:space="preserve">? Second, </w:t>
      </w:r>
      <w:r w:rsidR="00565059" w:rsidRPr="00093D2F">
        <w:t>what happens when Classical and Baroque combinations of concepts appear together</w:t>
      </w:r>
      <w:r w:rsidR="00F5562F" w:rsidRPr="00093D2F">
        <w:t xml:space="preserve"> – and in what</w:t>
      </w:r>
      <w:r w:rsidR="00F5562F">
        <w:t xml:space="preserve"> sense if any are they contradictory</w:t>
      </w:r>
      <w:r w:rsidR="00565059">
        <w:t xml:space="preserve">? </w:t>
      </w:r>
      <w:proofErr w:type="spellStart"/>
      <w:r w:rsidR="00565059">
        <w:t>W</w:t>
      </w:r>
      <w:r w:rsidR="00E333C6">
        <w:t>ö</w:t>
      </w:r>
      <w:r w:rsidR="00565059">
        <w:t>lfflin</w:t>
      </w:r>
      <w:proofErr w:type="spellEnd"/>
      <w:r w:rsidR="00565059">
        <w:t xml:space="preserve"> doesn’t write of these</w:t>
      </w:r>
      <w:r w:rsidR="004C6C61">
        <w:t xml:space="preserve"> at all,</w:t>
      </w:r>
      <w:r w:rsidR="00565059">
        <w:t xml:space="preserve"> </w:t>
      </w:r>
      <w:r w:rsidR="004C6C61">
        <w:t>since f</w:t>
      </w:r>
      <w:r w:rsidR="00565059">
        <w:t xml:space="preserve">rom his point of view they </w:t>
      </w:r>
      <w:r w:rsidR="004C6C61">
        <w:t xml:space="preserve">obscure rather than </w:t>
      </w:r>
      <w:r w:rsidR="00565059">
        <w:t xml:space="preserve">illuminate the grand movement between Classical and </w:t>
      </w:r>
      <w:proofErr w:type="gramStart"/>
      <w:r w:rsidR="00565059">
        <w:t>Baroque which</w:t>
      </w:r>
      <w:proofErr w:type="gramEnd"/>
      <w:r w:rsidR="00565059">
        <w:t xml:space="preserve"> he saw as central to art history.</w:t>
      </w:r>
      <w:r w:rsidR="00F5562F">
        <w:t xml:space="preserve"> Reading </w:t>
      </w:r>
      <w:r w:rsidR="00F5562F" w:rsidRPr="00F5562F">
        <w:rPr>
          <w:i/>
        </w:rPr>
        <w:t>Principles of Art History</w:t>
      </w:r>
      <w:r w:rsidR="00F5562F">
        <w:t>, one might have the im</w:t>
      </w:r>
      <w:r w:rsidR="00384F9C">
        <w:t>pression that they do not exist</w:t>
      </w:r>
      <w:r w:rsidR="00F76D1F">
        <w:t>;</w:t>
      </w:r>
      <w:r w:rsidR="00F5562F">
        <w:t xml:space="preserve"> but they do, having a presence throughout post-Renaissance European art. Mor</w:t>
      </w:r>
      <w:r w:rsidR="00384F9C">
        <w:t>eov</w:t>
      </w:r>
      <w:r w:rsidR="00F5562F">
        <w:t>er, we shall see that</w:t>
      </w:r>
      <w:r w:rsidR="00384F9C">
        <w:t xml:space="preserve"> applying </w:t>
      </w:r>
      <w:proofErr w:type="spellStart"/>
      <w:r w:rsidR="00384F9C">
        <w:t>W</w:t>
      </w:r>
      <w:r w:rsidR="00E333C6">
        <w:t>ö</w:t>
      </w:r>
      <w:r w:rsidR="00384F9C">
        <w:t>lfflin’s</w:t>
      </w:r>
      <w:proofErr w:type="spellEnd"/>
      <w:r w:rsidR="00384F9C">
        <w:t xml:space="preserve"> concepts to these works illuminates them in significant and unexpected ways. This analysis</w:t>
      </w:r>
      <w:r w:rsidR="00F5562F">
        <w:t xml:space="preserve"> </w:t>
      </w:r>
      <w:r w:rsidR="00384F9C">
        <w:t xml:space="preserve">will </w:t>
      </w:r>
      <w:r w:rsidR="00C759C4">
        <w:t>also give</w:t>
      </w:r>
      <w:r w:rsidR="00F5562F">
        <w:t xml:space="preserve"> a new approach to understanding </w:t>
      </w:r>
      <w:proofErr w:type="spellStart"/>
      <w:r w:rsidR="00F5562F">
        <w:t>W</w:t>
      </w:r>
      <w:r w:rsidR="00E333C6">
        <w:t>ö</w:t>
      </w:r>
      <w:r w:rsidR="00384F9C">
        <w:t>lfflin’s</w:t>
      </w:r>
      <w:proofErr w:type="spellEnd"/>
      <w:r w:rsidR="00384F9C">
        <w:t xml:space="preserve"> concepts, and provide</w:t>
      </w:r>
      <w:r w:rsidR="00F5562F">
        <w:t xml:space="preserve"> the resources for understanding the Classical and Baroque groupings of the concepts. </w:t>
      </w:r>
    </w:p>
    <w:p w14:paraId="75733DEA" w14:textId="77777777" w:rsidR="00F04812" w:rsidRDefault="00F04812" w:rsidP="00384F9C"/>
    <w:p w14:paraId="0400FC33" w14:textId="0E182B6C" w:rsidR="00093D2F" w:rsidRDefault="00D32BEC" w:rsidP="00093D2F">
      <w:r>
        <w:t>Before starting, there are two points to note about the scope of my project.</w:t>
      </w:r>
      <w:r w:rsidR="00F04812">
        <w:t xml:space="preserve"> First, </w:t>
      </w:r>
      <w:proofErr w:type="spellStart"/>
      <w:r w:rsidR="00F04812" w:rsidRPr="00DD11BC">
        <w:t>Wölfflin</w:t>
      </w:r>
      <w:proofErr w:type="spellEnd"/>
      <w:r w:rsidR="00F04812">
        <w:t xml:space="preserve"> applied his concepts to architecture and sculpture as well as the </w:t>
      </w:r>
      <w:r w:rsidR="00F04812">
        <w:lastRenderedPageBreak/>
        <w:t>pictorial arts – I will be concerne</w:t>
      </w:r>
      <w:r>
        <w:t>d only with the pictorial arts</w:t>
      </w:r>
      <w:r w:rsidR="00F04812">
        <w:t xml:space="preserve">. Second, </w:t>
      </w:r>
      <w:proofErr w:type="spellStart"/>
      <w:r w:rsidR="00FF4E3C">
        <w:t>W</w:t>
      </w:r>
      <w:r w:rsidR="00E333C6">
        <w:t>ö</w:t>
      </w:r>
      <w:r w:rsidR="00FF4E3C">
        <w:t>lfflin</w:t>
      </w:r>
      <w:proofErr w:type="spellEnd"/>
      <w:r w:rsidR="00FF4E3C">
        <w:t xml:space="preserve"> describes </w:t>
      </w:r>
      <w:r>
        <w:t>five</w:t>
      </w:r>
      <w:r w:rsidR="00FF4E3C" w:rsidRPr="00E5770F">
        <w:t xml:space="preserve"> </w:t>
      </w:r>
      <w:r w:rsidR="00FF4E3C">
        <w:t>pairs of concepts. The first of each pair he associated with the Classical, and</w:t>
      </w:r>
      <w:r w:rsidR="00F04812">
        <w:t xml:space="preserve"> the</w:t>
      </w:r>
      <w:r w:rsidR="00FF4E3C">
        <w:t xml:space="preserve"> second with the Baroque</w:t>
      </w:r>
      <w:r w:rsidR="00FF4E3C" w:rsidRPr="00E5770F">
        <w:t>: “linear” and “painterly”, “plane” and “recession”, “closed” and “open”, “multiplicity” and “unity”</w:t>
      </w:r>
      <w:r w:rsidR="001B7A6E">
        <w:t xml:space="preserve"> (of depicted parts, rather than representational forms)</w:t>
      </w:r>
      <w:r w:rsidR="00FF4E3C" w:rsidRPr="00E5770F">
        <w:t>, and “absolute and relative clarity”.</w:t>
      </w:r>
      <w:r w:rsidR="00FF4E3C" w:rsidRPr="00E5770F">
        <w:rPr>
          <w:rStyle w:val="FootnoteReference"/>
        </w:rPr>
        <w:footnoteReference w:id="4"/>
      </w:r>
      <w:r w:rsidR="00FF4E3C" w:rsidRPr="00E5770F">
        <w:t xml:space="preserve"> </w:t>
      </w:r>
      <w:r w:rsidR="001B7A6E">
        <w:t xml:space="preserve">Jason </w:t>
      </w:r>
      <w:proofErr w:type="spellStart"/>
      <w:r w:rsidR="00FF4E3C" w:rsidRPr="00E5770F">
        <w:t>Gaiger’s</w:t>
      </w:r>
      <w:proofErr w:type="spellEnd"/>
      <w:r w:rsidR="00FF4E3C" w:rsidRPr="00E5770F">
        <w:t xml:space="preserve"> reconstruction</w:t>
      </w:r>
      <w:r w:rsidR="00FF4E3C">
        <w:t xml:space="preserve">, drawing on the work of Lambert </w:t>
      </w:r>
      <w:proofErr w:type="spellStart"/>
      <w:r w:rsidR="00FF4E3C">
        <w:t>Wiesing</w:t>
      </w:r>
      <w:proofErr w:type="spellEnd"/>
      <w:r w:rsidR="00FF4E3C">
        <w:t xml:space="preserve"> and others, </w:t>
      </w:r>
      <w:r w:rsidR="00FF4E3C" w:rsidRPr="00E5770F">
        <w:t>eliminates the last two pairs, showing that they are implied by the first three</w:t>
      </w:r>
      <w:r w:rsidR="00FF4E3C" w:rsidRPr="00C571D9">
        <w:t>.</w:t>
      </w:r>
      <w:r w:rsidR="00FF4E3C" w:rsidRPr="00C571D9">
        <w:rPr>
          <w:rStyle w:val="FootnoteReference"/>
        </w:rPr>
        <w:footnoteReference w:id="5"/>
      </w:r>
      <w:r w:rsidR="00FF4E3C" w:rsidRPr="00C571D9">
        <w:t xml:space="preserve"> For reasons of space, I </w:t>
      </w:r>
      <w:r w:rsidR="00F04812">
        <w:t>discuss o</w:t>
      </w:r>
      <w:r w:rsidR="00FF4E3C" w:rsidRPr="00C571D9">
        <w:t>nly on the first two pairs: linear and painterly, and</w:t>
      </w:r>
      <w:r w:rsidR="00FF4E3C">
        <w:t xml:space="preserve"> plane and recession. A longer analysis would draw in “closed” and “open”.</w:t>
      </w:r>
      <w:r w:rsidR="00093D2F" w:rsidRPr="00093D2F">
        <w:t xml:space="preserve"> </w:t>
      </w:r>
    </w:p>
    <w:p w14:paraId="080181E8" w14:textId="77777777" w:rsidR="00093D2F" w:rsidRDefault="00093D2F" w:rsidP="00093D2F"/>
    <w:p w14:paraId="34D7D6D1" w14:textId="6DF2F792" w:rsidR="00093D2F" w:rsidRDefault="00093D2F" w:rsidP="00093D2F">
      <w:proofErr w:type="gramStart"/>
      <w:r>
        <w:t>Sections 1 and 2 examine linear and painterly, and plane and recession, developing an account of them in terms of visual attention.</w:t>
      </w:r>
      <w:proofErr w:type="gramEnd"/>
      <w:r>
        <w:t xml:space="preserve"> In Section 3 this is used to make an analysis of </w:t>
      </w:r>
      <w:proofErr w:type="gramStart"/>
      <w:r>
        <w:t>pictures which</w:t>
      </w:r>
      <w:proofErr w:type="gramEnd"/>
      <w:r>
        <w:t xml:space="preserve"> combine</w:t>
      </w:r>
      <w:r w:rsidR="00C759C4">
        <w:t>s</w:t>
      </w:r>
      <w:r>
        <w:t xml:space="preserve"> Classical and Baroque concepts. This will depend on using visual </w:t>
      </w:r>
      <w:r w:rsidRPr="005673B7">
        <w:t xml:space="preserve">attention to forge connections to a quality that </w:t>
      </w:r>
      <w:proofErr w:type="spellStart"/>
      <w:r w:rsidRPr="005673B7">
        <w:t>Wölfflin</w:t>
      </w:r>
      <w:proofErr w:type="spellEnd"/>
      <w:r w:rsidRPr="005673B7">
        <w:t xml:space="preserve"> held to be outside ‘pure’</w:t>
      </w:r>
      <w:r>
        <w:t xml:space="preserve"> vision: expr</w:t>
      </w:r>
      <w:r w:rsidR="00A77A0D">
        <w:t>ession. Section 4 explains the ‘unity’</w:t>
      </w:r>
      <w:r>
        <w:t xml:space="preserve"> of the Classical and Baroque concepts, and Section</w:t>
      </w:r>
      <w:r w:rsidR="00C759C4">
        <w:t xml:space="preserve"> 5 identifies a limit to</w:t>
      </w:r>
      <w:r>
        <w:t xml:space="preserve"> applications of my approach. </w:t>
      </w:r>
    </w:p>
    <w:p w14:paraId="0C4BE8AE" w14:textId="77777777" w:rsidR="00F04812" w:rsidRDefault="00F04812" w:rsidP="00FF4E3C"/>
    <w:p w14:paraId="480A88C8" w14:textId="3DBBD9A7" w:rsidR="001C20BE" w:rsidRPr="00D32BEC" w:rsidRDefault="00986EE7">
      <w:proofErr w:type="gramStart"/>
      <w:r>
        <w:rPr>
          <w:b/>
        </w:rPr>
        <w:t xml:space="preserve">1. </w:t>
      </w:r>
      <w:r w:rsidR="00B55F90">
        <w:rPr>
          <w:b/>
        </w:rPr>
        <w:t>Linear</w:t>
      </w:r>
      <w:proofErr w:type="gramEnd"/>
      <w:r w:rsidR="00B55F90">
        <w:rPr>
          <w:b/>
        </w:rPr>
        <w:t xml:space="preserve"> and Painterly</w:t>
      </w:r>
    </w:p>
    <w:p w14:paraId="67FCFF25" w14:textId="77777777" w:rsidR="00760EAA" w:rsidRDefault="00760EAA"/>
    <w:p w14:paraId="2333CEA9" w14:textId="563B2BE1" w:rsidR="000454A2" w:rsidRPr="00DA5CE2" w:rsidRDefault="00D75862" w:rsidP="00D75862">
      <w:r w:rsidRPr="00DA5CE2">
        <w:t>Linear style –</w:t>
      </w:r>
      <w:r w:rsidR="00986EE7" w:rsidRPr="00DA5CE2">
        <w:t xml:space="preserve"> as seen in </w:t>
      </w:r>
      <w:r w:rsidRPr="00DA5CE2">
        <w:t xml:space="preserve">sixteenth century </w:t>
      </w:r>
      <w:r w:rsidR="00986EE7" w:rsidRPr="00DA5CE2">
        <w:t xml:space="preserve">painters such as </w:t>
      </w:r>
      <w:proofErr w:type="spellStart"/>
      <w:r w:rsidR="00986EE7" w:rsidRPr="00DA5CE2">
        <w:t>Dürer</w:t>
      </w:r>
      <w:proofErr w:type="spellEnd"/>
      <w:r w:rsidRPr="00DA5CE2">
        <w:t xml:space="preserve">, Raphael and Holbein, to take some of </w:t>
      </w:r>
      <w:proofErr w:type="spellStart"/>
      <w:r w:rsidR="00FE6308" w:rsidRPr="00DA5CE2">
        <w:t>Wölfflin</w:t>
      </w:r>
      <w:r w:rsidRPr="00DA5CE2">
        <w:t>’s</w:t>
      </w:r>
      <w:proofErr w:type="spellEnd"/>
      <w:r w:rsidRPr="00DA5CE2">
        <w:t xml:space="preserve"> </w:t>
      </w:r>
      <w:proofErr w:type="spellStart"/>
      <w:r w:rsidRPr="00DA5CE2">
        <w:t>favourite</w:t>
      </w:r>
      <w:proofErr w:type="spellEnd"/>
      <w:r w:rsidRPr="00DA5CE2">
        <w:t xml:space="preserve"> examples – </w:t>
      </w:r>
      <w:r w:rsidR="000C5C47" w:rsidRPr="00DA5CE2">
        <w:t>tends to delineate</w:t>
      </w:r>
      <w:r w:rsidRPr="00DA5CE2">
        <w:t xml:space="preserve"> the outlines of bodies, whether using actual lines or through unambiguous discontinuities of </w:t>
      </w:r>
      <w:proofErr w:type="spellStart"/>
      <w:r w:rsidRPr="00DA5CE2">
        <w:t>colour</w:t>
      </w:r>
      <w:proofErr w:type="spellEnd"/>
      <w:r w:rsidRPr="00DA5CE2">
        <w:t xml:space="preserve"> and tone between figure and ground. Painterly style, as seen in Rembrandt, Hals and Rubens</w:t>
      </w:r>
      <w:r w:rsidR="003C3113" w:rsidRPr="00DA5CE2">
        <w:t>,</w:t>
      </w:r>
      <w:r w:rsidRPr="00DA5CE2">
        <w:t xml:space="preserve"> treats outlines in a relatively indistinct way, instead focusing attention on the body or mass.</w:t>
      </w:r>
      <w:r w:rsidR="005F1B51" w:rsidRPr="00DA5CE2">
        <w:t xml:space="preserve"> </w:t>
      </w:r>
      <w:proofErr w:type="spellStart"/>
      <w:r w:rsidR="00FE6308" w:rsidRPr="00DA5CE2">
        <w:t>Wölfflin</w:t>
      </w:r>
      <w:proofErr w:type="spellEnd"/>
      <w:r w:rsidR="005F1B51" w:rsidRPr="00DA5CE2">
        <w:t xml:space="preserve"> founds this d</w:t>
      </w:r>
      <w:r w:rsidR="00D30928" w:rsidRPr="00DA5CE2">
        <w:t>istinction</w:t>
      </w:r>
      <w:r w:rsidRPr="00DA5CE2">
        <w:t>,</w:t>
      </w:r>
      <w:r w:rsidR="00765991" w:rsidRPr="00DA5CE2">
        <w:t xml:space="preserve"> as he does his other concepts</w:t>
      </w:r>
      <w:r w:rsidRPr="00DA5CE2">
        <w:t>,</w:t>
      </w:r>
      <w:r w:rsidR="00765991" w:rsidRPr="00DA5CE2">
        <w:t xml:space="preserve"> </w:t>
      </w:r>
      <w:r w:rsidRPr="00DA5CE2">
        <w:t>i</w:t>
      </w:r>
      <w:r w:rsidR="00765991" w:rsidRPr="00DA5CE2">
        <w:t>n terms of vision.</w:t>
      </w:r>
      <w:r w:rsidR="000C5C47" w:rsidRPr="00DA5CE2">
        <w:rPr>
          <w:rStyle w:val="FootnoteReference"/>
        </w:rPr>
        <w:footnoteReference w:id="6"/>
      </w:r>
      <w:r w:rsidR="00765991" w:rsidRPr="00DA5CE2">
        <w:t xml:space="preserve"> </w:t>
      </w:r>
      <w:r w:rsidRPr="00DA5CE2">
        <w:t>The l</w:t>
      </w:r>
      <w:r w:rsidR="00D30928" w:rsidRPr="00DA5CE2">
        <w:t>inear and painterly styles registe</w:t>
      </w:r>
      <w:r w:rsidR="000454A2" w:rsidRPr="00DA5CE2">
        <w:t>r and communicate corresponding kinds of vision. As he puts it, “linear style sees in line, painterly in masses.”</w:t>
      </w:r>
      <w:r w:rsidR="000454A2" w:rsidRPr="00DA5CE2">
        <w:rPr>
          <w:rStyle w:val="FootnoteReference"/>
        </w:rPr>
        <w:footnoteReference w:id="7"/>
      </w:r>
      <w:r w:rsidR="000454A2" w:rsidRPr="00DA5CE2">
        <w:t xml:space="preserve"> He goes on:</w:t>
      </w:r>
    </w:p>
    <w:p w14:paraId="346B85BE" w14:textId="77777777" w:rsidR="00F569CD" w:rsidRPr="00DA5CE2" w:rsidRDefault="00F569CD" w:rsidP="00F569CD">
      <w:pPr>
        <w:ind w:left="567" w:right="567"/>
      </w:pPr>
    </w:p>
    <w:p w14:paraId="23708B91" w14:textId="60E5722D" w:rsidR="00F569CD" w:rsidRPr="00DA5CE2" w:rsidRDefault="00F569CD" w:rsidP="00F569CD">
      <w:pPr>
        <w:ind w:left="567" w:right="567"/>
      </w:pPr>
      <w:r w:rsidRPr="00DA5CE2">
        <w:t>Linear vision …</w:t>
      </w:r>
      <w:r w:rsidR="000454A2" w:rsidRPr="00DA5CE2">
        <w:t xml:space="preserve"> </w:t>
      </w:r>
      <w:r w:rsidRPr="00DA5CE2">
        <w:t>means that the sense and beauty of things is first sought in the outline … while seeing in masses takes place where attention withdraws from the edges, where the outline has become more or less indifferent to the eye as the path of vision, and the primary element of the impression is things seen in patches.</w:t>
      </w:r>
      <w:r w:rsidRPr="00DA5CE2">
        <w:rPr>
          <w:rStyle w:val="FootnoteReference"/>
        </w:rPr>
        <w:footnoteReference w:id="8"/>
      </w:r>
    </w:p>
    <w:p w14:paraId="7612F93B" w14:textId="77777777" w:rsidR="00B55F90" w:rsidRPr="00DA5CE2" w:rsidRDefault="00B55F90"/>
    <w:p w14:paraId="0125EAF2" w14:textId="7355AA1E" w:rsidR="0059047B" w:rsidRDefault="0083181C" w:rsidP="004B0A50">
      <w:r w:rsidRPr="00DA5CE2">
        <w:t>A</w:t>
      </w:r>
      <w:r w:rsidR="00BC3E38" w:rsidRPr="00DA5CE2">
        <w:t xml:space="preserve"> concern about this approach i</w:t>
      </w:r>
      <w:r w:rsidR="00A21A57" w:rsidRPr="00DA5CE2">
        <w:t>s that</w:t>
      </w:r>
      <w:r w:rsidR="004B0A50" w:rsidRPr="00DA5CE2">
        <w:t xml:space="preserve"> in explaining variations in style in terms of va</w:t>
      </w:r>
      <w:r w:rsidR="00D510D1" w:rsidRPr="00DA5CE2">
        <w:t>riations in visual experience, on</w:t>
      </w:r>
      <w:r w:rsidR="004B0A50" w:rsidRPr="00DA5CE2">
        <w:t xml:space="preserve">e would be committed to an implausible account of </w:t>
      </w:r>
      <w:proofErr w:type="gramStart"/>
      <w:r w:rsidR="004B0A50" w:rsidRPr="00DA5CE2">
        <w:t>vision, that</w:t>
      </w:r>
      <w:proofErr w:type="gramEnd"/>
      <w:r w:rsidR="004B0A50" w:rsidRPr="00DA5CE2">
        <w:t xml:space="preserve"> would require visual experience to vary in substantial ways b</w:t>
      </w:r>
      <w:r w:rsidR="00D510D1" w:rsidRPr="00DA5CE2">
        <w:t>etween individuals and periods.</w:t>
      </w:r>
      <w:r w:rsidRPr="00DA5CE2">
        <w:t xml:space="preserve"> My approach is one</w:t>
      </w:r>
      <w:r>
        <w:t xml:space="preserve"> way of making</w:t>
      </w:r>
      <w:r w:rsidR="00BC3E38">
        <w:t xml:space="preserve"> it clear that a </w:t>
      </w:r>
      <w:proofErr w:type="spellStart"/>
      <w:r w:rsidR="00BC3E38" w:rsidRPr="00130321">
        <w:t>Wölfflin</w:t>
      </w:r>
      <w:r w:rsidR="00BC3E38">
        <w:t>ian</w:t>
      </w:r>
      <w:proofErr w:type="spellEnd"/>
      <w:r w:rsidR="00BC3E38">
        <w:t xml:space="preserve"> account is not committed to this idea (and it is worth noting that it is not the only way.</w:t>
      </w:r>
      <w:r w:rsidR="00BC3E38">
        <w:rPr>
          <w:rStyle w:val="FootnoteReference"/>
        </w:rPr>
        <w:footnoteReference w:id="9"/>
      </w:r>
      <w:r w:rsidR="00BC3E38">
        <w:t>)</w:t>
      </w:r>
    </w:p>
    <w:p w14:paraId="3325CE7E" w14:textId="77777777" w:rsidR="004B0A50" w:rsidRDefault="004B0A50" w:rsidP="004B0A50"/>
    <w:p w14:paraId="256844EB" w14:textId="33B6457D" w:rsidR="0059047B" w:rsidRDefault="00710F2F" w:rsidP="00D510D1">
      <w:r>
        <w:t>I propose that these</w:t>
      </w:r>
      <w:r w:rsidR="00DE0B82">
        <w:t xml:space="preserve"> picture-makers working in linear and painterly styles bring </w:t>
      </w:r>
      <w:r w:rsidR="0059047B">
        <w:t>different kind</w:t>
      </w:r>
      <w:r w:rsidR="00DE0B82">
        <w:t>s</w:t>
      </w:r>
      <w:r w:rsidR="0059047B">
        <w:t xml:space="preserve"> of </w:t>
      </w:r>
      <w:r w:rsidR="0059047B" w:rsidRPr="00801B76">
        <w:rPr>
          <w:i/>
        </w:rPr>
        <w:t>attention</w:t>
      </w:r>
      <w:r w:rsidR="00801B76" w:rsidRPr="00801B76">
        <w:t xml:space="preserve"> to their subject </w:t>
      </w:r>
      <w:r w:rsidR="00801B76" w:rsidRPr="00DA5CE2">
        <w:t>matter. That is,</w:t>
      </w:r>
      <w:r w:rsidR="006B29FE" w:rsidRPr="00DA5CE2">
        <w:t xml:space="preserve"> they </w:t>
      </w:r>
      <w:r w:rsidR="00FF3704" w:rsidRPr="00DA5CE2">
        <w:t xml:space="preserve">attend to </w:t>
      </w:r>
      <w:r w:rsidR="0059047B" w:rsidRPr="00DA5CE2">
        <w:t xml:space="preserve">different features of their subject matter – </w:t>
      </w:r>
      <w:r w:rsidR="00801B76" w:rsidRPr="00DA5CE2">
        <w:t xml:space="preserve">either </w:t>
      </w:r>
      <w:r w:rsidR="0059047B" w:rsidRPr="00DA5CE2">
        <w:t>outline or mass</w:t>
      </w:r>
      <w:r w:rsidR="00FF3704" w:rsidRPr="00DA5CE2">
        <w:t xml:space="preserve">, to use </w:t>
      </w:r>
      <w:proofErr w:type="spellStart"/>
      <w:r w:rsidR="00FF3704" w:rsidRPr="00DA5CE2">
        <w:t>Wölfflin’s</w:t>
      </w:r>
      <w:proofErr w:type="spellEnd"/>
      <w:r w:rsidR="00FF3704" w:rsidRPr="00DA5CE2">
        <w:t xml:space="preserve"> way of putting it</w:t>
      </w:r>
      <w:r w:rsidR="0059047B" w:rsidRPr="00DA5CE2">
        <w:t xml:space="preserve">. </w:t>
      </w:r>
      <w:r w:rsidR="00FF3704" w:rsidRPr="00DA5CE2">
        <w:t>These differences in</w:t>
      </w:r>
      <w:r w:rsidR="00FF3704">
        <w:t xml:space="preserve"> attention are typically registered in the resultant pictures. (This is not necessarily the case of course, but bear in mind that a picture usually only depicts those features of the subject matter the picture-maker attends to). In turn, pictures shape viewers’ experiences</w:t>
      </w:r>
      <w:r w:rsidR="00D510D1">
        <w:t xml:space="preserve">. In attending </w:t>
      </w:r>
      <w:r w:rsidR="00FF3704">
        <w:t xml:space="preserve">carefully </w:t>
      </w:r>
      <w:r w:rsidR="00D510D1">
        <w:t>to</w:t>
      </w:r>
      <w:r w:rsidR="0059047B">
        <w:t xml:space="preserve"> </w:t>
      </w:r>
      <w:r w:rsidR="00FF3704">
        <w:t>what the picture-make</w:t>
      </w:r>
      <w:bookmarkStart w:id="0" w:name="_GoBack"/>
      <w:bookmarkEnd w:id="0"/>
      <w:r w:rsidR="00FF3704">
        <w:t>r has depicted, a viewer is</w:t>
      </w:r>
      <w:r w:rsidR="0059047B">
        <w:t xml:space="preserve"> bound to recreate something of the visual attention of the painter.</w:t>
      </w:r>
      <w:r w:rsidR="0059047B">
        <w:rPr>
          <w:rStyle w:val="FootnoteReference"/>
        </w:rPr>
        <w:footnoteReference w:id="10"/>
      </w:r>
    </w:p>
    <w:p w14:paraId="2C28B51A" w14:textId="77777777" w:rsidR="0059047B" w:rsidRDefault="0059047B" w:rsidP="0059047B"/>
    <w:p w14:paraId="6C0DDB48" w14:textId="2E4A09F0" w:rsidR="003145F2" w:rsidRDefault="004429D2" w:rsidP="003145F2">
      <w:proofErr w:type="spellStart"/>
      <w:r w:rsidRPr="00DD11BC">
        <w:t>Wölfflin</w:t>
      </w:r>
      <w:proofErr w:type="spellEnd"/>
      <w:r w:rsidR="003145F2">
        <w:t xml:space="preserve"> also describes </w:t>
      </w:r>
      <w:r w:rsidR="00DD2FFC">
        <w:t>how this</w:t>
      </w:r>
      <w:r w:rsidR="00AB3E55">
        <w:t xml:space="preserve"> attention </w:t>
      </w:r>
      <w:r w:rsidR="00AB3E55" w:rsidRPr="00AB3E55">
        <w:rPr>
          <w:i/>
        </w:rPr>
        <w:t>moves</w:t>
      </w:r>
      <w:r w:rsidR="00AB3E55">
        <w:t>. H</w:t>
      </w:r>
      <w:r>
        <w:t xml:space="preserve">e observes that </w:t>
      </w:r>
      <w:r w:rsidR="003145F2">
        <w:t xml:space="preserve">with the linear style the focus of </w:t>
      </w:r>
      <w:r>
        <w:t>attention moves</w:t>
      </w:r>
      <w:r w:rsidR="00AB3E55">
        <w:t xml:space="preserve"> along lines:</w:t>
      </w:r>
      <w:r>
        <w:t xml:space="preserve"> “</w:t>
      </w:r>
      <w:r w:rsidR="00AB3E55">
        <w:t>[</w:t>
      </w:r>
      <w:proofErr w:type="spellStart"/>
      <w:proofErr w:type="gramStart"/>
      <w:r w:rsidR="00AB3E55">
        <w:t>t</w:t>
      </w:r>
      <w:r>
        <w:t>h</w:t>
      </w:r>
      <w:proofErr w:type="spellEnd"/>
      <w:r w:rsidR="00AB3E55">
        <w:t>]</w:t>
      </w:r>
      <w:r>
        <w:t>e</w:t>
      </w:r>
      <w:proofErr w:type="gramEnd"/>
      <w:r>
        <w:t xml:space="preserve"> eye is led along the boundaries and is induced to feel along the edges”</w:t>
      </w:r>
      <w:r w:rsidR="00AB3E55">
        <w:t>.</w:t>
      </w:r>
      <w:r w:rsidR="00AB3E55">
        <w:rPr>
          <w:rStyle w:val="FootnoteReference"/>
        </w:rPr>
        <w:footnoteReference w:id="11"/>
      </w:r>
      <w:r w:rsidR="00A964C3">
        <w:t xml:space="preserve"> </w:t>
      </w:r>
      <w:r w:rsidR="003145F2">
        <w:t>That suggests the following</w:t>
      </w:r>
      <w:r w:rsidR="003C3113">
        <w:t xml:space="preserve"> condition for</w:t>
      </w:r>
      <w:r w:rsidR="003145F2">
        <w:t xml:space="preserve"> linear</w:t>
      </w:r>
      <w:r w:rsidR="003C3113">
        <w:t xml:space="preserve"> visual experience</w:t>
      </w:r>
      <w:r w:rsidR="003145F2">
        <w:t xml:space="preserve">. </w:t>
      </w:r>
      <w:r w:rsidR="003C3113">
        <w:rPr>
          <w:rStyle w:val="FootnoteReference"/>
        </w:rPr>
        <w:footnoteReference w:id="12"/>
      </w:r>
    </w:p>
    <w:p w14:paraId="6EAD2E60" w14:textId="77777777" w:rsidR="003145F2" w:rsidRDefault="003145F2" w:rsidP="003145F2">
      <w:pPr>
        <w:ind w:left="360"/>
      </w:pPr>
    </w:p>
    <w:p w14:paraId="17171859" w14:textId="429BC55C" w:rsidR="003145F2" w:rsidRPr="00210147" w:rsidRDefault="003145F2" w:rsidP="003145F2">
      <w:pPr>
        <w:ind w:left="360"/>
        <w:rPr>
          <w:i/>
        </w:rPr>
      </w:pPr>
      <w:r>
        <w:rPr>
          <w:i/>
        </w:rPr>
        <w:t>Visual experience is l</w:t>
      </w:r>
      <w:r w:rsidRPr="00210147">
        <w:rPr>
          <w:i/>
        </w:rPr>
        <w:t xml:space="preserve">inear </w:t>
      </w:r>
      <w:r w:rsidR="00235F74">
        <w:rPr>
          <w:i/>
        </w:rPr>
        <w:t>if</w:t>
      </w:r>
      <w:r>
        <w:rPr>
          <w:i/>
        </w:rPr>
        <w:t xml:space="preserve"> it</w:t>
      </w:r>
      <w:r w:rsidRPr="00210147">
        <w:rPr>
          <w:i/>
        </w:rPr>
        <w:t xml:space="preserve"> involves visual attention </w:t>
      </w:r>
      <w:r>
        <w:rPr>
          <w:i/>
        </w:rPr>
        <w:t>directed along</w:t>
      </w:r>
      <w:r w:rsidRPr="00210147">
        <w:rPr>
          <w:i/>
        </w:rPr>
        <w:t xml:space="preserve"> </w:t>
      </w:r>
      <w:r w:rsidR="00DB146D">
        <w:rPr>
          <w:i/>
        </w:rPr>
        <w:t>outlines</w:t>
      </w:r>
      <w:r>
        <w:rPr>
          <w:i/>
        </w:rPr>
        <w:t xml:space="preserve"> of objects</w:t>
      </w:r>
      <w:r w:rsidRPr="00210147">
        <w:rPr>
          <w:i/>
        </w:rPr>
        <w:t>.</w:t>
      </w:r>
    </w:p>
    <w:p w14:paraId="40B45D82" w14:textId="77777777" w:rsidR="003145F2" w:rsidRDefault="003145F2" w:rsidP="0059047B"/>
    <w:p w14:paraId="30B87618" w14:textId="5FA2EAE9" w:rsidR="0059047B" w:rsidRDefault="00A964C3" w:rsidP="0059047B">
      <w:r>
        <w:t>M</w:t>
      </w:r>
      <w:r w:rsidR="00AB3E55">
        <w:t xml:space="preserve">ovement </w:t>
      </w:r>
      <w:r>
        <w:t xml:space="preserve">also figures </w:t>
      </w:r>
      <w:r w:rsidR="00AB3E55">
        <w:t>in the painterly style: “[</w:t>
      </w:r>
      <w:proofErr w:type="gramStart"/>
      <w:r w:rsidR="00AB3E55">
        <w:t>t]hen</w:t>
      </w:r>
      <w:proofErr w:type="gramEnd"/>
      <w:r w:rsidR="00AB3E55">
        <w:t xml:space="preserve"> it is as if at all points everything is enlivened by a mysterious move</w:t>
      </w:r>
      <w:r>
        <w:t>me</w:t>
      </w:r>
      <w:r w:rsidR="00AB3E55">
        <w:t>nt</w:t>
      </w:r>
      <w:r>
        <w:t xml:space="preserve"> … [w]</w:t>
      </w:r>
      <w:proofErr w:type="spellStart"/>
      <w:r>
        <w:t>hether</w:t>
      </w:r>
      <w:proofErr w:type="spellEnd"/>
      <w:r>
        <w:t xml:space="preserve"> the movement be leaping and vehement, or only a gentle quiver and flicker, it remains for the viewer inexhaustible.”</w:t>
      </w:r>
      <w:r>
        <w:rPr>
          <w:rStyle w:val="FootnoteReference"/>
        </w:rPr>
        <w:footnoteReference w:id="13"/>
      </w:r>
      <w:r>
        <w:t xml:space="preserve"> Here there is no mention of attention moving, but I think it is</w:t>
      </w:r>
      <w:r w:rsidR="004B796D">
        <w:t xml:space="preserve"> a reasonable inference to make. F</w:t>
      </w:r>
      <w:r>
        <w:t xml:space="preserve">or </w:t>
      </w:r>
      <w:r w:rsidR="004B796D">
        <w:t xml:space="preserve">if </w:t>
      </w:r>
      <w:r>
        <w:t xml:space="preserve">the </w:t>
      </w:r>
      <w:r w:rsidR="004B796D">
        <w:t>subject matter is not depicted as moving, what else can possibly be</w:t>
      </w:r>
      <w:r>
        <w:t xml:space="preserve"> </w:t>
      </w:r>
      <w:r w:rsidR="00DD2FFC">
        <w:t>in motion</w:t>
      </w:r>
      <w:r w:rsidR="004B796D">
        <w:t>,</w:t>
      </w:r>
      <w:r>
        <w:t xml:space="preserve"> aside from the viewer</w:t>
      </w:r>
      <w:r w:rsidR="004B796D">
        <w:t>’</w:t>
      </w:r>
      <w:r>
        <w:t>s eyes and visual attention? Indee</w:t>
      </w:r>
      <w:r w:rsidR="004B796D">
        <w:t>d</w:t>
      </w:r>
      <w:r>
        <w:t xml:space="preserve"> it seems very natural to speak of one’s vision ‘leaping</w:t>
      </w:r>
      <w:r w:rsidR="004B796D">
        <w:t xml:space="preserve">’ between spotlighted elements in a Rembrandt, and ‘quivering and flickering’ across the textured surfaces of the faces, hands and bodies </w:t>
      </w:r>
      <w:r w:rsidR="00504479">
        <w:t>or even brushwork itself</w:t>
      </w:r>
      <w:r w:rsidR="002F5CAB">
        <w:t>.</w:t>
      </w:r>
      <w:r w:rsidR="002F5CAB">
        <w:rPr>
          <w:rStyle w:val="FootnoteReference"/>
        </w:rPr>
        <w:footnoteReference w:id="14"/>
      </w:r>
      <w:r w:rsidR="00617D9C">
        <w:t xml:space="preserve"> This presents a number of elements one could draw on in</w:t>
      </w:r>
      <w:r w:rsidR="00971C49">
        <w:t xml:space="preserve"> defining </w:t>
      </w:r>
      <w:proofErr w:type="spellStart"/>
      <w:r w:rsidR="00971C49">
        <w:t>painterliness</w:t>
      </w:r>
      <w:proofErr w:type="spellEnd"/>
      <w:r w:rsidR="00617D9C">
        <w:t>. The definition</w:t>
      </w:r>
      <w:r w:rsidR="00971C49">
        <w:t xml:space="preserve"> </w:t>
      </w:r>
      <w:r w:rsidR="002D47F6">
        <w:t xml:space="preserve">I give here </w:t>
      </w:r>
      <w:r w:rsidR="00504479">
        <w:t xml:space="preserve">elucidates the idea of ‘seeing in masses’ in terms of this second kind of movement. </w:t>
      </w:r>
      <w:r w:rsidR="00325240">
        <w:t>Rather than attention following outlines, it</w:t>
      </w:r>
      <w:r w:rsidR="00CB7B25">
        <w:t xml:space="preserve"> </w:t>
      </w:r>
      <w:r w:rsidR="00D038D4">
        <w:t xml:space="preserve">is guided over the bodies of forms, </w:t>
      </w:r>
      <w:r w:rsidR="004A4530">
        <w:t xml:space="preserve">often following </w:t>
      </w:r>
      <w:r w:rsidR="00504479">
        <w:t xml:space="preserve">its contours via </w:t>
      </w:r>
      <w:r w:rsidR="004A4530">
        <w:t>the grain of</w:t>
      </w:r>
      <w:r w:rsidR="00D038D4">
        <w:t xml:space="preserve"> depicted textures, or the actual textural marks of the paint. </w:t>
      </w:r>
      <w:r w:rsidR="002F5CAB">
        <w:t>So,</w:t>
      </w:r>
      <w:r w:rsidR="004B796D">
        <w:t xml:space="preserve"> I</w:t>
      </w:r>
      <w:r w:rsidR="00235F74">
        <w:t xml:space="preserve"> give this account</w:t>
      </w:r>
      <w:r w:rsidR="00F71BDB">
        <w:t xml:space="preserve"> of </w:t>
      </w:r>
      <w:proofErr w:type="spellStart"/>
      <w:r w:rsidR="00F71BDB">
        <w:t>painterliness</w:t>
      </w:r>
      <w:proofErr w:type="spellEnd"/>
      <w:r w:rsidR="00210147">
        <w:t>:</w:t>
      </w:r>
    </w:p>
    <w:p w14:paraId="2922B219" w14:textId="77777777" w:rsidR="00FE6308" w:rsidRPr="00210147" w:rsidRDefault="00FE6308" w:rsidP="00210147">
      <w:pPr>
        <w:rPr>
          <w:i/>
        </w:rPr>
      </w:pPr>
    </w:p>
    <w:p w14:paraId="22BFFF1D" w14:textId="040F8D72" w:rsidR="0059047B" w:rsidRDefault="00CA5C46" w:rsidP="00210147">
      <w:pPr>
        <w:ind w:left="360"/>
        <w:rPr>
          <w:i/>
        </w:rPr>
      </w:pPr>
      <w:r>
        <w:rPr>
          <w:i/>
        </w:rPr>
        <w:t xml:space="preserve">Visual experience is painterly </w:t>
      </w:r>
      <w:r w:rsidR="00F71BDB">
        <w:rPr>
          <w:i/>
        </w:rPr>
        <w:t>if</w:t>
      </w:r>
      <w:r>
        <w:rPr>
          <w:i/>
        </w:rPr>
        <w:t xml:space="preserve"> it</w:t>
      </w:r>
      <w:r w:rsidR="0059047B" w:rsidRPr="00210147">
        <w:rPr>
          <w:i/>
        </w:rPr>
        <w:t xml:space="preserve"> in</w:t>
      </w:r>
      <w:r w:rsidR="009E2C3D">
        <w:rPr>
          <w:i/>
        </w:rPr>
        <w:t xml:space="preserve">volves </w:t>
      </w:r>
      <w:r w:rsidR="009E2C3D" w:rsidRPr="00DA5CE2">
        <w:rPr>
          <w:i/>
        </w:rPr>
        <w:t>visual</w:t>
      </w:r>
      <w:r w:rsidRPr="00DA5CE2">
        <w:rPr>
          <w:i/>
        </w:rPr>
        <w:t xml:space="preserve"> attention</w:t>
      </w:r>
      <w:r w:rsidR="0059047B" w:rsidRPr="00DA5CE2">
        <w:rPr>
          <w:i/>
        </w:rPr>
        <w:t xml:space="preserve"> directed </w:t>
      </w:r>
      <w:r w:rsidR="00DB146D" w:rsidRPr="00DA5CE2">
        <w:rPr>
          <w:i/>
        </w:rPr>
        <w:t>over the bodies of form</w:t>
      </w:r>
      <w:r w:rsidRPr="00DA5CE2">
        <w:rPr>
          <w:i/>
        </w:rPr>
        <w:t>s</w:t>
      </w:r>
      <w:r w:rsidR="00DB146D" w:rsidRPr="00DA5CE2">
        <w:rPr>
          <w:i/>
        </w:rPr>
        <w:t>, rather than along outlines</w:t>
      </w:r>
      <w:r w:rsidR="00FE6308" w:rsidRPr="00DA5CE2">
        <w:rPr>
          <w:i/>
        </w:rPr>
        <w:t>.</w:t>
      </w:r>
    </w:p>
    <w:p w14:paraId="6374145B" w14:textId="77777777" w:rsidR="001B4032" w:rsidRDefault="001B4032" w:rsidP="008F6891">
      <w:pPr>
        <w:rPr>
          <w:i/>
        </w:rPr>
      </w:pPr>
    </w:p>
    <w:p w14:paraId="497EDF02" w14:textId="026FFB83" w:rsidR="00477470" w:rsidRDefault="001B4032" w:rsidP="008F6891">
      <w:proofErr w:type="spellStart"/>
      <w:r w:rsidRPr="00DD11BC">
        <w:t>Wölfflin</w:t>
      </w:r>
      <w:r>
        <w:t>’s</w:t>
      </w:r>
      <w:proofErr w:type="spellEnd"/>
      <w:r>
        <w:t xml:space="preserve"> remarks also suggest thi</w:t>
      </w:r>
      <w:r w:rsidR="008F6891">
        <w:t xml:space="preserve">s kind of attention </w:t>
      </w:r>
      <w:r>
        <w:t>could be</w:t>
      </w:r>
      <w:r w:rsidR="001C2157">
        <w:t xml:space="preserve"> </w:t>
      </w:r>
      <w:r w:rsidR="008F6891">
        <w:t>diffuse</w:t>
      </w:r>
      <w:r>
        <w:t>d – “it is as if at all points everything is</w:t>
      </w:r>
      <w:r w:rsidR="00477470">
        <w:t xml:space="preserve"> enlivened”. That is, that it is no longer</w:t>
      </w:r>
      <w:r>
        <w:t xml:space="preserve"> focused, but distributed</w:t>
      </w:r>
      <w:r w:rsidR="00477470">
        <w:t xml:space="preserve"> over an area.</w:t>
      </w:r>
      <w:r w:rsidR="00010C69">
        <w:rPr>
          <w:rStyle w:val="FootnoteReference"/>
        </w:rPr>
        <w:footnoteReference w:id="15"/>
      </w:r>
      <w:r w:rsidR="00477470">
        <w:t xml:space="preserve"> That need not be the case on my </w:t>
      </w:r>
      <w:r w:rsidR="00235F74">
        <w:t>account</w:t>
      </w:r>
      <w:r w:rsidR="00477470">
        <w:t>, which allows for focused attention tracing lines across forms, but so far as distributed attention involves a kind of p</w:t>
      </w:r>
      <w:r w:rsidR="00625560">
        <w:t>alpitat</w:t>
      </w:r>
      <w:r w:rsidR="00477470">
        <w:t>ing move</w:t>
      </w:r>
      <w:r w:rsidR="00010C69">
        <w:t>ment over a surface, it could be</w:t>
      </w:r>
      <w:r w:rsidR="00477470">
        <w:t xml:space="preserve"> consistent with my account</w:t>
      </w:r>
      <w:r w:rsidR="00010C69">
        <w:t>.</w:t>
      </w:r>
    </w:p>
    <w:p w14:paraId="5FA23128" w14:textId="77777777" w:rsidR="002C321E" w:rsidRDefault="008F6891" w:rsidP="008F6891">
      <w:r>
        <w:t xml:space="preserve"> </w:t>
      </w:r>
    </w:p>
    <w:p w14:paraId="3D53CCB9" w14:textId="27CBDCC1" w:rsidR="004871E2" w:rsidRDefault="00010C69" w:rsidP="008F6891">
      <w:r>
        <w:t xml:space="preserve">A question remains </w:t>
      </w:r>
      <w:r w:rsidR="004871E2">
        <w:t>about why Renaissance painters have one kind of attention, and Baroque painters another, but we shall see that it also arises in the next section, so I shall delaying addressing it until then.</w:t>
      </w:r>
    </w:p>
    <w:p w14:paraId="0DAD0312" w14:textId="72D4AC77" w:rsidR="0083340A" w:rsidRDefault="0083340A" w:rsidP="004871E2"/>
    <w:p w14:paraId="3A4FA14D" w14:textId="0941D526" w:rsidR="001C20BE" w:rsidRPr="00876F01" w:rsidRDefault="00E379AF">
      <w:pPr>
        <w:rPr>
          <w:b/>
        </w:rPr>
      </w:pPr>
      <w:r>
        <w:rPr>
          <w:b/>
        </w:rPr>
        <w:t xml:space="preserve">2. </w:t>
      </w:r>
      <w:r w:rsidR="00876F01" w:rsidRPr="00876F01">
        <w:rPr>
          <w:b/>
        </w:rPr>
        <w:t>Plane and recession</w:t>
      </w:r>
    </w:p>
    <w:p w14:paraId="3FD26C37" w14:textId="77777777" w:rsidR="00876F01" w:rsidRDefault="00876F01"/>
    <w:p w14:paraId="7D6306F2" w14:textId="7A735DC0" w:rsidR="00F96114" w:rsidRDefault="00FE6308">
      <w:proofErr w:type="spellStart"/>
      <w:r w:rsidRPr="00DD11BC">
        <w:t>Wölfflin</w:t>
      </w:r>
      <w:proofErr w:type="spellEnd"/>
      <w:r>
        <w:t xml:space="preserve"> </w:t>
      </w:r>
      <w:r w:rsidR="00221C1E">
        <w:t xml:space="preserve">introduces </w:t>
      </w:r>
      <w:r w:rsidR="00EC3253">
        <w:t>plane and recession in this way</w:t>
      </w:r>
      <w:r w:rsidR="00FB1ACF">
        <w:t>:</w:t>
      </w:r>
    </w:p>
    <w:p w14:paraId="522052F5" w14:textId="77777777" w:rsidR="00F96114" w:rsidRDefault="00F96114"/>
    <w:p w14:paraId="3D1B68DB" w14:textId="7CA17306" w:rsidR="00F96114" w:rsidRDefault="00F96114" w:rsidP="00FB1ACF">
      <w:pPr>
        <w:ind w:left="567" w:right="567"/>
      </w:pPr>
      <w:r>
        <w:t xml:space="preserve">Classic art reduces the parts of a total form to a sequence of planes, [whereas] the Baroque </w:t>
      </w:r>
      <w:proofErr w:type="spellStart"/>
      <w:r>
        <w:t>emp</w:t>
      </w:r>
      <w:r w:rsidR="00FB1ACF">
        <w:t>h</w:t>
      </w:r>
      <w:r>
        <w:t>asises</w:t>
      </w:r>
      <w:proofErr w:type="spellEnd"/>
      <w:r>
        <w:t xml:space="preserve"> depth … it relates objects essentially in the direction of forwards and backwards.</w:t>
      </w:r>
      <w:r>
        <w:rPr>
          <w:rStyle w:val="FootnoteReference"/>
        </w:rPr>
        <w:footnoteReference w:id="16"/>
      </w:r>
    </w:p>
    <w:p w14:paraId="23C55E1C" w14:textId="77777777" w:rsidR="00997102" w:rsidRPr="00482355" w:rsidRDefault="00997102"/>
    <w:p w14:paraId="0E30B3F7" w14:textId="1C022DAE" w:rsidR="00FB1ACF" w:rsidRDefault="00EE2658">
      <w:r w:rsidRPr="00482355">
        <w:t xml:space="preserve">So, a planar picture will arrange its subject matter in a series of planes, parallel to the picture plane, so they appear to face the viewer and overlap another. A recessional picture </w:t>
      </w:r>
      <w:r w:rsidR="007A5696">
        <w:t>would arrange the same subject matter</w:t>
      </w:r>
      <w:r w:rsidRPr="00482355">
        <w:t xml:space="preserve"> so t</w:t>
      </w:r>
      <w:r w:rsidR="007A5696">
        <w:t>hat the depicted forms appear</w:t>
      </w:r>
      <w:r w:rsidRPr="00482355">
        <w:t xml:space="preserve"> angled away from the viewer, receding often into </w:t>
      </w:r>
      <w:r w:rsidR="00482355" w:rsidRPr="00482355">
        <w:t xml:space="preserve">a </w:t>
      </w:r>
      <w:r w:rsidRPr="00482355">
        <w:t>deep pictorial space.</w:t>
      </w:r>
      <w:r w:rsidR="00482355" w:rsidRPr="00482355">
        <w:t xml:space="preserve"> </w:t>
      </w:r>
      <w:r w:rsidR="00FB1ACF" w:rsidRPr="00482355">
        <w:t>One might think that this is the product of the discovery of methods of perspective: that is, that R</w:t>
      </w:r>
      <w:r w:rsidR="00EC3253" w:rsidRPr="00482355">
        <w:t>enaissance art tends to depict</w:t>
      </w:r>
      <w:r w:rsidR="00221C1E" w:rsidRPr="00482355">
        <w:t xml:space="preserve"> </w:t>
      </w:r>
      <w:r w:rsidR="00EC3253" w:rsidRPr="00482355">
        <w:t>depth less</w:t>
      </w:r>
      <w:r w:rsidR="00FB1ACF" w:rsidRPr="00482355">
        <w:t xml:space="preserve"> effectively than does the art of the seventeenth century. </w:t>
      </w:r>
      <w:proofErr w:type="spellStart"/>
      <w:r w:rsidR="00FE6308" w:rsidRPr="00482355">
        <w:t>Wölfflin</w:t>
      </w:r>
      <w:proofErr w:type="spellEnd"/>
      <w:r w:rsidR="00FE6308">
        <w:t xml:space="preserve"> </w:t>
      </w:r>
      <w:r w:rsidR="00EC3253">
        <w:t>is careful to quash this thought</w:t>
      </w:r>
      <w:r w:rsidR="00FB1ACF">
        <w:t>, pointing out</w:t>
      </w:r>
      <w:r w:rsidR="00482355">
        <w:t>, rightly, that</w:t>
      </w:r>
      <w:r w:rsidR="00967B45">
        <w:t xml:space="preserve"> H</w:t>
      </w:r>
      <w:r w:rsidR="00221C1E">
        <w:t>igh Renaissance painters had</w:t>
      </w:r>
      <w:r w:rsidR="00FB1ACF">
        <w:t xml:space="preserve"> full ma</w:t>
      </w:r>
      <w:r w:rsidR="00EC3253">
        <w:t>stery of these methods, but cho</w:t>
      </w:r>
      <w:r w:rsidR="00FB1ACF">
        <w:t>se to use them sparingly.</w:t>
      </w:r>
      <w:r w:rsidR="00FB1ACF">
        <w:rPr>
          <w:rStyle w:val="FootnoteReference"/>
        </w:rPr>
        <w:footnoteReference w:id="17"/>
      </w:r>
      <w:r w:rsidR="00221C1E">
        <w:t xml:space="preserve"> </w:t>
      </w:r>
    </w:p>
    <w:p w14:paraId="034ACE2A" w14:textId="77777777" w:rsidR="00482355" w:rsidRDefault="00482355" w:rsidP="00880F35"/>
    <w:p w14:paraId="54199D23" w14:textId="72D3BB77" w:rsidR="00880F35" w:rsidRDefault="00482355" w:rsidP="00880F35">
      <w:r>
        <w:t xml:space="preserve">For </w:t>
      </w:r>
      <w:proofErr w:type="spellStart"/>
      <w:r w:rsidRPr="00DD11BC">
        <w:t>Wölfflin</w:t>
      </w:r>
      <w:proofErr w:type="spellEnd"/>
      <w:r>
        <w:t xml:space="preserve"> this distinction is also to be illuminated in terms of vision. Here too attention can be understood to play</w:t>
      </w:r>
      <w:r w:rsidR="00880F35">
        <w:t xml:space="preserve"> </w:t>
      </w:r>
      <w:r>
        <w:t>an important role</w:t>
      </w:r>
      <w:r w:rsidR="00880F35" w:rsidRPr="007731E9">
        <w:t>.</w:t>
      </w:r>
      <w:r w:rsidR="00880F35">
        <w:t xml:space="preserve"> For </w:t>
      </w:r>
      <w:proofErr w:type="spellStart"/>
      <w:r w:rsidR="00880F35" w:rsidRPr="00DD11BC">
        <w:t>Wölfflin</w:t>
      </w:r>
      <w:proofErr w:type="spellEnd"/>
      <w:r w:rsidR="00880F35">
        <w:t xml:space="preserve">, planar and recessional vision is more than a matter of the view one has of an object. In the case of recession </w:t>
      </w:r>
      <w:proofErr w:type="spellStart"/>
      <w:r w:rsidR="00597152" w:rsidRPr="00DD11BC">
        <w:t>Wölfflin</w:t>
      </w:r>
      <w:proofErr w:type="spellEnd"/>
      <w:r w:rsidR="00880F35">
        <w:t xml:space="preserve"> also </w:t>
      </w:r>
      <w:r w:rsidR="00597152">
        <w:t>holds that it involves movement</w:t>
      </w:r>
      <w:r w:rsidR="00880F35">
        <w:t>. View</w:t>
      </w:r>
      <w:r>
        <w:t>ing a recessional form</w:t>
      </w:r>
      <w:r w:rsidR="00880F35">
        <w:t xml:space="preserve"> does not </w:t>
      </w:r>
      <w:r>
        <w:t xml:space="preserve">alone </w:t>
      </w:r>
      <w:r w:rsidR="00235F74">
        <w:t>suff</w:t>
      </w:r>
      <w:r w:rsidR="00CD7DFA">
        <w:t>ice to achieve the quality</w:t>
      </w:r>
      <w:r w:rsidR="00880F35">
        <w:t xml:space="preserve"> </w:t>
      </w:r>
      <w:proofErr w:type="spellStart"/>
      <w:r w:rsidR="00880F35" w:rsidRPr="00DD11BC">
        <w:t>Wölfflin</w:t>
      </w:r>
      <w:proofErr w:type="spellEnd"/>
      <w:r w:rsidR="00CD7DFA">
        <w:t xml:space="preserve"> intends</w:t>
      </w:r>
      <w:r w:rsidR="00880F35">
        <w:t xml:space="preserve">: </w:t>
      </w:r>
    </w:p>
    <w:p w14:paraId="75AE2AEB" w14:textId="77777777" w:rsidR="00880F35" w:rsidRDefault="00880F35" w:rsidP="00880F35"/>
    <w:p w14:paraId="35B16618" w14:textId="77777777" w:rsidR="00880F35" w:rsidRDefault="00880F35" w:rsidP="00880F35">
      <w:pPr>
        <w:ind w:left="567" w:right="567"/>
      </w:pPr>
      <w:r>
        <w:t>Every picture has recession, but the recession has a very different effect according to whether the space organizes itself into planes or is experienced as a homogenous recessional movement.</w:t>
      </w:r>
      <w:r>
        <w:rPr>
          <w:rStyle w:val="FootnoteReference"/>
        </w:rPr>
        <w:footnoteReference w:id="18"/>
      </w:r>
    </w:p>
    <w:p w14:paraId="71A66FC5" w14:textId="77777777" w:rsidR="00880F35" w:rsidRDefault="00880F35" w:rsidP="00880F35"/>
    <w:p w14:paraId="191ADC98" w14:textId="20FAD80A" w:rsidR="00880F35" w:rsidRDefault="00880F35" w:rsidP="00880F35">
      <w:r>
        <w:t>Again, since nothing else can possibly be moving when one is looking at a static picture, I take it that recessional movement is a matter of the movement of visual attention</w:t>
      </w:r>
      <w:r w:rsidR="007A5696">
        <w:t xml:space="preserve"> as it follows forms receding</w:t>
      </w:r>
      <w:r>
        <w:t xml:space="preserve"> into deep space (or alternatively, out of</w:t>
      </w:r>
      <w:r w:rsidR="007A5696">
        <w:t xml:space="preserve"> deep space towards the viewer).</w:t>
      </w:r>
      <w:r>
        <w:t xml:space="preserve"> In a planar composition, visual attention presumably also moves, but it is typically more gently guided along these planes – </w:t>
      </w:r>
      <w:proofErr w:type="spellStart"/>
      <w:r w:rsidRPr="00DD11BC">
        <w:t>Wölfflin</w:t>
      </w:r>
      <w:proofErr w:type="spellEnd"/>
      <w:r>
        <w:t xml:space="preserve"> speaks of the “repose” of planar compositions compared to the more dynamic movement into deep space of a recessional composition.</w:t>
      </w:r>
      <w:r>
        <w:rPr>
          <w:rStyle w:val="FootnoteReference"/>
        </w:rPr>
        <w:footnoteReference w:id="19"/>
      </w:r>
    </w:p>
    <w:p w14:paraId="368D68CB" w14:textId="77777777" w:rsidR="00880F35" w:rsidRDefault="00880F35" w:rsidP="00880F35"/>
    <w:p w14:paraId="69FA08B6" w14:textId="2DAB7444" w:rsidR="00880F35" w:rsidRPr="007731E9" w:rsidRDefault="00880F35" w:rsidP="00880F35">
      <w:pPr>
        <w:rPr>
          <w:color w:val="FF0000"/>
        </w:rPr>
      </w:pPr>
      <w:r>
        <w:t>So</w:t>
      </w:r>
      <w:r w:rsidR="00B76171">
        <w:t>,</w:t>
      </w:r>
      <w:r w:rsidR="007A5696">
        <w:t xml:space="preserve"> guided by these</w:t>
      </w:r>
      <w:r w:rsidR="00CD7DFA">
        <w:t xml:space="preserve"> points, I account for</w:t>
      </w:r>
      <w:r>
        <w:t xml:space="preserve"> the distinction between planar and recessional as follows:</w:t>
      </w:r>
    </w:p>
    <w:p w14:paraId="382D2D92" w14:textId="77777777" w:rsidR="00880F35" w:rsidRDefault="00880F35" w:rsidP="00880F35">
      <w:r>
        <w:t xml:space="preserve"> </w:t>
      </w:r>
    </w:p>
    <w:p w14:paraId="383A12C1" w14:textId="23EA48AC" w:rsidR="00880F35" w:rsidRPr="007731E9" w:rsidRDefault="00880F35" w:rsidP="00880F35">
      <w:pPr>
        <w:ind w:left="360"/>
        <w:rPr>
          <w:i/>
        </w:rPr>
      </w:pPr>
      <w:r>
        <w:rPr>
          <w:i/>
        </w:rPr>
        <w:t xml:space="preserve">Visual experience is planar </w:t>
      </w:r>
      <w:r w:rsidR="00CD7DFA">
        <w:rPr>
          <w:i/>
        </w:rPr>
        <w:t>if</w:t>
      </w:r>
      <w:r>
        <w:rPr>
          <w:i/>
        </w:rPr>
        <w:t xml:space="preserve"> it</w:t>
      </w:r>
      <w:r w:rsidRPr="007731E9">
        <w:rPr>
          <w:i/>
        </w:rPr>
        <w:t xml:space="preserve"> involves visual attention guided along planes </w:t>
      </w:r>
      <w:r w:rsidR="004022A2">
        <w:rPr>
          <w:i/>
        </w:rPr>
        <w:t>appearing to face</w:t>
      </w:r>
      <w:r w:rsidRPr="007731E9">
        <w:rPr>
          <w:i/>
        </w:rPr>
        <w:t xml:space="preserve"> the viewer.</w:t>
      </w:r>
    </w:p>
    <w:p w14:paraId="26EE525A" w14:textId="77777777" w:rsidR="00880F35" w:rsidRPr="007731E9" w:rsidRDefault="00880F35" w:rsidP="00880F35">
      <w:pPr>
        <w:rPr>
          <w:i/>
        </w:rPr>
      </w:pPr>
    </w:p>
    <w:p w14:paraId="1FDA112D" w14:textId="10630BB9" w:rsidR="00880F35" w:rsidRPr="007731E9" w:rsidRDefault="00880F35" w:rsidP="00880F35">
      <w:pPr>
        <w:ind w:left="360"/>
        <w:rPr>
          <w:i/>
        </w:rPr>
      </w:pPr>
      <w:r>
        <w:rPr>
          <w:i/>
        </w:rPr>
        <w:t>Visual experi</w:t>
      </w:r>
      <w:r w:rsidR="00CD7DFA">
        <w:rPr>
          <w:i/>
        </w:rPr>
        <w:t>ence is recessional if</w:t>
      </w:r>
      <w:r>
        <w:rPr>
          <w:i/>
        </w:rPr>
        <w:t xml:space="preserve"> it</w:t>
      </w:r>
      <w:r w:rsidRPr="007731E9">
        <w:rPr>
          <w:i/>
        </w:rPr>
        <w:t xml:space="preserve"> involves visual attention guided </w:t>
      </w:r>
      <w:r>
        <w:rPr>
          <w:i/>
        </w:rPr>
        <w:t xml:space="preserve">away </w:t>
      </w:r>
      <w:r w:rsidR="000377AD">
        <w:rPr>
          <w:i/>
        </w:rPr>
        <w:t>from or towards</w:t>
      </w:r>
      <w:r>
        <w:rPr>
          <w:i/>
        </w:rPr>
        <w:t xml:space="preserve"> the viewer, </w:t>
      </w:r>
      <w:r w:rsidRPr="007731E9">
        <w:rPr>
          <w:i/>
        </w:rPr>
        <w:t xml:space="preserve">along forms </w:t>
      </w:r>
      <w:r w:rsidR="004022A2">
        <w:rPr>
          <w:i/>
        </w:rPr>
        <w:t xml:space="preserve">appearing to </w:t>
      </w:r>
      <w:r w:rsidRPr="007731E9">
        <w:rPr>
          <w:i/>
        </w:rPr>
        <w:t>reced</w:t>
      </w:r>
      <w:r w:rsidR="004022A2">
        <w:rPr>
          <w:i/>
        </w:rPr>
        <w:t>e</w:t>
      </w:r>
      <w:r>
        <w:rPr>
          <w:i/>
        </w:rPr>
        <w:t xml:space="preserve"> from the viewer</w:t>
      </w:r>
      <w:r w:rsidRPr="007731E9">
        <w:rPr>
          <w:i/>
        </w:rPr>
        <w:t>.</w:t>
      </w:r>
      <w:r w:rsidR="004022A2">
        <w:rPr>
          <w:rStyle w:val="FootnoteReference"/>
          <w:i/>
        </w:rPr>
        <w:footnoteReference w:id="20"/>
      </w:r>
    </w:p>
    <w:p w14:paraId="782F7A7A" w14:textId="0D289E34" w:rsidR="00512C2D" w:rsidRDefault="00512C2D" w:rsidP="00880F35"/>
    <w:p w14:paraId="18DB5DBD" w14:textId="25E9A306" w:rsidR="004871E2" w:rsidRDefault="00CD7DFA" w:rsidP="00B21840">
      <w:r>
        <w:t>Let me return to the question of why the vision of Renaissance painters should have certain attributes (linearity and planarity), and Baroque painters should have others (</w:t>
      </w:r>
      <w:proofErr w:type="spellStart"/>
      <w:r>
        <w:t>painterliness</w:t>
      </w:r>
      <w:proofErr w:type="spellEnd"/>
      <w:r>
        <w:t xml:space="preserve"> and recession).</w:t>
      </w:r>
      <w:r w:rsidR="004871E2">
        <w:t xml:space="preserve"> I understand these different kinds of seeing </w:t>
      </w:r>
      <w:r w:rsidR="004871E2" w:rsidRPr="003D14D5">
        <w:t>not as products of an autonomous history of vision,</w:t>
      </w:r>
      <w:r w:rsidR="00EC0F11" w:rsidRPr="003D14D5">
        <w:t xml:space="preserve"> as critics of </w:t>
      </w:r>
      <w:proofErr w:type="spellStart"/>
      <w:r w:rsidR="00EC0F11" w:rsidRPr="003D14D5">
        <w:t>Wölfflin</w:t>
      </w:r>
      <w:proofErr w:type="spellEnd"/>
      <w:r w:rsidR="004871E2" w:rsidRPr="003D14D5">
        <w:t xml:space="preserve"> </w:t>
      </w:r>
      <w:r w:rsidR="00EC0F11" w:rsidRPr="003D14D5">
        <w:t xml:space="preserve">sometimes understand him, </w:t>
      </w:r>
      <w:r w:rsidR="004871E2" w:rsidRPr="003D14D5">
        <w:t xml:space="preserve">but as patterns of interest, </w:t>
      </w:r>
      <w:r w:rsidRPr="003D14D5">
        <w:t>which are</w:t>
      </w:r>
      <w:r w:rsidR="004871E2" w:rsidRPr="003D14D5">
        <w:t xml:space="preserve"> the product of cultural influence</w:t>
      </w:r>
      <w:r w:rsidR="00EC0F11" w:rsidRPr="003D14D5">
        <w:t>.</w:t>
      </w:r>
      <w:r w:rsidR="00EC0F11" w:rsidRPr="003D14D5">
        <w:rPr>
          <w:rStyle w:val="FootnoteReference"/>
        </w:rPr>
        <w:footnoteReference w:id="21"/>
      </w:r>
      <w:r w:rsidR="003816CC">
        <w:t xml:space="preserve"> There is nothing especially</w:t>
      </w:r>
      <w:r w:rsidR="00703CB3">
        <w:t xml:space="preserve"> mysterious about this. For the most part, these patterns of interest are propagated through pictorial traditions</w:t>
      </w:r>
      <w:r w:rsidR="00B21840">
        <w:t>. The attention painters give their subject matter is conditioned by the traditions they are part of, ensuring</w:t>
      </w:r>
      <w:r w:rsidR="004871E2">
        <w:t xml:space="preserve"> the relative cons</w:t>
      </w:r>
      <w:r w:rsidR="00B21840">
        <w:t>istencies in style</w:t>
      </w:r>
      <w:r w:rsidR="004871E2">
        <w:t xml:space="preserve"> which </w:t>
      </w:r>
      <w:proofErr w:type="spellStart"/>
      <w:r w:rsidR="004871E2" w:rsidRPr="00DD11BC">
        <w:t>Wölfflin</w:t>
      </w:r>
      <w:proofErr w:type="spellEnd"/>
      <w:r w:rsidR="00B21840">
        <w:t xml:space="preserve"> draws attention to</w:t>
      </w:r>
      <w:r w:rsidR="004871E2">
        <w:t>.</w:t>
      </w:r>
      <w:r w:rsidR="00703CB3">
        <w:t xml:space="preserve"> </w:t>
      </w:r>
      <w:r w:rsidR="00C032C9">
        <w:t>I will have more to say about why traditions may be drawn in one direction or another below. C</w:t>
      </w:r>
      <w:r w:rsidR="004871E2">
        <w:t xml:space="preserve">hange to </w:t>
      </w:r>
      <w:r w:rsidR="00C032C9">
        <w:t>these patterns of attention will</w:t>
      </w:r>
      <w:r w:rsidR="00EF11CA">
        <w:t xml:space="preserve"> also</w:t>
      </w:r>
      <w:r w:rsidR="004871E2">
        <w:t xml:space="preserve"> explained through changes i</w:t>
      </w:r>
      <w:r w:rsidR="00B21840">
        <w:t>n culture. A complex story can</w:t>
      </w:r>
      <w:r w:rsidR="004871E2">
        <w:t xml:space="preserve"> be told around this, but it is enough to note that </w:t>
      </w:r>
      <w:proofErr w:type="spellStart"/>
      <w:r w:rsidR="004871E2" w:rsidRPr="00DD11BC">
        <w:t>Wölfflin</w:t>
      </w:r>
      <w:proofErr w:type="spellEnd"/>
      <w:r w:rsidR="004871E2">
        <w:t xml:space="preserve"> himself allow</w:t>
      </w:r>
      <w:r w:rsidR="00EF11CA">
        <w:t xml:space="preserve">ed that </w:t>
      </w:r>
      <w:r w:rsidR="00B21840">
        <w:t>quite</w:t>
      </w:r>
      <w:r w:rsidR="00EF11CA">
        <w:t xml:space="preserve"> mundane forces</w:t>
      </w:r>
      <w:r w:rsidR="004871E2">
        <w:t xml:space="preserve"> </w:t>
      </w:r>
      <w:proofErr w:type="gramStart"/>
      <w:r w:rsidR="004871E2">
        <w:t>may</w:t>
      </w:r>
      <w:proofErr w:type="gramEnd"/>
      <w:r w:rsidR="004871E2">
        <w:t xml:space="preserve"> have a role here, acknowledging “the theory of the palling of interest and a consequent necessity of a stimulation of interest”.</w:t>
      </w:r>
      <w:r w:rsidR="004871E2">
        <w:rPr>
          <w:rStyle w:val="FootnoteReference"/>
        </w:rPr>
        <w:footnoteReference w:id="22"/>
      </w:r>
      <w:r w:rsidR="004871E2">
        <w:t xml:space="preserve"> </w:t>
      </w:r>
    </w:p>
    <w:p w14:paraId="748CD1A0" w14:textId="77777777" w:rsidR="008E5974" w:rsidRDefault="008E5974"/>
    <w:p w14:paraId="243E3B1F" w14:textId="657F1139" w:rsidR="00511B94" w:rsidRDefault="007036EB" w:rsidP="00CB2D78">
      <w:pPr>
        <w:rPr>
          <w:b/>
        </w:rPr>
      </w:pPr>
      <w:r>
        <w:rPr>
          <w:b/>
        </w:rPr>
        <w:t xml:space="preserve">3. </w:t>
      </w:r>
      <w:proofErr w:type="spellStart"/>
      <w:r w:rsidR="00FE6308" w:rsidRPr="00FE6308">
        <w:rPr>
          <w:b/>
        </w:rPr>
        <w:t>Wölfflin</w:t>
      </w:r>
      <w:r w:rsidR="006B0346" w:rsidRPr="00FE6308">
        <w:rPr>
          <w:b/>
        </w:rPr>
        <w:t>’s</w:t>
      </w:r>
      <w:proofErr w:type="spellEnd"/>
      <w:r w:rsidR="006B0346">
        <w:rPr>
          <w:b/>
        </w:rPr>
        <w:t xml:space="preserve"> </w:t>
      </w:r>
      <w:r w:rsidR="005E5577">
        <w:rPr>
          <w:b/>
        </w:rPr>
        <w:t>‘</w:t>
      </w:r>
      <w:r w:rsidR="006B0346">
        <w:rPr>
          <w:b/>
        </w:rPr>
        <w:t>compatible contradictions</w:t>
      </w:r>
      <w:r w:rsidR="005E5577">
        <w:rPr>
          <w:b/>
        </w:rPr>
        <w:t>’</w:t>
      </w:r>
    </w:p>
    <w:p w14:paraId="7D1209E7" w14:textId="77777777" w:rsidR="001C20BE" w:rsidRDefault="001C20BE" w:rsidP="00CB2D78"/>
    <w:p w14:paraId="2CECA865" w14:textId="5848A807" w:rsidR="001C20BE" w:rsidRPr="00DA332E" w:rsidRDefault="00DC4D70" w:rsidP="00AA0F4B">
      <w:r>
        <w:t xml:space="preserve">I now turn to pictures that </w:t>
      </w:r>
      <w:r w:rsidR="004D77A5">
        <w:t xml:space="preserve">combine Classical and Baroque concepts. </w:t>
      </w:r>
      <w:r w:rsidR="00E36FEC">
        <w:t>Let me start</w:t>
      </w:r>
      <w:r w:rsidR="00006EFF">
        <w:t xml:space="preserve"> with</w:t>
      </w:r>
      <w:r w:rsidR="001C20BE">
        <w:t xml:space="preserve"> paintings that are both linear and recessional.</w:t>
      </w:r>
      <w:r w:rsidR="00D44E07">
        <w:t xml:space="preserve"> Many pictures</w:t>
      </w:r>
      <w:r w:rsidR="00A961BB">
        <w:t xml:space="preserve"> </w:t>
      </w:r>
      <w:r w:rsidR="00D44E07">
        <w:t>fit this description, using a linear style, but including</w:t>
      </w:r>
      <w:r w:rsidR="00A961BB">
        <w:t xml:space="preserve"> vertiginous, recessional perspectives. Ex</w:t>
      </w:r>
      <w:r w:rsidR="00377379">
        <w:t>amples in modern painting include</w:t>
      </w:r>
      <w:r w:rsidR="00A961BB">
        <w:t xml:space="preserve"> </w:t>
      </w:r>
      <w:r w:rsidR="001C20BE" w:rsidRPr="00A961BB">
        <w:t xml:space="preserve">Munch’s versions of </w:t>
      </w:r>
      <w:r w:rsidR="001C20BE" w:rsidRPr="00A961BB">
        <w:rPr>
          <w:i/>
        </w:rPr>
        <w:t>The Scream</w:t>
      </w:r>
      <w:r w:rsidR="00A961BB">
        <w:t xml:space="preserve"> (the lithograph version shows the linearity of his style well),</w:t>
      </w:r>
      <w:r w:rsidR="007B6DB2" w:rsidRPr="00A961BB">
        <w:t xml:space="preserve"> </w:t>
      </w:r>
      <w:r w:rsidR="001C20BE" w:rsidRPr="00A961BB">
        <w:t>de Chirico</w:t>
      </w:r>
      <w:r w:rsidR="007B6DB2" w:rsidRPr="00A961BB">
        <w:t>’s</w:t>
      </w:r>
      <w:r w:rsidR="001C20BE" w:rsidRPr="00A961BB">
        <w:t xml:space="preserve"> </w:t>
      </w:r>
      <w:r w:rsidR="001C20BE" w:rsidRPr="00A961BB">
        <w:rPr>
          <w:i/>
        </w:rPr>
        <w:t>Mystery and Melancholy of a Street</w:t>
      </w:r>
      <w:r w:rsidR="007B6DB2" w:rsidRPr="00A961BB">
        <w:t>, and,</w:t>
      </w:r>
      <w:r w:rsidR="001C20BE" w:rsidRPr="00A961BB">
        <w:t xml:space="preserve"> less well-known, </w:t>
      </w:r>
      <w:r w:rsidR="007B6DB2" w:rsidRPr="00A961BB">
        <w:t>many paintings</w:t>
      </w:r>
      <w:r w:rsidR="001C20BE" w:rsidRPr="00A961BB">
        <w:t xml:space="preserve"> by US Surrealist Kay Sage.</w:t>
      </w:r>
      <w:r w:rsidR="001C20BE" w:rsidRPr="00377379">
        <w:t xml:space="preserve"> </w:t>
      </w:r>
      <w:r w:rsidR="00377379" w:rsidRPr="00377379">
        <w:t>T</w:t>
      </w:r>
      <w:r w:rsidR="00377379">
        <w:t>here are al</w:t>
      </w:r>
      <w:r w:rsidR="00692A95">
        <w:t>so examples in earlier painting</w:t>
      </w:r>
      <w:r w:rsidR="00377379">
        <w:t>, in particular Mannerism.  We see it</w:t>
      </w:r>
      <w:r w:rsidR="001C20BE">
        <w:t xml:space="preserve"> </w:t>
      </w:r>
      <w:r w:rsidR="001C20BE" w:rsidRPr="00455119">
        <w:t xml:space="preserve">in Parmigianino’s </w:t>
      </w:r>
      <w:r w:rsidR="001C20BE" w:rsidRPr="00455119">
        <w:rPr>
          <w:i/>
        </w:rPr>
        <w:t>Madonna of the Long Neck</w:t>
      </w:r>
      <w:r w:rsidR="00455119">
        <w:t>. On the Madonna’s left, a</w:t>
      </w:r>
      <w:r w:rsidR="001C20BE">
        <w:t xml:space="preserve"> crowded group of angels appears pressed up almost to the pic</w:t>
      </w:r>
      <w:r w:rsidR="00455119">
        <w:t>ture plane. On her</w:t>
      </w:r>
      <w:r w:rsidR="001C20BE">
        <w:t xml:space="preserve"> right, in what must be a conscious contrast, the composition dives away into a distant (</w:t>
      </w:r>
      <w:r w:rsidR="00455119">
        <w:t xml:space="preserve">and </w:t>
      </w:r>
      <w:r w:rsidR="001C20BE">
        <w:t>unfinished) perspectival view of receding columns.</w:t>
      </w:r>
    </w:p>
    <w:p w14:paraId="0E04E776" w14:textId="77777777" w:rsidR="001C20BE" w:rsidRDefault="001C20BE" w:rsidP="00AA0F4B"/>
    <w:p w14:paraId="5E82BB97" w14:textId="77777777" w:rsidR="007913C7" w:rsidRDefault="00692A95" w:rsidP="000B5E56">
      <w:r>
        <w:t>In each of these</w:t>
      </w:r>
      <w:r w:rsidR="00455119">
        <w:t xml:space="preserve"> a distinctive effect is achieved,</w:t>
      </w:r>
      <w:r w:rsidR="001C20BE">
        <w:t xml:space="preserve"> </w:t>
      </w:r>
      <w:r w:rsidR="00455119">
        <w:t>quite</w:t>
      </w:r>
      <w:r w:rsidR="00912201">
        <w:t xml:space="preserve"> foreign to the Classical and Baroque styles</w:t>
      </w:r>
      <w:r>
        <w:t>. O</w:t>
      </w:r>
      <w:r w:rsidR="007B04F3">
        <w:t>ne’s attention is guided more or less slowly along the outlines of the subject matter in the foreground, before being plunged down</w:t>
      </w:r>
      <w:r w:rsidR="00455119">
        <w:t xml:space="preserve"> into a vertiginous perspective.</w:t>
      </w:r>
      <w:r w:rsidR="007B04F3">
        <w:t xml:space="preserve"> </w:t>
      </w:r>
      <w:r w:rsidR="00E1274F">
        <w:t>As one’s gaze</w:t>
      </w:r>
      <w:r w:rsidR="0084312E">
        <w:t xml:space="preserve"> moves</w:t>
      </w:r>
      <w:r w:rsidR="00455119">
        <w:t xml:space="preserve"> towards the vanishing point, it remains</w:t>
      </w:r>
      <w:r w:rsidR="007B04F3">
        <w:t xml:space="preserve"> bound to the outlines of </w:t>
      </w:r>
      <w:r w:rsidR="00455119">
        <w:t xml:space="preserve">diminishing </w:t>
      </w:r>
      <w:r w:rsidR="007B04F3">
        <w:t>subject</w:t>
      </w:r>
      <w:r w:rsidR="00455119">
        <w:t xml:space="preserve"> matter.</w:t>
      </w:r>
      <w:r w:rsidR="007B04F3">
        <w:t xml:space="preserve"> Arising from this is an </w:t>
      </w:r>
      <w:r w:rsidR="0084312E">
        <w:t>expressive effect. I</w:t>
      </w:r>
      <w:r w:rsidR="00E1274F">
        <w:t>t has a</w:t>
      </w:r>
      <w:r w:rsidR="00455119">
        <w:t xml:space="preserve"> somewhat different character in each of my examples, but it</w:t>
      </w:r>
      <w:r w:rsidR="007B04F3">
        <w:t xml:space="preserve"> is broadly speaking </w:t>
      </w:r>
      <w:r w:rsidR="001C20BE">
        <w:t xml:space="preserve">a </w:t>
      </w:r>
      <w:r w:rsidR="001C20BE" w:rsidRPr="00460036">
        <w:t>disturbing</w:t>
      </w:r>
      <w:r w:rsidR="00D27D84" w:rsidRPr="00460036">
        <w:t xml:space="preserve"> effect</w:t>
      </w:r>
      <w:r w:rsidR="00455119" w:rsidRPr="00460036">
        <w:t>, which in the modern pictures</w:t>
      </w:r>
      <w:r w:rsidR="007B04F3" w:rsidRPr="00460036">
        <w:t xml:space="preserve"> at least can be </w:t>
      </w:r>
      <w:r w:rsidR="00D27D84" w:rsidRPr="00460036">
        <w:t>describe</w:t>
      </w:r>
      <w:r w:rsidR="007B04F3" w:rsidRPr="00460036">
        <w:t>d</w:t>
      </w:r>
      <w:r w:rsidR="00D27D84" w:rsidRPr="00460036">
        <w:t xml:space="preserve"> as</w:t>
      </w:r>
      <w:r w:rsidR="001C20BE" w:rsidRPr="00460036">
        <w:t xml:space="preserve"> expressive of anxiety</w:t>
      </w:r>
      <w:r w:rsidR="00E01CC7" w:rsidRPr="00460036">
        <w:t>.</w:t>
      </w:r>
    </w:p>
    <w:p w14:paraId="79A3DA48" w14:textId="77777777" w:rsidR="007913C7" w:rsidRDefault="007913C7" w:rsidP="000B5E56"/>
    <w:p w14:paraId="6F25F3DC" w14:textId="34AAC501" w:rsidR="005A4BBB" w:rsidRDefault="00DD6A43" w:rsidP="000B5E56">
      <w:r>
        <w:t>Let me add t</w:t>
      </w:r>
      <w:r w:rsidR="007913C7">
        <w:t>wo points about expression here.</w:t>
      </w:r>
      <w:r w:rsidR="007913C7" w:rsidRPr="007913C7">
        <w:t xml:space="preserve"> </w:t>
      </w:r>
      <w:r w:rsidR="007913C7">
        <w:t xml:space="preserve">First, </w:t>
      </w:r>
      <w:r w:rsidR="001E1F47">
        <w:t xml:space="preserve">my inclusion of expression contrasts with </w:t>
      </w:r>
      <w:proofErr w:type="spellStart"/>
      <w:r w:rsidR="007913C7" w:rsidRPr="00DD11BC">
        <w:t>Wölfflin</w:t>
      </w:r>
      <w:proofErr w:type="spellEnd"/>
      <w:r w:rsidR="001E1F47">
        <w:t>, who</w:t>
      </w:r>
      <w:r w:rsidR="007913C7" w:rsidRPr="00517F9D">
        <w:t xml:space="preserve"> </w:t>
      </w:r>
      <w:proofErr w:type="spellStart"/>
      <w:r w:rsidR="007913C7" w:rsidRPr="00517F9D">
        <w:t>endeavoured</w:t>
      </w:r>
      <w:proofErr w:type="spellEnd"/>
      <w:r w:rsidR="007913C7">
        <w:t xml:space="preserve"> to exclude</w:t>
      </w:r>
      <w:r w:rsidR="007913C7" w:rsidRPr="00517F9D">
        <w:t xml:space="preserve"> </w:t>
      </w:r>
      <w:r w:rsidR="007913C7">
        <w:t>expression from</w:t>
      </w:r>
      <w:r w:rsidR="007913C7" w:rsidRPr="00517F9D">
        <w:t xml:space="preserve"> his account</w:t>
      </w:r>
      <w:r w:rsidR="001E1F47">
        <w:t xml:space="preserve"> of the concepts</w:t>
      </w:r>
      <w:r w:rsidR="007913C7" w:rsidRPr="00517F9D">
        <w:t xml:space="preserve">. </w:t>
      </w:r>
      <w:proofErr w:type="spellStart"/>
      <w:r w:rsidR="007913C7" w:rsidRPr="00517F9D">
        <w:t>Gaiger</w:t>
      </w:r>
      <w:proofErr w:type="spellEnd"/>
      <w:r w:rsidR="007913C7" w:rsidRPr="00517F9D">
        <w:t xml:space="preserve"> discusses and criticizes </w:t>
      </w:r>
      <w:proofErr w:type="spellStart"/>
      <w:r w:rsidR="007913C7" w:rsidRPr="00DD11BC">
        <w:t>Wölfflin</w:t>
      </w:r>
      <w:r w:rsidR="007913C7" w:rsidRPr="00517F9D">
        <w:t>’s</w:t>
      </w:r>
      <w:proofErr w:type="spellEnd"/>
      <w:r w:rsidR="007913C7" w:rsidRPr="00517F9D">
        <w:t xml:space="preserve"> efforts to keep them separate, citing various critics of </w:t>
      </w:r>
      <w:proofErr w:type="spellStart"/>
      <w:r w:rsidR="007913C7" w:rsidRPr="00DD11BC">
        <w:t>Wölfflin</w:t>
      </w:r>
      <w:proofErr w:type="spellEnd"/>
      <w:r w:rsidR="007913C7" w:rsidRPr="00517F9D">
        <w:t xml:space="preserve">, from Erwin Panofsky through to Michael </w:t>
      </w:r>
      <w:proofErr w:type="spellStart"/>
      <w:r w:rsidR="007913C7" w:rsidRPr="00517F9D">
        <w:t>Podro</w:t>
      </w:r>
      <w:proofErr w:type="spellEnd"/>
      <w:r w:rsidR="007913C7" w:rsidRPr="00517F9D">
        <w:t>.</w:t>
      </w:r>
      <w:r w:rsidR="007913C7" w:rsidRPr="00517F9D">
        <w:rPr>
          <w:rStyle w:val="FootnoteReference"/>
        </w:rPr>
        <w:footnoteReference w:id="23"/>
      </w:r>
      <w:r w:rsidR="007913C7" w:rsidRPr="00517F9D">
        <w:t xml:space="preserve"> As </w:t>
      </w:r>
      <w:proofErr w:type="spellStart"/>
      <w:r w:rsidR="007913C7" w:rsidRPr="00517F9D">
        <w:t>Gaiger</w:t>
      </w:r>
      <w:proofErr w:type="spellEnd"/>
      <w:r w:rsidR="007913C7" w:rsidRPr="00517F9D">
        <w:t xml:space="preserve"> puts it, “[</w:t>
      </w:r>
      <w:proofErr w:type="gramStart"/>
      <w:r w:rsidR="007913C7" w:rsidRPr="00517F9D">
        <w:t>u]</w:t>
      </w:r>
      <w:proofErr w:type="spellStart"/>
      <w:r w:rsidR="007913C7" w:rsidRPr="00517F9D">
        <w:t>nder</w:t>
      </w:r>
      <w:proofErr w:type="spellEnd"/>
      <w:proofErr w:type="gramEnd"/>
      <w:r w:rsidR="007913C7" w:rsidRPr="00517F9D">
        <w:t xml:space="preserve"> closer examination, the idea of a completely neutral and ‘</w:t>
      </w:r>
      <w:proofErr w:type="spellStart"/>
      <w:r w:rsidR="007913C7" w:rsidRPr="00517F9D">
        <w:t>colourless</w:t>
      </w:r>
      <w:proofErr w:type="spellEnd"/>
      <w:r w:rsidR="007913C7" w:rsidRPr="00517F9D">
        <w:t>’ organization collapses, for it can never be kept wholly distinct from expression.”</w:t>
      </w:r>
      <w:r w:rsidR="007913C7" w:rsidRPr="00517F9D">
        <w:rPr>
          <w:rStyle w:val="FootnoteReference"/>
        </w:rPr>
        <w:footnoteReference w:id="24"/>
      </w:r>
      <w:r w:rsidR="007913C7">
        <w:t xml:space="preserve"> </w:t>
      </w:r>
      <w:r>
        <w:t>My examples are an illustration of this.</w:t>
      </w:r>
      <w:r w:rsidR="001E1F47">
        <w:t xml:space="preserve"> But I have another reason for including expression, because I am concerned with the value that the concepts can have in art. W</w:t>
      </w:r>
      <w:r w:rsidR="007913C7">
        <w:t xml:space="preserve">ithout </w:t>
      </w:r>
      <w:r w:rsidR="001E1F47">
        <w:t>expression</w:t>
      </w:r>
      <w:r w:rsidR="007913C7">
        <w:t xml:space="preserve"> the</w:t>
      </w:r>
      <w:r w:rsidR="001E1F47">
        <w:t xml:space="preserve"> concepts are</w:t>
      </w:r>
      <w:r w:rsidR="007913C7">
        <w:t xml:space="preserve"> only </w:t>
      </w:r>
      <w:r w:rsidR="001E1F47">
        <w:t xml:space="preserve">a matter of </w:t>
      </w:r>
      <w:r w:rsidR="007913C7">
        <w:t>movem</w:t>
      </w:r>
      <w:r w:rsidR="007913C7" w:rsidRPr="001E1F47">
        <w:t>ent of visual atte</w:t>
      </w:r>
      <w:r w:rsidR="001E1F47" w:rsidRPr="001E1F47">
        <w:t>ntion – and that alone is</w:t>
      </w:r>
      <w:r w:rsidR="007913C7" w:rsidRPr="001E1F47">
        <w:t xml:space="preserve"> not enough to sustain artistic interest. Understanding</w:t>
      </w:r>
      <w:r w:rsidR="007913C7">
        <w:t xml:space="preserve"> the expressive </w:t>
      </w:r>
      <w:proofErr w:type="gramStart"/>
      <w:r w:rsidR="007913C7">
        <w:t>use</w:t>
      </w:r>
      <w:proofErr w:type="gramEnd"/>
      <w:r w:rsidR="007913C7">
        <w:t xml:space="preserve"> to which the concepts are put</w:t>
      </w:r>
      <w:r w:rsidR="001E1F47">
        <w:t xml:space="preserve">, in the examples above, and those </w:t>
      </w:r>
      <w:r w:rsidR="001E1F47" w:rsidRPr="00DF1EB6">
        <w:t>to follow,</w:t>
      </w:r>
      <w:r w:rsidR="007913C7" w:rsidRPr="00DF1EB6">
        <w:t xml:space="preserve"> is critical to understanding and accounting for their artistic value. </w:t>
      </w:r>
      <w:r w:rsidR="001E1F47" w:rsidRPr="00DF1EB6">
        <w:t>S</w:t>
      </w:r>
      <w:r w:rsidR="00DF1EB6" w:rsidRPr="00DF1EB6">
        <w:t>econd, there is the question of</w:t>
      </w:r>
      <w:r w:rsidR="001E1F47" w:rsidRPr="00DF1EB6">
        <w:t xml:space="preserve"> how it is that the movement of visual attention through depicted space plays a role in generating expressive effects</w:t>
      </w:r>
      <w:r w:rsidR="00DF1EB6" w:rsidRPr="00DF1EB6">
        <w:t>. Answering that question is beyond the scope of this article, and accordingly I put it aside.</w:t>
      </w:r>
      <w:r w:rsidR="005A4BBB" w:rsidRPr="00DF1EB6">
        <w:t xml:space="preserve"> I</w:t>
      </w:r>
      <w:r w:rsidR="00594253" w:rsidRPr="00DF1EB6">
        <w:t xml:space="preserve">t will be enough for my arguments that these effects do arise, and that </w:t>
      </w:r>
      <w:r w:rsidR="00DF1EB6" w:rsidRPr="00DF1EB6">
        <w:t xml:space="preserve">the movement of </w:t>
      </w:r>
      <w:r w:rsidR="00594253" w:rsidRPr="00DF1EB6">
        <w:t>visual attention does</w:t>
      </w:r>
      <w:r w:rsidR="00DF1EB6" w:rsidRPr="00DF1EB6">
        <w:t xml:space="preserve"> have a part in producing them.</w:t>
      </w:r>
    </w:p>
    <w:p w14:paraId="1CBE5832" w14:textId="54575027" w:rsidR="00994436" w:rsidRDefault="005A4BBB" w:rsidP="000B5E56">
      <w:r>
        <w:t xml:space="preserve"> </w:t>
      </w:r>
    </w:p>
    <w:p w14:paraId="4B0B6807" w14:textId="0DBB948F" w:rsidR="001C20BE" w:rsidRPr="00F62BCD" w:rsidRDefault="00F62BCD" w:rsidP="00AA0F4B">
      <w:r>
        <w:t xml:space="preserve">Turning </w:t>
      </w:r>
      <w:r w:rsidR="00CB2C3F">
        <w:t xml:space="preserve">now </w:t>
      </w:r>
      <w:r>
        <w:t xml:space="preserve">to planar </w:t>
      </w:r>
      <w:r w:rsidRPr="00F62BCD">
        <w:t>and painterly</w:t>
      </w:r>
      <w:r w:rsidR="0007339A">
        <w:t xml:space="preserve"> picture</w:t>
      </w:r>
      <w:r w:rsidR="00DF1EB6">
        <w:t>s</w:t>
      </w:r>
      <w:r w:rsidRPr="00F62BCD">
        <w:t>,</w:t>
      </w:r>
      <w:r w:rsidR="001C20BE" w:rsidRPr="00F62BCD">
        <w:t xml:space="preserve"> </w:t>
      </w:r>
      <w:r w:rsidRPr="00F62BCD">
        <w:t xml:space="preserve">we can distinguish two kinds </w:t>
      </w:r>
      <w:r w:rsidR="001C20BE" w:rsidRPr="00F62BCD">
        <w:t>by the different expressive effects they achieve.</w:t>
      </w:r>
      <w:r w:rsidR="00912201" w:rsidRPr="00F62BCD">
        <w:t xml:space="preserve"> </w:t>
      </w:r>
      <w:r w:rsidR="00DF1EB6">
        <w:t>The first</w:t>
      </w:r>
      <w:r w:rsidRPr="00F62BCD">
        <w:t xml:space="preserve"> is</w:t>
      </w:r>
      <w:r w:rsidR="001C20BE" w:rsidRPr="00F62BCD">
        <w:t xml:space="preserve"> exemplifi</w:t>
      </w:r>
      <w:r w:rsidR="00DF1EB6">
        <w:t xml:space="preserve">ed by </w:t>
      </w:r>
      <w:proofErr w:type="spellStart"/>
      <w:r w:rsidR="002D56C9">
        <w:t>Intimist</w:t>
      </w:r>
      <w:proofErr w:type="spellEnd"/>
      <w:r w:rsidR="002D56C9">
        <w:t xml:space="preserve"> paintings such as </w:t>
      </w:r>
      <w:r w:rsidR="001C20BE" w:rsidRPr="00F62BCD">
        <w:t>Vuillard</w:t>
      </w:r>
      <w:r w:rsidR="002D56C9">
        <w:t xml:space="preserve">’s </w:t>
      </w:r>
      <w:r w:rsidR="002D56C9" w:rsidRPr="002D56C9">
        <w:rPr>
          <w:i/>
        </w:rPr>
        <w:t>The Yellow Curtain</w:t>
      </w:r>
      <w:r w:rsidR="002D56C9">
        <w:t xml:space="preserve">, </w:t>
      </w:r>
      <w:r w:rsidR="001C20BE" w:rsidRPr="00F62BCD">
        <w:t>and Bonnard</w:t>
      </w:r>
      <w:r w:rsidR="002D56C9">
        <w:t xml:space="preserve">’s </w:t>
      </w:r>
      <w:r w:rsidR="002D56C9" w:rsidRPr="002D56C9">
        <w:rPr>
          <w:i/>
        </w:rPr>
        <w:t>The Bowl of Milk</w:t>
      </w:r>
      <w:r w:rsidR="002D56C9">
        <w:t>. In these paintings v</w:t>
      </w:r>
      <w:r>
        <w:t>isual attention</w:t>
      </w:r>
      <w:r w:rsidR="001C20BE" w:rsidRPr="00F62BCD">
        <w:t xml:space="preserve"> is </w:t>
      </w:r>
      <w:r>
        <w:t>restricted to a series of plane-</w:t>
      </w:r>
      <w:r w:rsidR="001C20BE" w:rsidRPr="00F62BCD">
        <w:t>like surfaces</w:t>
      </w:r>
      <w:r w:rsidR="00895DDA">
        <w:t xml:space="preserve"> </w:t>
      </w:r>
      <w:r w:rsidR="00DF1EB6">
        <w:t>–</w:t>
      </w:r>
      <w:r w:rsidR="00895DDA">
        <w:t xml:space="preserve"> a</w:t>
      </w:r>
      <w:r w:rsidR="002D56C9">
        <w:t xml:space="preserve"> bed and yellow curtain, and a tabletop </w:t>
      </w:r>
      <w:r w:rsidR="00895DDA">
        <w:t>set with pl</w:t>
      </w:r>
      <w:r w:rsidR="00DF1EB6">
        <w:t>ates and bowls</w:t>
      </w:r>
      <w:r w:rsidR="00895DDA">
        <w:t xml:space="preserve"> are organized into planes facing the viewer</w:t>
      </w:r>
      <w:r w:rsidR="00DF1EB6">
        <w:t xml:space="preserve"> in</w:t>
      </w:r>
      <w:r w:rsidR="001C20BE" w:rsidRPr="00F62BCD">
        <w:t xml:space="preserve"> shallow represented space</w:t>
      </w:r>
      <w:r w:rsidR="00DF1EB6">
        <w:t>s</w:t>
      </w:r>
      <w:r w:rsidR="001C20BE" w:rsidRPr="00F62BCD">
        <w:t>. But the edges of those depicted surfaces appear indistinct, and the viewer’s attention, encouraged also by the surfaces</w:t>
      </w:r>
      <w:r w:rsidR="000A2C35" w:rsidRPr="00F62BCD">
        <w:t>’</w:t>
      </w:r>
      <w:r w:rsidR="001C20BE" w:rsidRPr="00F62BCD">
        <w:t xml:space="preserve"> textures and patterns, is gu</w:t>
      </w:r>
      <w:r w:rsidR="00895DDA">
        <w:t>ided across these surfaces. Other</w:t>
      </w:r>
      <w:r w:rsidR="001C20BE" w:rsidRPr="00F62BCD">
        <w:t xml:space="preserve"> examples of twentieth century painting have something of this character</w:t>
      </w:r>
      <w:r w:rsidR="00895DDA">
        <w:t xml:space="preserve">, such as many of the works Matisse painted at Nice. </w:t>
      </w:r>
      <w:r w:rsidR="001C20BE" w:rsidRPr="00F62BCD">
        <w:t xml:space="preserve">But it is not wholly a recent tradition, as seen in </w:t>
      </w:r>
      <w:r w:rsidR="000A2C35" w:rsidRPr="00F62BCD">
        <w:t xml:space="preserve">(for example) some of </w:t>
      </w:r>
      <w:r w:rsidR="001C20BE" w:rsidRPr="00F62BCD">
        <w:t xml:space="preserve">Rembrandt’s </w:t>
      </w:r>
      <w:r w:rsidR="00DF71B8">
        <w:t xml:space="preserve">late </w:t>
      </w:r>
      <w:r w:rsidR="001C20BE" w:rsidRPr="00F62BCD">
        <w:t>paintings,</w:t>
      </w:r>
      <w:r w:rsidR="000A2C35" w:rsidRPr="00F62BCD">
        <w:t xml:space="preserve"> such</w:t>
      </w:r>
      <w:r w:rsidR="001C20BE" w:rsidRPr="00F62BCD">
        <w:t xml:space="preserve"> </w:t>
      </w:r>
      <w:r w:rsidR="001C20BE" w:rsidRPr="00CB2C3F">
        <w:rPr>
          <w:i/>
        </w:rPr>
        <w:t>The Jewish Bride</w:t>
      </w:r>
      <w:r w:rsidR="001C20BE" w:rsidRPr="00F62BCD">
        <w:t xml:space="preserve"> and </w:t>
      </w:r>
      <w:r w:rsidR="001C20BE" w:rsidRPr="00CB2C3F">
        <w:rPr>
          <w:i/>
        </w:rPr>
        <w:t>The Return of the Prodigal Son</w:t>
      </w:r>
      <w:r w:rsidR="001C20BE" w:rsidRPr="00F62BCD">
        <w:t xml:space="preserve">. </w:t>
      </w:r>
    </w:p>
    <w:p w14:paraId="33D4BF56" w14:textId="77777777" w:rsidR="001C20BE" w:rsidRPr="00F62BCD" w:rsidRDefault="001C20BE" w:rsidP="00AA0F4B"/>
    <w:p w14:paraId="6FEFF7FE" w14:textId="2FC2AF90" w:rsidR="00B43772" w:rsidRDefault="00895DDA" w:rsidP="00AA0F4B">
      <w:r>
        <w:t>This type of painting</w:t>
      </w:r>
      <w:r w:rsidR="001C20BE">
        <w:t xml:space="preserve"> merits the label </w:t>
      </w:r>
      <w:proofErr w:type="spellStart"/>
      <w:r w:rsidR="001C20BE">
        <w:t>intimism</w:t>
      </w:r>
      <w:proofErr w:type="spellEnd"/>
      <w:r w:rsidR="001C20BE">
        <w:t xml:space="preserve"> – not simply in </w:t>
      </w:r>
      <w:r w:rsidR="00D6786E">
        <w:t>its</w:t>
      </w:r>
      <w:r>
        <w:t xml:space="preserve"> tendency to depict</w:t>
      </w:r>
      <w:r w:rsidR="00DF1EB6">
        <w:t xml:space="preserve"> ‘intimate’</w:t>
      </w:r>
      <w:r w:rsidR="001C20BE">
        <w:t xml:space="preserve"> </w:t>
      </w:r>
      <w:r>
        <w:t xml:space="preserve">interiors and </w:t>
      </w:r>
      <w:r w:rsidR="001C20BE">
        <w:t xml:space="preserve">domestic subjects, </w:t>
      </w:r>
      <w:r>
        <w:t xml:space="preserve">but in the way it depicts them. </w:t>
      </w:r>
      <w:r w:rsidR="001C20BE">
        <w:t>The depicted sur</w:t>
      </w:r>
      <w:r w:rsidR="000A2C35">
        <w:t>faces appear as close, and tactilely available</w:t>
      </w:r>
      <w:r w:rsidR="001C20BE">
        <w:t xml:space="preserve"> – a feature </w:t>
      </w:r>
      <w:r w:rsidR="000A2C35">
        <w:t>that depends on</w:t>
      </w:r>
      <w:r w:rsidR="001C20BE">
        <w:t xml:space="preserve"> </w:t>
      </w:r>
      <w:r w:rsidR="000A2C35">
        <w:t xml:space="preserve">the </w:t>
      </w:r>
      <w:r w:rsidR="001C20BE">
        <w:t>planar</w:t>
      </w:r>
      <w:r>
        <w:t>ity of their</w:t>
      </w:r>
      <w:r w:rsidR="001C20BE">
        <w:t xml:space="preserve"> composition</w:t>
      </w:r>
      <w:r w:rsidR="000A2C35">
        <w:t>s</w:t>
      </w:r>
      <w:r w:rsidR="00064107">
        <w:t>;</w:t>
      </w:r>
      <w:r>
        <w:t xml:space="preserve"> a</w:t>
      </w:r>
      <w:r w:rsidR="001C20BE">
        <w:t>nd the viewer’s attention is encouraged to wander freely, in a relaxed way across the forms – a featur</w:t>
      </w:r>
      <w:r w:rsidR="00064107">
        <w:t xml:space="preserve">e that depends on </w:t>
      </w:r>
      <w:proofErr w:type="spellStart"/>
      <w:r w:rsidR="00064107">
        <w:t>painterliness</w:t>
      </w:r>
      <w:proofErr w:type="spellEnd"/>
      <w:r w:rsidR="00064107">
        <w:t xml:space="preserve">. </w:t>
      </w:r>
      <w:r w:rsidR="00DF1EB6">
        <w:t>These paintings also</w:t>
      </w:r>
      <w:r w:rsidR="00B43772">
        <w:t xml:space="preserve"> </w:t>
      </w:r>
      <w:r w:rsidR="00DF1EB6">
        <w:t>have</w:t>
      </w:r>
      <w:r w:rsidR="00B43772">
        <w:t xml:space="preserve"> </w:t>
      </w:r>
      <w:r w:rsidR="00D6786E">
        <w:t>a distinctive</w:t>
      </w:r>
      <w:r w:rsidR="00B43772">
        <w:t xml:space="preserve"> </w:t>
      </w:r>
      <w:r w:rsidR="001C20BE">
        <w:t>expressive effect</w:t>
      </w:r>
      <w:r w:rsidR="00B43772">
        <w:t xml:space="preserve">: the expression of a mood appropriate to the subjects depicted, but beyond that difficult to describe. As </w:t>
      </w:r>
      <w:r w:rsidR="00BD559A">
        <w:t>Andr</w:t>
      </w:r>
      <w:r w:rsidR="00BD559A">
        <w:rPr>
          <w:rFonts w:ascii="Cambria" w:hAnsi="Cambria"/>
        </w:rPr>
        <w:t>é</w:t>
      </w:r>
      <w:r w:rsidR="00BD559A">
        <w:t xml:space="preserve"> </w:t>
      </w:r>
      <w:r w:rsidR="00B43772">
        <w:t>Gide put it, “Vuillard speaks always in a whisper”, and much the same may be sai</w:t>
      </w:r>
      <w:r w:rsidR="00DF1EB6">
        <w:t>d of the other works</w:t>
      </w:r>
      <w:r w:rsidR="00BD559A">
        <w:t xml:space="preserve"> I have mentioned here</w:t>
      </w:r>
      <w:r w:rsidR="00B43772">
        <w:t>.</w:t>
      </w:r>
      <w:r w:rsidR="00BD559A">
        <w:rPr>
          <w:rStyle w:val="FootnoteReference"/>
        </w:rPr>
        <w:footnoteReference w:id="25"/>
      </w:r>
      <w:r w:rsidR="00BD559A">
        <w:t xml:space="preserve"> They produce a </w:t>
      </w:r>
      <w:r w:rsidR="0056716A">
        <w:t xml:space="preserve">distinctively </w:t>
      </w:r>
      <w:proofErr w:type="spellStart"/>
      <w:r w:rsidR="0056716A">
        <w:t>intimist</w:t>
      </w:r>
      <w:proofErr w:type="spellEnd"/>
      <w:r w:rsidR="0056716A">
        <w:t xml:space="preserve"> effect,</w:t>
      </w:r>
      <w:r w:rsidR="00BD559A">
        <w:t xml:space="preserve"> that is dependent, in part on a style that is both planar and painterly.</w:t>
      </w:r>
    </w:p>
    <w:p w14:paraId="75B2FA54" w14:textId="77777777" w:rsidR="00027811" w:rsidRDefault="00027811" w:rsidP="00AA0F4B"/>
    <w:p w14:paraId="6E3A5A1B" w14:textId="3128A7DE" w:rsidR="00027811" w:rsidRDefault="00D55C4D" w:rsidP="00AA0F4B">
      <w:r>
        <w:t>An objection could</w:t>
      </w:r>
      <w:r w:rsidR="00027811">
        <w:t xml:space="preserve"> be raised that this effect depends only on the associations prompted by the subject matter, not the formal qualities. The best response to this would come in the fo</w:t>
      </w:r>
      <w:r w:rsidR="009A24D0">
        <w:t xml:space="preserve">rm of a </w:t>
      </w:r>
      <w:proofErr w:type="spellStart"/>
      <w:r w:rsidR="00FE6308" w:rsidRPr="00DD11BC">
        <w:t>Wölfflin</w:t>
      </w:r>
      <w:r w:rsidR="00FE6308">
        <w:t>i</w:t>
      </w:r>
      <w:r w:rsidR="009A24D0">
        <w:t>an</w:t>
      </w:r>
      <w:proofErr w:type="spellEnd"/>
      <w:r w:rsidR="009A24D0">
        <w:t xml:space="preserve"> double projection</w:t>
      </w:r>
      <w:r w:rsidR="00027811">
        <w:t>, showing a</w:t>
      </w:r>
      <w:r w:rsidR="009A24D0">
        <w:t xml:space="preserve">n </w:t>
      </w:r>
      <w:proofErr w:type="spellStart"/>
      <w:r w:rsidR="009A24D0">
        <w:t>intimist</w:t>
      </w:r>
      <w:proofErr w:type="spellEnd"/>
      <w:r w:rsidR="009A24D0">
        <w:t xml:space="preserve"> painting on one side – say Bonnard’s </w:t>
      </w:r>
      <w:r w:rsidR="009A24D0" w:rsidRPr="009A24D0">
        <w:rPr>
          <w:i/>
        </w:rPr>
        <w:t>The Bowl of Milk</w:t>
      </w:r>
      <w:r w:rsidR="00027811">
        <w:t xml:space="preserve"> </w:t>
      </w:r>
      <w:r w:rsidR="009A24D0">
        <w:t xml:space="preserve">– </w:t>
      </w:r>
      <w:r w:rsidR="00027811">
        <w:t xml:space="preserve">and on the other a </w:t>
      </w:r>
      <w:r w:rsidR="009A24D0">
        <w:t>painting of</w:t>
      </w:r>
      <w:r w:rsidR="000703A7">
        <w:t xml:space="preserve"> similar subject</w:t>
      </w:r>
      <w:r w:rsidR="00027811">
        <w:t xml:space="preserve"> </w:t>
      </w:r>
      <w:r w:rsidR="000703A7">
        <w:t xml:space="preserve">matter </w:t>
      </w:r>
      <w:r>
        <w:t>in another style, such as</w:t>
      </w:r>
      <w:r w:rsidR="009A24D0">
        <w:t xml:space="preserve"> a seventeen</w:t>
      </w:r>
      <w:r>
        <w:t>th century Dutch still life</w:t>
      </w:r>
      <w:r w:rsidR="009A24D0">
        <w:t xml:space="preserve">. However enticing or homely the subject matter of the Dutch painting is, it lacks the distinctive effect of an </w:t>
      </w:r>
      <w:proofErr w:type="spellStart"/>
      <w:r w:rsidR="009A24D0">
        <w:t>intimist</w:t>
      </w:r>
      <w:proofErr w:type="spellEnd"/>
      <w:r w:rsidR="009A24D0">
        <w:t xml:space="preserve"> still life, thus demonstrating</w:t>
      </w:r>
      <w:r w:rsidR="009645FC">
        <w:t xml:space="preserve"> the contribution of </w:t>
      </w:r>
      <w:proofErr w:type="spellStart"/>
      <w:r w:rsidR="009645FC">
        <w:t>painterliness</w:t>
      </w:r>
      <w:proofErr w:type="spellEnd"/>
      <w:r w:rsidR="009645FC">
        <w:t xml:space="preserve"> and planarity to expressive effect.</w:t>
      </w:r>
    </w:p>
    <w:p w14:paraId="3DAA9DC0" w14:textId="77777777" w:rsidR="00850860" w:rsidRDefault="00850860" w:rsidP="00AA0F4B"/>
    <w:p w14:paraId="4DB4CEEC" w14:textId="50BB6704" w:rsidR="001C20BE" w:rsidRPr="0056716A" w:rsidRDefault="0056716A" w:rsidP="00AA0F4B">
      <w:r>
        <w:t xml:space="preserve">The second kind of planar and painterly picture has </w:t>
      </w:r>
      <w:r w:rsidRPr="0056716A">
        <w:t>a quite different expressive effect. Titian’s</w:t>
      </w:r>
      <w:r w:rsidR="001C20BE" w:rsidRPr="0056716A">
        <w:t xml:space="preserve"> </w:t>
      </w:r>
      <w:r w:rsidRPr="0056716A">
        <w:t xml:space="preserve">late painting, </w:t>
      </w:r>
      <w:r w:rsidR="001C20BE" w:rsidRPr="0056716A">
        <w:rPr>
          <w:i/>
        </w:rPr>
        <w:t xml:space="preserve">The Flaying of </w:t>
      </w:r>
      <w:proofErr w:type="spellStart"/>
      <w:r w:rsidR="001C20BE" w:rsidRPr="0056716A">
        <w:rPr>
          <w:i/>
        </w:rPr>
        <w:t>Marsyas</w:t>
      </w:r>
      <w:proofErr w:type="spellEnd"/>
      <w:r w:rsidRPr="0056716A">
        <w:rPr>
          <w:i/>
        </w:rPr>
        <w:t>,</w:t>
      </w:r>
      <w:r w:rsidRPr="0056716A">
        <w:t xml:space="preserve"> is an outstanding example of this type. </w:t>
      </w:r>
      <w:r w:rsidR="001C20BE" w:rsidRPr="0056716A">
        <w:t xml:space="preserve">The composition is as stridently planar as that of a Classical frieze. At the same time the work is an exemplar of </w:t>
      </w:r>
      <w:proofErr w:type="spellStart"/>
      <w:r w:rsidR="001C20BE" w:rsidRPr="0056716A">
        <w:t>painterline</w:t>
      </w:r>
      <w:r w:rsidR="00D55C4D">
        <w:t>ss</w:t>
      </w:r>
      <w:proofErr w:type="spellEnd"/>
      <w:r w:rsidR="00D55C4D">
        <w:t>. T</w:t>
      </w:r>
      <w:r w:rsidR="001C20BE">
        <w:t xml:space="preserve">he edges of the forms appear lost in murk, and the eye is guided across the depicted forms by the flickering </w:t>
      </w:r>
      <w:proofErr w:type="spellStart"/>
      <w:r w:rsidR="001C20BE">
        <w:t>brushmarks</w:t>
      </w:r>
      <w:proofErr w:type="spellEnd"/>
      <w:r w:rsidR="001C20BE">
        <w:t xml:space="preserve"> of Titian’s late style. </w:t>
      </w:r>
      <w:r w:rsidR="00D55C4D">
        <w:t>Despite sharing features</w:t>
      </w:r>
      <w:r w:rsidR="004F6813">
        <w:t xml:space="preserve"> of Classical</w:t>
      </w:r>
      <w:r w:rsidR="001C20BE">
        <w:t xml:space="preserve"> and Baroque</w:t>
      </w:r>
      <w:r w:rsidR="004F6813">
        <w:t xml:space="preserve"> styles,</w:t>
      </w:r>
      <w:r w:rsidR="001C20BE">
        <w:t xml:space="preserve"> the expressive effect it achieves</w:t>
      </w:r>
      <w:r w:rsidR="004F6813">
        <w:t xml:space="preserve"> is like neither of them</w:t>
      </w:r>
      <w:r>
        <w:t xml:space="preserve">. It is an example of Titian’s </w:t>
      </w:r>
      <w:proofErr w:type="spellStart"/>
      <w:r w:rsidR="001C20BE" w:rsidRPr="0056716A">
        <w:rPr>
          <w:i/>
        </w:rPr>
        <w:t>terribi</w:t>
      </w:r>
      <w:r w:rsidRPr="0056716A">
        <w:rPr>
          <w:i/>
        </w:rPr>
        <w:t>lita</w:t>
      </w:r>
      <w:proofErr w:type="spellEnd"/>
      <w:r w:rsidR="001C20BE">
        <w:t xml:space="preserve">. Its supernatural subject matter has a threatening and frightening quality that </w:t>
      </w:r>
      <w:r w:rsidR="009A309C">
        <w:t>gains from</w:t>
      </w:r>
      <w:r w:rsidR="004F6813">
        <w:t xml:space="preserve"> its apparent claustrophobic proximity to the viewer (</w:t>
      </w:r>
      <w:r w:rsidR="000A2C35" w:rsidRPr="0056716A">
        <w:t>achieved in</w:t>
      </w:r>
      <w:r w:rsidR="001C20BE" w:rsidRPr="0056716A">
        <w:t xml:space="preserve"> virtue of the composition’s planarity) and </w:t>
      </w:r>
      <w:r w:rsidR="009A309C">
        <w:t xml:space="preserve">its </w:t>
      </w:r>
      <w:r w:rsidR="001C20BE" w:rsidRPr="0056716A">
        <w:t xml:space="preserve">indistinct and obscure </w:t>
      </w:r>
      <w:r w:rsidR="004F6813">
        <w:t xml:space="preserve">appearance </w:t>
      </w:r>
      <w:r w:rsidR="001C20BE" w:rsidRPr="0056716A">
        <w:t xml:space="preserve">(which depends on its </w:t>
      </w:r>
      <w:proofErr w:type="spellStart"/>
      <w:r w:rsidR="001C20BE" w:rsidRPr="0056716A">
        <w:t>painterliness</w:t>
      </w:r>
      <w:proofErr w:type="spellEnd"/>
      <w:r w:rsidR="001C20BE" w:rsidRPr="0056716A">
        <w:t>).</w:t>
      </w:r>
    </w:p>
    <w:p w14:paraId="1444C9FB" w14:textId="77777777" w:rsidR="001C20BE" w:rsidRDefault="001C20BE" w:rsidP="00AA0F4B"/>
    <w:p w14:paraId="6BEFD700" w14:textId="1AF1EEB6" w:rsidR="000703A7" w:rsidRPr="009A6864" w:rsidRDefault="00656A23" w:rsidP="00AA0F4B">
      <w:r>
        <w:t>So h</w:t>
      </w:r>
      <w:r w:rsidR="00D55C4D">
        <w:t>ere too</w:t>
      </w:r>
      <w:r w:rsidR="009A309C">
        <w:t xml:space="preserve"> we have expressive properties – </w:t>
      </w:r>
      <w:r w:rsidR="00D55C4D">
        <w:t xml:space="preserve">an </w:t>
      </w:r>
      <w:r w:rsidR="009A309C">
        <w:t xml:space="preserve">expression of </w:t>
      </w:r>
      <w:r w:rsidR="00027811">
        <w:t xml:space="preserve">threatening and frightening </w:t>
      </w:r>
      <w:r w:rsidR="009A309C">
        <w:t>power</w:t>
      </w:r>
      <w:r w:rsidR="001C20BE" w:rsidRPr="00027811">
        <w:t xml:space="preserve"> </w:t>
      </w:r>
      <w:r w:rsidR="00027811">
        <w:t>–</w:t>
      </w:r>
      <w:r w:rsidR="002E4743">
        <w:rPr>
          <w:color w:val="FF0000"/>
        </w:rPr>
        <w:t xml:space="preserve"> </w:t>
      </w:r>
      <w:r w:rsidR="00027811">
        <w:t>i</w:t>
      </w:r>
      <w:r w:rsidR="001C20BE">
        <w:t>n part dependent on the planar and painterly style</w:t>
      </w:r>
      <w:r w:rsidR="001C20BE" w:rsidRPr="003003FE">
        <w:t xml:space="preserve">. </w:t>
      </w:r>
      <w:r w:rsidR="00D55C4D">
        <w:t>Again</w:t>
      </w:r>
      <w:r w:rsidR="000703A7">
        <w:t xml:space="preserve"> one might ask whether the painting in fact draws its impact solely from its subject matter</w:t>
      </w:r>
      <w:r w:rsidR="00D55C4D">
        <w:t>, and again the</w:t>
      </w:r>
      <w:r w:rsidR="009A6864">
        <w:t xml:space="preserve"> answer is found in comparing a depiction of the same subject mat</w:t>
      </w:r>
      <w:r w:rsidR="00706E33">
        <w:t>ter in a different style</w:t>
      </w:r>
      <w:r w:rsidR="009A6864">
        <w:t xml:space="preserve">. </w:t>
      </w:r>
      <w:r w:rsidR="00706E33">
        <w:t>Thus</w:t>
      </w:r>
      <w:r w:rsidR="009A6864">
        <w:t xml:space="preserve"> </w:t>
      </w:r>
      <w:r w:rsidR="00706E33">
        <w:t>Ribera’s</w:t>
      </w:r>
      <w:r w:rsidR="009A6864">
        <w:t xml:space="preserve"> </w:t>
      </w:r>
      <w:r w:rsidR="009A6864">
        <w:rPr>
          <w:i/>
        </w:rPr>
        <w:t xml:space="preserve">Apollo and </w:t>
      </w:r>
      <w:proofErr w:type="spellStart"/>
      <w:r w:rsidR="009A6864">
        <w:rPr>
          <w:i/>
        </w:rPr>
        <w:t>Ma</w:t>
      </w:r>
      <w:r w:rsidR="009A6864" w:rsidRPr="009A6864">
        <w:rPr>
          <w:i/>
        </w:rPr>
        <w:t>rsyas</w:t>
      </w:r>
      <w:proofErr w:type="spellEnd"/>
      <w:r w:rsidR="009A6864">
        <w:t xml:space="preserve">, </w:t>
      </w:r>
      <w:r w:rsidR="00C322B4">
        <w:t>to take a rather harrowing Baroque depiction of the same subject</w:t>
      </w:r>
      <w:r w:rsidR="004C7987">
        <w:t xml:space="preserve">, does not </w:t>
      </w:r>
      <w:r w:rsidR="00706E33">
        <w:t>ins</w:t>
      </w:r>
      <w:r w:rsidR="004C7987">
        <w:t>p</w:t>
      </w:r>
      <w:r w:rsidR="00706E33">
        <w:t>ire the dreadful awe</w:t>
      </w:r>
      <w:r w:rsidR="009A6864">
        <w:t xml:space="preserve"> </w:t>
      </w:r>
      <w:r w:rsidR="0034634A">
        <w:t xml:space="preserve">of </w:t>
      </w:r>
      <w:r w:rsidR="009A6864">
        <w:t>Titian’s painting.</w:t>
      </w:r>
      <w:r w:rsidR="009A6864">
        <w:rPr>
          <w:rStyle w:val="FootnoteReference"/>
        </w:rPr>
        <w:footnoteReference w:id="26"/>
      </w:r>
    </w:p>
    <w:p w14:paraId="76ABDDD8" w14:textId="77777777" w:rsidR="0080400C" w:rsidRDefault="0080400C" w:rsidP="0080400C"/>
    <w:p w14:paraId="3BFC84C7" w14:textId="1914A74A" w:rsidR="0080400C" w:rsidRPr="0080400C" w:rsidRDefault="000B2A3A" w:rsidP="0080400C">
      <w:pPr>
        <w:rPr>
          <w:b/>
        </w:rPr>
      </w:pPr>
      <w:r>
        <w:rPr>
          <w:b/>
        </w:rPr>
        <w:t xml:space="preserve">4. </w:t>
      </w:r>
      <w:proofErr w:type="spellStart"/>
      <w:r w:rsidR="00FE6308" w:rsidRPr="00FE6308">
        <w:rPr>
          <w:b/>
        </w:rPr>
        <w:t>Wölfflin</w:t>
      </w:r>
      <w:r w:rsidR="00F63D3E" w:rsidRPr="00FE6308">
        <w:rPr>
          <w:b/>
        </w:rPr>
        <w:t>’</w:t>
      </w:r>
      <w:r w:rsidR="00F63D3E">
        <w:rPr>
          <w:b/>
        </w:rPr>
        <w:t>s</w:t>
      </w:r>
      <w:proofErr w:type="spellEnd"/>
      <w:r w:rsidR="00F63D3E">
        <w:rPr>
          <w:b/>
        </w:rPr>
        <w:t xml:space="preserve"> </w:t>
      </w:r>
      <w:r w:rsidR="00620F36">
        <w:rPr>
          <w:b/>
        </w:rPr>
        <w:t>‘unity of visual form</w:t>
      </w:r>
      <w:r w:rsidR="00F63D3E">
        <w:rPr>
          <w:b/>
        </w:rPr>
        <w:t>s</w:t>
      </w:r>
      <w:r w:rsidR="00620F36">
        <w:rPr>
          <w:b/>
        </w:rPr>
        <w:t>’</w:t>
      </w:r>
    </w:p>
    <w:p w14:paraId="6231FD7A" w14:textId="77777777" w:rsidR="0080400C" w:rsidRDefault="0080400C" w:rsidP="0080400C"/>
    <w:p w14:paraId="70F5D6FE" w14:textId="068BB461" w:rsidR="0080400C" w:rsidRDefault="00737AA2" w:rsidP="0080400C">
      <w:r>
        <w:t xml:space="preserve">I </w:t>
      </w:r>
      <w:r w:rsidR="0034634A">
        <w:t xml:space="preserve">now </w:t>
      </w:r>
      <w:r>
        <w:t xml:space="preserve">come back </w:t>
      </w:r>
      <w:r w:rsidR="0034634A">
        <w:t xml:space="preserve">to the question of </w:t>
      </w:r>
      <w:r w:rsidR="00620F36">
        <w:t xml:space="preserve">why it is that linear and planar, and </w:t>
      </w:r>
      <w:proofErr w:type="spellStart"/>
      <w:r w:rsidR="00620F36">
        <w:t>painterliness</w:t>
      </w:r>
      <w:proofErr w:type="spellEnd"/>
      <w:r w:rsidR="00620F36">
        <w:t xml:space="preserve"> and recession, go together for </w:t>
      </w:r>
      <w:proofErr w:type="spellStart"/>
      <w:r w:rsidR="00FE6308" w:rsidRPr="00DD11BC">
        <w:t>Wölfflin</w:t>
      </w:r>
      <w:proofErr w:type="spellEnd"/>
      <w:r w:rsidR="007735B1">
        <w:t>. I</w:t>
      </w:r>
      <w:r w:rsidR="00AE47C8">
        <w:t>n what sense do they</w:t>
      </w:r>
      <w:r w:rsidR="00620F36">
        <w:t xml:space="preserve"> </w:t>
      </w:r>
      <w:r>
        <w:t xml:space="preserve">form a ‘unity of visual forms’? </w:t>
      </w:r>
      <w:proofErr w:type="spellStart"/>
      <w:r w:rsidR="00FE6308" w:rsidRPr="00DD11BC">
        <w:t>Wölfflin</w:t>
      </w:r>
      <w:proofErr w:type="spellEnd"/>
      <w:r w:rsidR="00FE6308">
        <w:t xml:space="preserve"> </w:t>
      </w:r>
      <w:r w:rsidR="007735B1">
        <w:t>calls</w:t>
      </w:r>
      <w:r w:rsidR="00620F36">
        <w:t xml:space="preserve"> </w:t>
      </w:r>
      <w:r w:rsidR="000846E0">
        <w:t>linear and planar, and</w:t>
      </w:r>
      <w:r w:rsidR="00806222">
        <w:t xml:space="preserve"> </w:t>
      </w:r>
      <w:proofErr w:type="spellStart"/>
      <w:r w:rsidR="00806222">
        <w:t>painterliness</w:t>
      </w:r>
      <w:proofErr w:type="spellEnd"/>
      <w:r w:rsidR="00806222">
        <w:t xml:space="preserve"> and recession, </w:t>
      </w:r>
      <w:r w:rsidR="0080400C">
        <w:t xml:space="preserve">“different roots of one plant”, </w:t>
      </w:r>
      <w:r w:rsidR="00620F36">
        <w:t xml:space="preserve">and </w:t>
      </w:r>
      <w:r w:rsidR="0080400C">
        <w:t>“one and the same thing, but seen from a different standpoint”.</w:t>
      </w:r>
      <w:r w:rsidR="0080400C">
        <w:rPr>
          <w:rStyle w:val="FootnoteReference"/>
        </w:rPr>
        <w:footnoteReference w:id="27"/>
      </w:r>
      <w:r w:rsidR="0080400C">
        <w:t xml:space="preserve"> </w:t>
      </w:r>
      <w:r w:rsidR="00806222">
        <w:t xml:space="preserve">The significance of such comments </w:t>
      </w:r>
      <w:r w:rsidR="00620F36">
        <w:t>is</w:t>
      </w:r>
      <w:r w:rsidR="00806222">
        <w:t xml:space="preserve"> difficult to pin down</w:t>
      </w:r>
      <w:r w:rsidR="00620F36">
        <w:t xml:space="preserve">, but a helpful way </w:t>
      </w:r>
      <w:r w:rsidR="000846E0">
        <w:t>to understand him is to take his view as holding that</w:t>
      </w:r>
      <w:r w:rsidR="00620F36">
        <w:t xml:space="preserve"> these </w:t>
      </w:r>
      <w:r w:rsidR="000846E0">
        <w:t xml:space="preserve">pairs of </w:t>
      </w:r>
      <w:r w:rsidR="00620F36">
        <w:t>concepts are</w:t>
      </w:r>
      <w:r w:rsidR="0080400C">
        <w:t xml:space="preserve"> aspects</w:t>
      </w:r>
      <w:r w:rsidR="000846E0">
        <w:t xml:space="preserve"> of a single kind of vision, a ‘</w:t>
      </w:r>
      <w:r w:rsidR="0080400C">
        <w:t>Classic</w:t>
      </w:r>
      <w:r w:rsidR="000846E0">
        <w:t>al’</w:t>
      </w:r>
      <w:r w:rsidR="00E0702E">
        <w:t xml:space="preserve"> vision</w:t>
      </w:r>
      <w:r w:rsidR="000846E0">
        <w:t>,</w:t>
      </w:r>
      <w:r w:rsidR="00E0702E">
        <w:t xml:space="preserve"> and </w:t>
      </w:r>
      <w:r w:rsidR="000846E0">
        <w:t>a ‘Baroque’</w:t>
      </w:r>
      <w:r w:rsidR="00E0702E">
        <w:t xml:space="preserve"> vision. </w:t>
      </w:r>
      <w:r w:rsidR="001B59E0">
        <w:t xml:space="preserve">The examples of the previous section make it abundantly clear </w:t>
      </w:r>
      <w:r w:rsidR="0080400C">
        <w:t>that there is no necessary reason why linear must accompany planar</w:t>
      </w:r>
      <w:r w:rsidR="00936678">
        <w:t>,</w:t>
      </w:r>
      <w:r w:rsidR="0080400C">
        <w:t xml:space="preserve"> and </w:t>
      </w:r>
      <w:r w:rsidR="00936678">
        <w:t xml:space="preserve">why </w:t>
      </w:r>
      <w:proofErr w:type="spellStart"/>
      <w:r w:rsidR="0080400C">
        <w:t>painterliness</w:t>
      </w:r>
      <w:proofErr w:type="spellEnd"/>
      <w:r w:rsidR="0080400C">
        <w:t xml:space="preserve"> </w:t>
      </w:r>
      <w:r w:rsidR="00936678">
        <w:t xml:space="preserve">must </w:t>
      </w:r>
      <w:r w:rsidR="0080400C">
        <w:t>accompany recession</w:t>
      </w:r>
      <w:r w:rsidR="00936678">
        <w:t>, either</w:t>
      </w:r>
      <w:r w:rsidR="0080400C">
        <w:t xml:space="preserve"> in style or </w:t>
      </w:r>
      <w:r w:rsidR="00936678">
        <w:t xml:space="preserve">in </w:t>
      </w:r>
      <w:r w:rsidR="0080400C">
        <w:t xml:space="preserve">vision. </w:t>
      </w:r>
      <w:r w:rsidR="00820DC3">
        <w:t>Still</w:t>
      </w:r>
      <w:r w:rsidR="00806222">
        <w:t>,</w:t>
      </w:r>
      <w:r w:rsidR="0097758D">
        <w:t xml:space="preserve"> </w:t>
      </w:r>
      <w:proofErr w:type="spellStart"/>
      <w:r w:rsidR="00FE6308" w:rsidRPr="00DD11BC">
        <w:t>Wölfflin</w:t>
      </w:r>
      <w:proofErr w:type="spellEnd"/>
      <w:r w:rsidR="00FE6308">
        <w:t xml:space="preserve"> </w:t>
      </w:r>
      <w:r w:rsidR="0097758D">
        <w:t xml:space="preserve">must have been aware </w:t>
      </w:r>
      <w:r w:rsidR="00822BE1">
        <w:t xml:space="preserve">of </w:t>
      </w:r>
      <w:r w:rsidR="0097758D">
        <w:t xml:space="preserve">the </w:t>
      </w:r>
      <w:r w:rsidR="001B5A79">
        <w:t xml:space="preserve">kinds of examples I </w:t>
      </w:r>
      <w:r w:rsidR="00820DC3">
        <w:t>discussed in the previous section</w:t>
      </w:r>
      <w:r w:rsidR="001B5A79">
        <w:t xml:space="preserve">, even if he gave them little </w:t>
      </w:r>
      <w:r w:rsidR="00F71BDB">
        <w:t>weight</w:t>
      </w:r>
      <w:r w:rsidR="001B5A79">
        <w:t>.</w:t>
      </w:r>
      <w:r w:rsidR="0097758D">
        <w:t xml:space="preserve"> </w:t>
      </w:r>
      <w:r w:rsidR="00A673B2">
        <w:t>So</w:t>
      </w:r>
      <w:r w:rsidR="001B59E0">
        <w:t xml:space="preserve"> it is reasonable </w:t>
      </w:r>
      <w:r w:rsidR="00820DC3">
        <w:t xml:space="preserve">to understand him as claiming that it is vision </w:t>
      </w:r>
      <w:r w:rsidR="001B59E0">
        <w:t xml:space="preserve">instead </w:t>
      </w:r>
      <w:r w:rsidR="00820DC3">
        <w:t xml:space="preserve">that </w:t>
      </w:r>
      <w:r w:rsidR="000846E0">
        <w:t xml:space="preserve">binds these concepts </w:t>
      </w:r>
      <w:r w:rsidR="00820DC3">
        <w:t>together. Th</w:t>
      </w:r>
      <w:r w:rsidR="001B59E0">
        <w:t>is view can be articulated as follows</w:t>
      </w:r>
      <w:r w:rsidR="00D75D8B">
        <w:t>: (</w:t>
      </w:r>
      <w:proofErr w:type="spellStart"/>
      <w:r w:rsidR="00D75D8B">
        <w:t>i</w:t>
      </w:r>
      <w:proofErr w:type="spellEnd"/>
      <w:r w:rsidR="00D75D8B">
        <w:t>) t</w:t>
      </w:r>
      <w:r w:rsidR="00620C42">
        <w:t>hat</w:t>
      </w:r>
      <w:r w:rsidR="00182607" w:rsidRPr="00182607">
        <w:rPr>
          <w:i/>
        </w:rPr>
        <w:t xml:space="preserve"> pictures</w:t>
      </w:r>
      <w:r w:rsidR="00620C42">
        <w:t xml:space="preserve"> can</w:t>
      </w:r>
      <w:r w:rsidR="00182607">
        <w:t xml:space="preserve"> combine linear and recessional, a</w:t>
      </w:r>
      <w:r w:rsidR="00822BE1">
        <w:t>nd painterly and planar, but</w:t>
      </w:r>
      <w:r w:rsidR="00D75D8B">
        <w:t xml:space="preserve"> (ii</w:t>
      </w:r>
      <w:r w:rsidR="00620C42">
        <w:t xml:space="preserve">) </w:t>
      </w:r>
      <w:r w:rsidR="00620C42" w:rsidRPr="00806222">
        <w:t xml:space="preserve">there is no kind of </w:t>
      </w:r>
      <w:r w:rsidR="00620C42" w:rsidRPr="00806222">
        <w:rPr>
          <w:i/>
        </w:rPr>
        <w:t>vision</w:t>
      </w:r>
      <w:r w:rsidR="00620C42" w:rsidRPr="00806222">
        <w:t xml:space="preserve"> that corresponds with</w:t>
      </w:r>
      <w:r w:rsidR="00182607" w:rsidRPr="00806222">
        <w:t xml:space="preserve"> these</w:t>
      </w:r>
      <w:r w:rsidR="00620C42" w:rsidRPr="00806222">
        <w:t xml:space="preserve"> combinations</w:t>
      </w:r>
      <w:r w:rsidR="00182607" w:rsidRPr="00806222">
        <w:t>. That is to say, he understood human vision t</w:t>
      </w:r>
      <w:r w:rsidR="000846E0" w:rsidRPr="00806222">
        <w:t>o exist on a continuum between ‘C</w:t>
      </w:r>
      <w:r w:rsidR="00182607" w:rsidRPr="00806222">
        <w:t>lassical</w:t>
      </w:r>
      <w:r w:rsidR="000846E0" w:rsidRPr="00806222">
        <w:t>’</w:t>
      </w:r>
      <w:r w:rsidR="00182607" w:rsidRPr="00806222">
        <w:t xml:space="preserve"> and </w:t>
      </w:r>
      <w:r w:rsidR="000846E0" w:rsidRPr="00806222">
        <w:t>‘</w:t>
      </w:r>
      <w:r w:rsidR="00F71BDB" w:rsidRPr="00806222">
        <w:t>B</w:t>
      </w:r>
      <w:r w:rsidR="00182607" w:rsidRPr="00806222">
        <w:t>aroque</w:t>
      </w:r>
      <w:r w:rsidR="000846E0" w:rsidRPr="00806222">
        <w:t>’</w:t>
      </w:r>
      <w:r w:rsidR="00182607" w:rsidRPr="00806222">
        <w:t>, and these pictures do not occupy a place on that continuum.</w:t>
      </w:r>
      <w:r w:rsidR="002B0557" w:rsidRPr="00806222">
        <w:t xml:space="preserve"> To be clear</w:t>
      </w:r>
      <w:r w:rsidR="00820DC3" w:rsidRPr="00806222">
        <w:t xml:space="preserve"> </w:t>
      </w:r>
      <w:r w:rsidR="009D4949" w:rsidRPr="00806222">
        <w:t>again about my own position</w:t>
      </w:r>
      <w:r w:rsidR="002B0557" w:rsidRPr="00806222">
        <w:t>,</w:t>
      </w:r>
      <w:r w:rsidR="00D75D8B" w:rsidRPr="00806222">
        <w:t xml:space="preserve"> while I accept (</w:t>
      </w:r>
      <w:proofErr w:type="spellStart"/>
      <w:r w:rsidR="00D75D8B" w:rsidRPr="00806222">
        <w:t>i</w:t>
      </w:r>
      <w:proofErr w:type="spellEnd"/>
      <w:r w:rsidR="00D75D8B" w:rsidRPr="00806222">
        <w:t>), I reject (ii</w:t>
      </w:r>
      <w:r w:rsidR="00806222" w:rsidRPr="00806222">
        <w:t>).</w:t>
      </w:r>
      <w:r w:rsidR="009D4949" w:rsidRPr="00806222">
        <w:t xml:space="preserve"> </w:t>
      </w:r>
      <w:r w:rsidR="009209CC" w:rsidRPr="00806222">
        <w:t>My rejection of</w:t>
      </w:r>
      <w:r w:rsidR="009209CC">
        <w:t xml:space="preserve"> </w:t>
      </w:r>
      <w:r w:rsidR="00806222">
        <w:t>the view I attribute</w:t>
      </w:r>
      <w:r w:rsidR="001B59E0">
        <w:t xml:space="preserve"> to </w:t>
      </w:r>
      <w:proofErr w:type="spellStart"/>
      <w:r w:rsidR="000C447B" w:rsidRPr="00DD11BC">
        <w:t>Wölfflin</w:t>
      </w:r>
      <w:proofErr w:type="spellEnd"/>
      <w:r w:rsidR="009D4949">
        <w:t xml:space="preserve"> leaves me </w:t>
      </w:r>
      <w:r w:rsidR="001B59E0">
        <w:t>to find another account</w:t>
      </w:r>
      <w:r w:rsidR="00806222">
        <w:t xml:space="preserve"> of the</w:t>
      </w:r>
      <w:r w:rsidR="009D4949">
        <w:t xml:space="preserve"> affinity of</w:t>
      </w:r>
      <w:r w:rsidR="001B5A79">
        <w:t xml:space="preserve"> linear and</w:t>
      </w:r>
      <w:r w:rsidR="001B59E0">
        <w:t xml:space="preserve"> planar</w:t>
      </w:r>
      <w:r w:rsidR="001B5A79">
        <w:t xml:space="preserve">, and </w:t>
      </w:r>
      <w:proofErr w:type="spellStart"/>
      <w:r w:rsidR="00E055D8">
        <w:t>painterli</w:t>
      </w:r>
      <w:r w:rsidR="009D4949">
        <w:t>n</w:t>
      </w:r>
      <w:r w:rsidR="00E055D8">
        <w:t>ess</w:t>
      </w:r>
      <w:proofErr w:type="spellEnd"/>
      <w:r w:rsidR="00E055D8">
        <w:t xml:space="preserve"> and recession</w:t>
      </w:r>
      <w:r w:rsidR="009D4949">
        <w:t xml:space="preserve">. </w:t>
      </w:r>
      <w:r w:rsidR="00184306">
        <w:t xml:space="preserve">We have seen </w:t>
      </w:r>
      <w:r w:rsidR="00E055D8">
        <w:t>that these combinations are not the only ways of composing a successful painting, but they</w:t>
      </w:r>
      <w:r w:rsidR="00184306">
        <w:t xml:space="preserve"> </w:t>
      </w:r>
      <w:r w:rsidR="00AA3EFB">
        <w:t>do seem to be</w:t>
      </w:r>
      <w:r w:rsidR="00184306">
        <w:t xml:space="preserve"> effective ones</w:t>
      </w:r>
      <w:r w:rsidR="001B59E0">
        <w:t>.</w:t>
      </w:r>
      <w:r w:rsidR="00184306">
        <w:t xml:space="preserve"> Why is that?</w:t>
      </w:r>
      <w:r w:rsidR="00E055D8">
        <w:t xml:space="preserve"> Let me sketch a response to that question. </w:t>
      </w:r>
    </w:p>
    <w:p w14:paraId="353A7509" w14:textId="77777777" w:rsidR="0097758D" w:rsidRDefault="0097758D" w:rsidP="0080400C"/>
    <w:p w14:paraId="628B9033" w14:textId="43441674" w:rsidR="0080400C" w:rsidRDefault="00134CDD" w:rsidP="00FE456A">
      <w:r>
        <w:t xml:space="preserve">If </w:t>
      </w:r>
      <w:r w:rsidR="0080400C">
        <w:t>there is such a connection between</w:t>
      </w:r>
      <w:r>
        <w:t xml:space="preserve"> the concepts, it must have a basis</w:t>
      </w:r>
      <w:r w:rsidR="00E055D8">
        <w:t xml:space="preserve"> </w:t>
      </w:r>
      <w:r w:rsidR="0080400C">
        <w:t>in th</w:t>
      </w:r>
      <w:r w:rsidR="00FE456A">
        <w:t>eir phenomenology</w:t>
      </w:r>
      <w:r>
        <w:t xml:space="preserve"> – since they are properly understood in terms of experience</w:t>
      </w:r>
      <w:r w:rsidR="00FE456A">
        <w:t xml:space="preserve">. </w:t>
      </w:r>
      <w:r w:rsidR="009D4949">
        <w:t>On my account</w:t>
      </w:r>
      <w:r>
        <w:t xml:space="preserve"> that</w:t>
      </w:r>
      <w:r w:rsidR="00FE456A">
        <w:t xml:space="preserve"> </w:t>
      </w:r>
      <w:r w:rsidR="009D4949">
        <w:t>will mean</w:t>
      </w:r>
      <w:r w:rsidR="00FE456A">
        <w:t xml:space="preserve"> fi</w:t>
      </w:r>
      <w:r>
        <w:t>nding a connection</w:t>
      </w:r>
      <w:r w:rsidR="00FE456A">
        <w:t xml:space="preserve"> between the kinds of movement of visual attention that </w:t>
      </w:r>
      <w:r>
        <w:t>I have described as characterizing</w:t>
      </w:r>
      <w:r w:rsidR="00FE456A">
        <w:t xml:space="preserve"> </w:t>
      </w:r>
      <w:r>
        <w:t>the concepts</w:t>
      </w:r>
      <w:r w:rsidR="00806222">
        <w:t>. This</w:t>
      </w:r>
      <w:r w:rsidR="00FE456A">
        <w:t xml:space="preserve"> can be done as follows:</w:t>
      </w:r>
    </w:p>
    <w:p w14:paraId="1F27CD05" w14:textId="77777777" w:rsidR="0080400C" w:rsidRDefault="0080400C" w:rsidP="009D4949"/>
    <w:p w14:paraId="54F10026" w14:textId="6172E8C5" w:rsidR="0080400C" w:rsidRPr="00660367" w:rsidRDefault="00660367" w:rsidP="009D4949">
      <w:pPr>
        <w:ind w:left="360"/>
        <w:rPr>
          <w:i/>
        </w:rPr>
      </w:pPr>
      <w:r w:rsidRPr="00660367">
        <w:rPr>
          <w:i/>
        </w:rPr>
        <w:t>In b</w:t>
      </w:r>
      <w:r w:rsidR="009D4949" w:rsidRPr="00660367">
        <w:rPr>
          <w:i/>
        </w:rPr>
        <w:t xml:space="preserve">oth linear and planar </w:t>
      </w:r>
      <w:r w:rsidRPr="00660367">
        <w:rPr>
          <w:i/>
        </w:rPr>
        <w:t xml:space="preserve">experience, </w:t>
      </w:r>
      <w:r w:rsidR="0080400C" w:rsidRPr="00660367">
        <w:rPr>
          <w:i/>
        </w:rPr>
        <w:t xml:space="preserve">attention is constrained in space – constrained to the edges of bodies, and constrained to planes that appear </w:t>
      </w:r>
      <w:r w:rsidRPr="00660367">
        <w:rPr>
          <w:i/>
        </w:rPr>
        <w:t>to face the viewer</w:t>
      </w:r>
      <w:r w:rsidR="0080400C" w:rsidRPr="00660367">
        <w:rPr>
          <w:i/>
        </w:rPr>
        <w:t>.</w:t>
      </w:r>
    </w:p>
    <w:p w14:paraId="3C9F88A6" w14:textId="77777777" w:rsidR="0080400C" w:rsidRPr="00660367" w:rsidRDefault="0080400C" w:rsidP="009D4949">
      <w:pPr>
        <w:rPr>
          <w:i/>
        </w:rPr>
      </w:pPr>
    </w:p>
    <w:p w14:paraId="4F4A0FC9" w14:textId="38938E48" w:rsidR="0080400C" w:rsidRPr="00660367" w:rsidRDefault="00660367" w:rsidP="009D4949">
      <w:pPr>
        <w:ind w:left="360"/>
        <w:rPr>
          <w:i/>
        </w:rPr>
      </w:pPr>
      <w:r w:rsidRPr="00660367">
        <w:rPr>
          <w:i/>
        </w:rPr>
        <w:t>In both</w:t>
      </w:r>
      <w:r w:rsidR="0080400C" w:rsidRPr="00660367">
        <w:rPr>
          <w:i/>
        </w:rPr>
        <w:t xml:space="preserve"> pai</w:t>
      </w:r>
      <w:r w:rsidRPr="00660367">
        <w:rPr>
          <w:i/>
        </w:rPr>
        <w:t>nterly</w:t>
      </w:r>
      <w:r w:rsidR="009D4949" w:rsidRPr="00660367">
        <w:rPr>
          <w:i/>
        </w:rPr>
        <w:t xml:space="preserve"> and recession</w:t>
      </w:r>
      <w:r w:rsidRPr="00660367">
        <w:rPr>
          <w:i/>
        </w:rPr>
        <w:t>al experience,</w:t>
      </w:r>
      <w:r w:rsidR="0080400C" w:rsidRPr="00660367">
        <w:rPr>
          <w:i/>
        </w:rPr>
        <w:t xml:space="preserve"> attention is (by comparison) unconstrained – it roves across bodies, and moves back and forth</w:t>
      </w:r>
      <w:r w:rsidR="00806222">
        <w:rPr>
          <w:i/>
        </w:rPr>
        <w:t>,</w:t>
      </w:r>
      <w:r w:rsidR="0080400C" w:rsidRPr="00660367">
        <w:rPr>
          <w:i/>
        </w:rPr>
        <w:t xml:space="preserve"> in and out of deep space.</w:t>
      </w:r>
    </w:p>
    <w:p w14:paraId="674C76CC" w14:textId="77777777" w:rsidR="0080400C" w:rsidRDefault="0080400C" w:rsidP="0080400C"/>
    <w:p w14:paraId="740178C6" w14:textId="4F1CA2BD" w:rsidR="00194F37" w:rsidRDefault="0080400C" w:rsidP="0080400C">
      <w:r>
        <w:t>So</w:t>
      </w:r>
      <w:r w:rsidR="009D4949">
        <w:t>,</w:t>
      </w:r>
      <w:r w:rsidR="00560723">
        <w:t xml:space="preserve"> linear and planar</w:t>
      </w:r>
      <w:r w:rsidR="00F47CB1">
        <w:t xml:space="preserve"> </w:t>
      </w:r>
      <w:r w:rsidR="00560723">
        <w:t xml:space="preserve">involve the </w:t>
      </w:r>
      <w:r>
        <w:t>constrain</w:t>
      </w:r>
      <w:r w:rsidR="00560723">
        <w:t>t of</w:t>
      </w:r>
      <w:r>
        <w:t xml:space="preserve"> vision, while </w:t>
      </w:r>
      <w:proofErr w:type="spellStart"/>
      <w:r w:rsidR="00184306">
        <w:t>p</w:t>
      </w:r>
      <w:r w:rsidR="00F71BDB">
        <w:t>ainterliness</w:t>
      </w:r>
      <w:proofErr w:type="spellEnd"/>
      <w:r w:rsidR="00F71BDB">
        <w:t xml:space="preserve"> and recession</w:t>
      </w:r>
      <w:r w:rsidR="00560723">
        <w:t xml:space="preserve"> do</w:t>
      </w:r>
      <w:r>
        <w:t xml:space="preserve"> not.</w:t>
      </w:r>
      <w:r w:rsidR="00D71D0B">
        <w:t xml:space="preserve"> Let me</w:t>
      </w:r>
      <w:r w:rsidR="00560723">
        <w:t xml:space="preserve"> </w:t>
      </w:r>
      <w:r w:rsidR="009D4949">
        <w:t xml:space="preserve">make the </w:t>
      </w:r>
      <w:r w:rsidR="00D71D0B">
        <w:t xml:space="preserve">now </w:t>
      </w:r>
      <w:r w:rsidR="009D4949">
        <w:t xml:space="preserve">familiar move of </w:t>
      </w:r>
      <w:r w:rsidR="00D71D0B">
        <w:t xml:space="preserve">introducing expression to my analysis. Although it would have especially dismayed </w:t>
      </w:r>
      <w:proofErr w:type="spellStart"/>
      <w:r w:rsidR="000C447B" w:rsidRPr="00DD11BC">
        <w:t>Wölfflin</w:t>
      </w:r>
      <w:proofErr w:type="spellEnd"/>
      <w:r w:rsidR="000C447B">
        <w:t xml:space="preserve"> </w:t>
      </w:r>
      <w:r w:rsidR="00D71D0B">
        <w:t xml:space="preserve">in this case, it </w:t>
      </w:r>
      <w:r w:rsidR="00806222">
        <w:t>seems to me</w:t>
      </w:r>
      <w:r w:rsidR="00D71D0B">
        <w:t xml:space="preserve"> unavoidable. The terms in which </w:t>
      </w:r>
      <w:r w:rsidR="00D71D0B" w:rsidRPr="00DA5CE2">
        <w:t>I have made my analysis</w:t>
      </w:r>
      <w:r w:rsidR="00560723" w:rsidRPr="00DA5CE2">
        <w:t xml:space="preserve"> are not ar</w:t>
      </w:r>
      <w:r w:rsidR="00D71D0B" w:rsidRPr="00DA5CE2">
        <w:t>tistically significant: I can see</w:t>
      </w:r>
      <w:r w:rsidR="00560723" w:rsidRPr="00DA5CE2">
        <w:t xml:space="preserve"> no reason </w:t>
      </w:r>
      <w:r w:rsidR="00806222" w:rsidRPr="00DA5CE2">
        <w:t>why</w:t>
      </w:r>
      <w:r w:rsidRPr="00DA5CE2">
        <w:t xml:space="preserve"> painters or viewers would have cared whether visual attention is either consistently free or consistently constrained. </w:t>
      </w:r>
      <w:r w:rsidR="00D71D0B" w:rsidRPr="00DA5CE2">
        <w:t>As with the other combinations I have examined</w:t>
      </w:r>
      <w:r w:rsidR="00D71D0B">
        <w:t>, i</w:t>
      </w:r>
      <w:r w:rsidR="00AD3FD9">
        <w:t>t is in supporting expressive</w:t>
      </w:r>
      <w:r w:rsidR="00D71D0B">
        <w:t xml:space="preserve"> qualit</w:t>
      </w:r>
      <w:r w:rsidR="00806222">
        <w:t>ies that they</w:t>
      </w:r>
      <w:r w:rsidR="00D71D0B">
        <w:t xml:space="preserve"> </w:t>
      </w:r>
      <w:r w:rsidR="006375BC">
        <w:t xml:space="preserve">can </w:t>
      </w:r>
      <w:r w:rsidR="00D71D0B">
        <w:t>find significance</w:t>
      </w:r>
      <w:r w:rsidR="00AD3FD9">
        <w:t>.</w:t>
      </w:r>
      <w:r w:rsidR="00F626A3">
        <w:t xml:space="preserve"> </w:t>
      </w:r>
      <w:r>
        <w:t xml:space="preserve">Constrained, visual attention proceeds in a slow, measured way. That </w:t>
      </w:r>
      <w:r w:rsidR="00AD3FD9">
        <w:t xml:space="preserve">kind of movement </w:t>
      </w:r>
      <w:r>
        <w:t xml:space="preserve">is apt to express some of the qualities we associate </w:t>
      </w:r>
      <w:r w:rsidR="00F71BDB">
        <w:t>with C</w:t>
      </w:r>
      <w:r w:rsidRPr="00F82332">
        <w:t xml:space="preserve">lassicism: calm, care, </w:t>
      </w:r>
      <w:proofErr w:type="gramStart"/>
      <w:r w:rsidRPr="00F82332">
        <w:t>meditativeness</w:t>
      </w:r>
      <w:proofErr w:type="gramEnd"/>
      <w:r w:rsidRPr="00F82332">
        <w:t>.</w:t>
      </w:r>
      <w:r>
        <w:t xml:space="preserve"> </w:t>
      </w:r>
      <w:r w:rsidR="00F626A3">
        <w:t xml:space="preserve">Indeed, despite his desire to keep Classical and Baroque separated from expression in his analysis, </w:t>
      </w:r>
      <w:proofErr w:type="spellStart"/>
      <w:r w:rsidR="000C447B" w:rsidRPr="00DD11BC">
        <w:t>Wölfflin</w:t>
      </w:r>
      <w:proofErr w:type="spellEnd"/>
      <w:r w:rsidR="000C447B">
        <w:t xml:space="preserve"> </w:t>
      </w:r>
      <w:r>
        <w:t xml:space="preserve">habitually describes </w:t>
      </w:r>
      <w:r w:rsidRPr="00B34C23">
        <w:t xml:space="preserve">the </w:t>
      </w:r>
      <w:r w:rsidR="00D340C3" w:rsidRPr="00B34C23">
        <w:t xml:space="preserve">concepts of the </w:t>
      </w:r>
      <w:r w:rsidRPr="00B34C23">
        <w:t>classical style in</w:t>
      </w:r>
      <w:r w:rsidR="00D340C3" w:rsidRPr="00B34C23">
        <w:t xml:space="preserve"> terms like this, speaking of planarity</w:t>
      </w:r>
      <w:r w:rsidRPr="00B34C23">
        <w:t xml:space="preserve"> as </w:t>
      </w:r>
      <w:r w:rsidR="00D340C3" w:rsidRPr="00B34C23">
        <w:t>“</w:t>
      </w:r>
      <w:r w:rsidRPr="00B34C23">
        <w:t>sober</w:t>
      </w:r>
      <w:r w:rsidR="00D340C3" w:rsidRPr="00B34C23">
        <w:t>ed down”</w:t>
      </w:r>
      <w:r w:rsidRPr="00B34C23">
        <w:t xml:space="preserve">, </w:t>
      </w:r>
      <w:r w:rsidR="00D340C3" w:rsidRPr="00B34C23">
        <w:t>as having “repose”</w:t>
      </w:r>
      <w:proofErr w:type="gramStart"/>
      <w:r w:rsidR="00D340C3" w:rsidRPr="00B34C23">
        <w:t>;</w:t>
      </w:r>
      <w:proofErr w:type="gramEnd"/>
      <w:r w:rsidRPr="00B34C23">
        <w:t xml:space="preserve"> </w:t>
      </w:r>
      <w:r w:rsidR="00D340C3" w:rsidRPr="00B34C23">
        <w:t>and Raphael’s</w:t>
      </w:r>
      <w:r w:rsidRPr="00B34C23">
        <w:t xml:space="preserve"> line</w:t>
      </w:r>
      <w:r w:rsidR="00B34C23" w:rsidRPr="00B34C23">
        <w:t>ar style</w:t>
      </w:r>
      <w:r w:rsidRPr="00B34C23">
        <w:t xml:space="preserve"> </w:t>
      </w:r>
      <w:r w:rsidR="00D340C3" w:rsidRPr="00B34C23">
        <w:t>as having a “great noble gait”.</w:t>
      </w:r>
      <w:r w:rsidR="00D340C3" w:rsidRPr="00B34C23">
        <w:rPr>
          <w:rStyle w:val="FootnoteReference"/>
        </w:rPr>
        <w:footnoteReference w:id="28"/>
      </w:r>
      <w:r>
        <w:t xml:space="preserve"> </w:t>
      </w:r>
      <w:r w:rsidRPr="00F82332">
        <w:t>Unconstrained, visual attention c</w:t>
      </w:r>
      <w:r>
        <w:t>an still linger, but tends</w:t>
      </w:r>
      <w:r w:rsidRPr="00F82332">
        <w:t xml:space="preserve"> to move over bodies and through space. That is apt to express some of the qualities we associate with t</w:t>
      </w:r>
      <w:r>
        <w:t xml:space="preserve">he baroque: dynamism, energy, </w:t>
      </w:r>
      <w:proofErr w:type="spellStart"/>
      <w:proofErr w:type="gramStart"/>
      <w:r w:rsidR="00D340C3" w:rsidRPr="005A4BBB">
        <w:t>vigour</w:t>
      </w:r>
      <w:proofErr w:type="spellEnd"/>
      <w:proofErr w:type="gramEnd"/>
      <w:r w:rsidRPr="005A4BBB">
        <w:t>.</w:t>
      </w:r>
      <w:r w:rsidRPr="005A4BBB">
        <w:rPr>
          <w:color w:val="FF0000"/>
        </w:rPr>
        <w:t xml:space="preserve"> </w:t>
      </w:r>
      <w:r w:rsidRPr="005A4BBB">
        <w:t>In</w:t>
      </w:r>
      <w:r>
        <w:t xml:space="preserve"> this </w:t>
      </w:r>
      <w:r w:rsidRPr="006375BC">
        <w:t>way linear and planar, and</w:t>
      </w:r>
      <w:r w:rsidR="00AD3FD9" w:rsidRPr="006375BC">
        <w:t xml:space="preserve"> </w:t>
      </w:r>
      <w:proofErr w:type="spellStart"/>
      <w:r w:rsidR="00AD3FD9" w:rsidRPr="006375BC">
        <w:t>painterliness</w:t>
      </w:r>
      <w:proofErr w:type="spellEnd"/>
      <w:r w:rsidR="00AD3FD9" w:rsidRPr="006375BC">
        <w:t xml:space="preserve"> and recession </w:t>
      </w:r>
      <w:r w:rsidR="00F626A3" w:rsidRPr="006375BC">
        <w:t xml:space="preserve">do have </w:t>
      </w:r>
      <w:r w:rsidR="006375BC" w:rsidRPr="006375BC">
        <w:t xml:space="preserve">a </w:t>
      </w:r>
      <w:r w:rsidR="006375BC">
        <w:t>natural</w:t>
      </w:r>
      <w:r w:rsidR="00AD3FD9" w:rsidRPr="006375BC">
        <w:t xml:space="preserve"> affinity</w:t>
      </w:r>
      <w:r w:rsidR="00734F3C" w:rsidRPr="006375BC">
        <w:t>.</w:t>
      </w:r>
      <w:r w:rsidR="00734F3C">
        <w:t xml:space="preserve"> E</w:t>
      </w:r>
      <w:r w:rsidR="00194F37">
        <w:t>ach on its own</w:t>
      </w:r>
      <w:r w:rsidR="00017E17">
        <w:t xml:space="preserve"> </w:t>
      </w:r>
      <w:r w:rsidR="00194F37">
        <w:t>has an ability to express certain qualities, and together they</w:t>
      </w:r>
      <w:r w:rsidR="00017E17">
        <w:t xml:space="preserve"> </w:t>
      </w:r>
      <w:r w:rsidR="00194F37">
        <w:t>reinforce</w:t>
      </w:r>
      <w:r w:rsidR="00017E17">
        <w:t xml:space="preserve"> each other’s capacity</w:t>
      </w:r>
      <w:r>
        <w:t xml:space="preserve"> to </w:t>
      </w:r>
      <w:r w:rsidR="00194F37">
        <w:t>do this.</w:t>
      </w:r>
      <w:r>
        <w:t xml:space="preserve"> </w:t>
      </w:r>
      <w:r w:rsidR="00194F37">
        <w:t xml:space="preserve">It is out of this kind of consistency of vision and expression that the “unity of visual form” and “one-sided strength” of the Classical and Baroque styles, that </w:t>
      </w:r>
      <w:proofErr w:type="spellStart"/>
      <w:r w:rsidR="000C447B" w:rsidRPr="00DD11BC">
        <w:t>Wölfflin</w:t>
      </w:r>
      <w:proofErr w:type="spellEnd"/>
      <w:r w:rsidR="00194F37">
        <w:t xml:space="preserve"> admired</w:t>
      </w:r>
      <w:r w:rsidR="006375BC">
        <w:t xml:space="preserve"> comes</w:t>
      </w:r>
      <w:r w:rsidR="00D340C3">
        <w:t xml:space="preserve"> forth.</w:t>
      </w:r>
    </w:p>
    <w:p w14:paraId="7DE78CC7" w14:textId="04D38CE5" w:rsidR="001C20BE" w:rsidRPr="00E94EEE" w:rsidRDefault="001C20BE" w:rsidP="00FE382C">
      <w:pPr>
        <w:rPr>
          <w:color w:val="FF0000"/>
        </w:rPr>
      </w:pPr>
    </w:p>
    <w:p w14:paraId="1FEA0236" w14:textId="2FCB14A3" w:rsidR="001C20BE" w:rsidRPr="00EF4E6C" w:rsidRDefault="001A3089" w:rsidP="002A07BD">
      <w:pPr>
        <w:rPr>
          <w:b/>
        </w:rPr>
      </w:pPr>
      <w:r>
        <w:rPr>
          <w:b/>
        </w:rPr>
        <w:t xml:space="preserve">5. </w:t>
      </w:r>
      <w:r w:rsidR="00EF4E6C">
        <w:rPr>
          <w:b/>
        </w:rPr>
        <w:t>The l</w:t>
      </w:r>
      <w:r w:rsidR="00EF4E6C" w:rsidRPr="00EF4E6C">
        <w:rPr>
          <w:b/>
        </w:rPr>
        <w:t xml:space="preserve">imits of </w:t>
      </w:r>
      <w:proofErr w:type="spellStart"/>
      <w:r w:rsidR="000C447B" w:rsidRPr="000C447B">
        <w:rPr>
          <w:b/>
        </w:rPr>
        <w:t>Wölfflin</w:t>
      </w:r>
      <w:r w:rsidR="00EF4E6C" w:rsidRPr="000C447B">
        <w:rPr>
          <w:b/>
        </w:rPr>
        <w:t>ian</w:t>
      </w:r>
      <w:proofErr w:type="spellEnd"/>
      <w:r w:rsidR="00EF4E6C" w:rsidRPr="00EF4E6C">
        <w:rPr>
          <w:b/>
        </w:rPr>
        <w:t xml:space="preserve"> analysis</w:t>
      </w:r>
    </w:p>
    <w:p w14:paraId="16D73413" w14:textId="77777777" w:rsidR="00835EB9" w:rsidRDefault="00835EB9" w:rsidP="002A07BD"/>
    <w:p w14:paraId="0DE7F720" w14:textId="4D50A30C" w:rsidR="00884FC3" w:rsidRDefault="00430B47" w:rsidP="00011A7F">
      <w:r>
        <w:t>It will be apparent from</w:t>
      </w:r>
      <w:r w:rsidR="001A436D">
        <w:t xml:space="preserve"> my account</w:t>
      </w:r>
      <w:r w:rsidR="00E97018">
        <w:t xml:space="preserve"> of</w:t>
      </w:r>
      <w:r w:rsidR="00E97018" w:rsidRPr="00E97018">
        <w:t xml:space="preserve"> </w:t>
      </w:r>
      <w:r w:rsidR="0003498B">
        <w:t>the</w:t>
      </w:r>
      <w:r w:rsidR="00E97018">
        <w:t xml:space="preserve"> concepts </w:t>
      </w:r>
      <w:r>
        <w:t xml:space="preserve">that they </w:t>
      </w:r>
      <w:r w:rsidR="00E97018">
        <w:t>are uni</w:t>
      </w:r>
      <w:r w:rsidR="00C26FF5">
        <w:t>versally applicable.</w:t>
      </w:r>
      <w:r w:rsidR="00E97018">
        <w:t xml:space="preserve"> </w:t>
      </w:r>
      <w:r w:rsidR="001A436D" w:rsidRPr="009B53B3">
        <w:t xml:space="preserve">That is a feature of </w:t>
      </w:r>
      <w:proofErr w:type="spellStart"/>
      <w:r w:rsidR="001A436D" w:rsidRPr="009B53B3">
        <w:t>Gaiger’s</w:t>
      </w:r>
      <w:proofErr w:type="spellEnd"/>
      <w:r w:rsidR="009B53B3" w:rsidRPr="009B53B3">
        <w:t xml:space="preserve"> and </w:t>
      </w:r>
      <w:proofErr w:type="spellStart"/>
      <w:r w:rsidR="009B53B3" w:rsidRPr="009B53B3">
        <w:t>and</w:t>
      </w:r>
      <w:proofErr w:type="spellEnd"/>
      <w:r w:rsidR="009B53B3" w:rsidRPr="009B53B3">
        <w:t xml:space="preserve"> </w:t>
      </w:r>
      <w:proofErr w:type="spellStart"/>
      <w:r w:rsidR="009B53B3" w:rsidRPr="009B53B3">
        <w:t>Wiesing’s</w:t>
      </w:r>
      <w:proofErr w:type="spellEnd"/>
      <w:r w:rsidR="009B53B3" w:rsidRPr="009B53B3">
        <w:t xml:space="preserve"> accounts too. As </w:t>
      </w:r>
      <w:proofErr w:type="spellStart"/>
      <w:r w:rsidR="009B53B3" w:rsidRPr="009B53B3">
        <w:t>Gaiger</w:t>
      </w:r>
      <w:proofErr w:type="spellEnd"/>
      <w:r w:rsidR="001A436D" w:rsidRPr="009B53B3">
        <w:t xml:space="preserve"> puts it, the concepts “allow the possibility of talking about style in general terms”, or to use </w:t>
      </w:r>
      <w:proofErr w:type="spellStart"/>
      <w:r w:rsidR="001A436D" w:rsidRPr="009B53B3">
        <w:t>Wiesing’s</w:t>
      </w:r>
      <w:proofErr w:type="spellEnd"/>
      <w:r w:rsidR="001A436D" w:rsidRPr="009B53B3">
        <w:t xml:space="preserve"> phrase (which </w:t>
      </w:r>
      <w:proofErr w:type="spellStart"/>
      <w:r w:rsidR="001A436D" w:rsidRPr="009B53B3">
        <w:t>Gaiger</w:t>
      </w:r>
      <w:proofErr w:type="spellEnd"/>
      <w:r w:rsidR="001A436D" w:rsidRPr="009B53B3">
        <w:t xml:space="preserve"> quotes), they remain “universally valid”.</w:t>
      </w:r>
      <w:r w:rsidR="001A436D" w:rsidRPr="009B53B3">
        <w:rPr>
          <w:rStyle w:val="FootnoteReference"/>
        </w:rPr>
        <w:footnoteReference w:id="29"/>
      </w:r>
      <w:r w:rsidR="009B53B3" w:rsidRPr="009B53B3">
        <w:t xml:space="preserve"> This is </w:t>
      </w:r>
      <w:r w:rsidR="0003498B">
        <w:t xml:space="preserve">also </w:t>
      </w:r>
      <w:r w:rsidR="009B53B3" w:rsidRPr="009B53B3">
        <w:t>close to</w:t>
      </w:r>
      <w:r w:rsidR="001A436D" w:rsidRPr="009B53B3">
        <w:t xml:space="preserve"> what </w:t>
      </w:r>
      <w:proofErr w:type="spellStart"/>
      <w:r w:rsidR="001A436D" w:rsidRPr="009B53B3">
        <w:t>Wölfflin</w:t>
      </w:r>
      <w:proofErr w:type="spellEnd"/>
      <w:r w:rsidR="0003498B">
        <w:t xml:space="preserve"> thought</w:t>
      </w:r>
      <w:r w:rsidR="009B53B3">
        <w:t xml:space="preserve">, although he allowed that his formulation of the </w:t>
      </w:r>
      <w:r w:rsidR="009B53B3" w:rsidRPr="00884FC3">
        <w:t>concepts would require “modification”</w:t>
      </w:r>
      <w:r w:rsidR="0003498B" w:rsidRPr="00884FC3">
        <w:t xml:space="preserve"> when</w:t>
      </w:r>
      <w:r w:rsidR="009B53B3" w:rsidRPr="00884FC3">
        <w:t xml:space="preserve"> applied to different periods.</w:t>
      </w:r>
      <w:r w:rsidR="009B53B3" w:rsidRPr="00884FC3">
        <w:rPr>
          <w:rStyle w:val="FootnoteReference"/>
        </w:rPr>
        <w:footnoteReference w:id="30"/>
      </w:r>
      <w:r w:rsidR="006D107D" w:rsidRPr="00884FC3">
        <w:rPr>
          <w:sz w:val="20"/>
          <w:szCs w:val="20"/>
        </w:rPr>
        <w:t xml:space="preserve"> </w:t>
      </w:r>
      <w:r w:rsidR="002A07BD" w:rsidRPr="00884FC3">
        <w:t xml:space="preserve">This is feature of </w:t>
      </w:r>
      <w:proofErr w:type="spellStart"/>
      <w:r w:rsidR="002A07BD" w:rsidRPr="00884FC3">
        <w:t>Wölfflinian</w:t>
      </w:r>
      <w:proofErr w:type="spellEnd"/>
      <w:r w:rsidR="002A07BD" w:rsidRPr="00884FC3">
        <w:t xml:space="preserve"> analysis that makes critics uneasy. Edgar</w:t>
      </w:r>
      <w:r w:rsidR="00E73727" w:rsidRPr="00884FC3">
        <w:t xml:space="preserve"> </w:t>
      </w:r>
      <w:r w:rsidR="002A07BD" w:rsidRPr="00884FC3">
        <w:t>Wind</w:t>
      </w:r>
      <w:r w:rsidR="00E73727" w:rsidRPr="00884FC3">
        <w:t>, for instance,</w:t>
      </w:r>
      <w:r w:rsidR="002A07BD" w:rsidRPr="00884FC3">
        <w:t xml:space="preserve"> </w:t>
      </w:r>
      <w:r w:rsidR="00E73727" w:rsidRPr="00884FC3">
        <w:t>called it “grandiose”</w:t>
      </w:r>
      <w:r w:rsidR="00E73727" w:rsidRPr="00884FC3">
        <w:rPr>
          <w:rStyle w:val="FootnoteReference"/>
        </w:rPr>
        <w:footnoteReference w:id="31"/>
      </w:r>
      <w:r w:rsidR="00E73727" w:rsidRPr="00884FC3">
        <w:t xml:space="preserve">. So I want to finish by adding a qualification to my account, </w:t>
      </w:r>
      <w:r w:rsidR="00884FC3" w:rsidRPr="00884FC3">
        <w:t>to defuse this worry.</w:t>
      </w:r>
    </w:p>
    <w:p w14:paraId="0173AA15" w14:textId="77777777" w:rsidR="00884FC3" w:rsidRDefault="00884FC3" w:rsidP="00011A7F"/>
    <w:p w14:paraId="5FC48E16" w14:textId="17004C16" w:rsidR="00E50826" w:rsidRPr="00884FC3" w:rsidRDefault="00884FC3" w:rsidP="00011A7F">
      <w:pPr>
        <w:rPr>
          <w:sz w:val="20"/>
          <w:szCs w:val="20"/>
        </w:rPr>
      </w:pPr>
      <w:r>
        <w:t>My analysis here</w:t>
      </w:r>
      <w:r w:rsidR="002F7B2F">
        <w:t xml:space="preserve"> draw</w:t>
      </w:r>
      <w:r>
        <w:t>s</w:t>
      </w:r>
      <w:r w:rsidR="002F7B2F">
        <w:t xml:space="preserve"> on </w:t>
      </w:r>
      <w:proofErr w:type="spellStart"/>
      <w:r w:rsidR="002F7B2F">
        <w:t>Wollheim’s</w:t>
      </w:r>
      <w:proofErr w:type="spellEnd"/>
      <w:r w:rsidR="002F7B2F">
        <w:t xml:space="preserve"> concepts of </w:t>
      </w:r>
      <w:proofErr w:type="spellStart"/>
      <w:r w:rsidR="002F7B2F">
        <w:t>thematization</w:t>
      </w:r>
      <w:proofErr w:type="spellEnd"/>
      <w:r w:rsidR="002F7B2F">
        <w:t xml:space="preserve"> and deletion. </w:t>
      </w:r>
      <w:proofErr w:type="spellStart"/>
      <w:r w:rsidR="00835EB9">
        <w:t>Wollheim</w:t>
      </w:r>
      <w:proofErr w:type="spellEnd"/>
      <w:r w:rsidR="00835EB9">
        <w:t xml:space="preserve"> tells us that </w:t>
      </w:r>
      <w:proofErr w:type="spellStart"/>
      <w:r w:rsidR="00835EB9">
        <w:t>t</w:t>
      </w:r>
      <w:r w:rsidR="002F7B2F">
        <w:t>hematiz</w:t>
      </w:r>
      <w:r w:rsidR="004E2050">
        <w:t>ation</w:t>
      </w:r>
      <w:proofErr w:type="spellEnd"/>
      <w:r w:rsidR="00D501FF">
        <w:t xml:space="preserve"> happens when a painter “abstracts some unconsidered … aspect of what he is doing or what he is working on, and makes the thought of this feature guide his future activity”.</w:t>
      </w:r>
      <w:r w:rsidR="00D501FF">
        <w:rPr>
          <w:rStyle w:val="FootnoteReference"/>
        </w:rPr>
        <w:footnoteReference w:id="32"/>
      </w:r>
      <w:r w:rsidR="002F7B2F">
        <w:t xml:space="preserve"> </w:t>
      </w:r>
      <w:proofErr w:type="spellStart"/>
      <w:r w:rsidR="000C447B" w:rsidRPr="00DD11BC">
        <w:t>Wölfflin</w:t>
      </w:r>
      <w:r w:rsidR="000C447B">
        <w:t>’s</w:t>
      </w:r>
      <w:proofErr w:type="spellEnd"/>
      <w:r w:rsidR="000C447B">
        <w:t xml:space="preserve"> </w:t>
      </w:r>
      <w:r w:rsidR="00835EB9">
        <w:t>concepts can be regarde</w:t>
      </w:r>
      <w:r w:rsidR="00B2616C">
        <w:t xml:space="preserve">d as </w:t>
      </w:r>
      <w:proofErr w:type="spellStart"/>
      <w:r w:rsidR="00B2616C">
        <w:t>thematized</w:t>
      </w:r>
      <w:proofErr w:type="spellEnd"/>
      <w:r w:rsidR="00B2616C">
        <w:t xml:space="preserve"> in this sense. </w:t>
      </w:r>
      <w:r w:rsidR="00323D98">
        <w:t>The experiences of l</w:t>
      </w:r>
      <w:r w:rsidR="00835EB9">
        <w:t>in</w:t>
      </w:r>
      <w:r w:rsidR="00323D98">
        <w:t xml:space="preserve">earity, </w:t>
      </w:r>
      <w:proofErr w:type="spellStart"/>
      <w:r w:rsidR="00323D98">
        <w:t>painterliness</w:t>
      </w:r>
      <w:proofErr w:type="spellEnd"/>
      <w:r w:rsidR="00323D98">
        <w:t xml:space="preserve">, </w:t>
      </w:r>
      <w:r w:rsidR="00835EB9">
        <w:t>plane and recession will all have some presence, or at least exist as possibilities, in a naturalistic painting tradition.</w:t>
      </w:r>
      <w:r w:rsidR="00D501FF">
        <w:t xml:space="preserve"> </w:t>
      </w:r>
      <w:r w:rsidR="00AB7D94">
        <w:t>We have seen</w:t>
      </w:r>
      <w:r w:rsidR="00323D98">
        <w:t xml:space="preserve"> how certain painters and traditions fastened onto these experiences</w:t>
      </w:r>
      <w:r w:rsidR="00D03874">
        <w:t>,</w:t>
      </w:r>
      <w:r w:rsidR="00323D98">
        <w:t xml:space="preserve"> mak</w:t>
      </w:r>
      <w:r w:rsidR="00AB7D94">
        <w:t>ing the thought of these features</w:t>
      </w:r>
      <w:r w:rsidR="00323D98">
        <w:t xml:space="preserve"> guide </w:t>
      </w:r>
      <w:r w:rsidR="00D03874">
        <w:t xml:space="preserve">the painter’s </w:t>
      </w:r>
      <w:r w:rsidR="00AB7D94">
        <w:t>future a</w:t>
      </w:r>
      <w:r w:rsidR="00D03874">
        <w:t xml:space="preserve">ctivity. That is to say, they sought these concepts out, making them a feature of their paintings. </w:t>
      </w:r>
      <w:proofErr w:type="spellStart"/>
      <w:r w:rsidR="00323D98">
        <w:t>Wollheim</w:t>
      </w:r>
      <w:proofErr w:type="spellEnd"/>
      <w:r w:rsidR="00323D98">
        <w:t xml:space="preserve"> also says, </w:t>
      </w:r>
      <w:r w:rsidR="004E2050">
        <w:t>“</w:t>
      </w:r>
      <w:proofErr w:type="spellStart"/>
      <w:r w:rsidR="004E2050">
        <w:t>thematization</w:t>
      </w:r>
      <w:proofErr w:type="spellEnd"/>
      <w:r w:rsidR="004E2050">
        <w:t xml:space="preserve"> is always for an end</w:t>
      </w:r>
      <w:r w:rsidR="00D501FF">
        <w:t xml:space="preserve"> </w:t>
      </w:r>
      <w:r w:rsidR="004E2050">
        <w:t xml:space="preserve">… </w:t>
      </w:r>
      <w:r w:rsidR="00D501FF">
        <w:t>th</w:t>
      </w:r>
      <w:r w:rsidR="004E2050">
        <w:t xml:space="preserve">e acquisition of </w:t>
      </w:r>
      <w:r w:rsidR="004E2050" w:rsidRPr="004E2050">
        <w:rPr>
          <w:i/>
        </w:rPr>
        <w:t>content</w:t>
      </w:r>
      <w:r w:rsidR="004E2050">
        <w:t xml:space="preserve"> or </w:t>
      </w:r>
      <w:r w:rsidR="004E2050" w:rsidRPr="004E2050">
        <w:rPr>
          <w:i/>
        </w:rPr>
        <w:t>meaning</w:t>
      </w:r>
      <w:r w:rsidR="00323D98">
        <w:t>.</w:t>
      </w:r>
      <w:r w:rsidR="004E2050" w:rsidRPr="00323D98">
        <w:t>”</w:t>
      </w:r>
      <w:r w:rsidR="00323D98">
        <w:rPr>
          <w:rStyle w:val="FootnoteReference"/>
        </w:rPr>
        <w:footnoteReference w:id="33"/>
      </w:r>
      <w:r w:rsidR="00323D98">
        <w:t xml:space="preserve"> The immediate end of the </w:t>
      </w:r>
      <w:proofErr w:type="spellStart"/>
      <w:r w:rsidR="00323D98">
        <w:t>thematization</w:t>
      </w:r>
      <w:proofErr w:type="spellEnd"/>
      <w:r w:rsidR="00323D98">
        <w:t xml:space="preserve"> of </w:t>
      </w:r>
      <w:proofErr w:type="spellStart"/>
      <w:r w:rsidR="000C447B" w:rsidRPr="00DD11BC">
        <w:t>Wölfflin</w:t>
      </w:r>
      <w:r w:rsidR="00323D98">
        <w:t>’s</w:t>
      </w:r>
      <w:proofErr w:type="spellEnd"/>
      <w:r w:rsidR="00323D98">
        <w:t xml:space="preserve"> concepts, I have urged,</w:t>
      </w:r>
      <w:r w:rsidR="006B0C4C">
        <w:t xml:space="preserve"> is expression</w:t>
      </w:r>
      <w:r w:rsidR="00D03874">
        <w:t xml:space="preserve"> </w:t>
      </w:r>
      <w:r w:rsidR="000C02FE">
        <w:t>–</w:t>
      </w:r>
      <w:r w:rsidR="00D03874">
        <w:t xml:space="preserve"> </w:t>
      </w:r>
      <w:r w:rsidR="00323D98">
        <w:t xml:space="preserve">since it is hard to understand </w:t>
      </w:r>
      <w:r w:rsidR="006B0C4C">
        <w:t>how</w:t>
      </w:r>
      <w:r w:rsidR="00323D98">
        <w:t xml:space="preserve"> </w:t>
      </w:r>
      <w:r w:rsidR="00AB7D94">
        <w:t>the concepts, as visual experiences,</w:t>
      </w:r>
      <w:r w:rsidR="00323D98">
        <w:t xml:space="preserve"> could have </w:t>
      </w:r>
      <w:r w:rsidR="00AB7D94">
        <w:t xml:space="preserve">artistic value </w:t>
      </w:r>
      <w:r w:rsidR="00323D98">
        <w:t>in themselves</w:t>
      </w:r>
      <w:r w:rsidR="006B0C4C">
        <w:t>.</w:t>
      </w:r>
    </w:p>
    <w:p w14:paraId="128BBB9C" w14:textId="77777777" w:rsidR="00E50826" w:rsidRDefault="00E50826" w:rsidP="00011A7F"/>
    <w:p w14:paraId="3D6F05C1" w14:textId="282E1B9A" w:rsidR="00DD1893" w:rsidRDefault="006B0C4C" w:rsidP="00011A7F">
      <w:r>
        <w:t xml:space="preserve">I introduce the idea of </w:t>
      </w:r>
      <w:proofErr w:type="spellStart"/>
      <w:r>
        <w:t>thematization</w:t>
      </w:r>
      <w:proofErr w:type="spellEnd"/>
      <w:r>
        <w:t xml:space="preserve"> because </w:t>
      </w:r>
      <w:r w:rsidR="00884FC3">
        <w:t>it</w:t>
      </w:r>
      <w:r w:rsidR="00D03874">
        <w:t xml:space="preserve"> allows us to understand how the concepts can be universally applicable, without being universally relevant. In pictures where</w:t>
      </w:r>
      <w:r w:rsidR="001D4FD0">
        <w:t xml:space="preserve"> these concepts</w:t>
      </w:r>
      <w:r w:rsidR="00DD1893">
        <w:t xml:space="preserve"> are </w:t>
      </w:r>
      <w:r w:rsidR="00DD1893" w:rsidRPr="00133E18">
        <w:rPr>
          <w:i/>
        </w:rPr>
        <w:t>not</w:t>
      </w:r>
      <w:r w:rsidR="001D4FD0">
        <w:t xml:space="preserve"> </w:t>
      </w:r>
      <w:proofErr w:type="spellStart"/>
      <w:r w:rsidR="001D4FD0">
        <w:t>thematized</w:t>
      </w:r>
      <w:proofErr w:type="spellEnd"/>
      <w:r w:rsidR="001D4FD0">
        <w:t xml:space="preserve"> </w:t>
      </w:r>
      <w:r w:rsidR="00D03874">
        <w:t>in an expressive</w:t>
      </w:r>
      <w:r w:rsidR="00430B47">
        <w:t xml:space="preserve"> sense,</w:t>
      </w:r>
      <w:r w:rsidR="001D4FD0">
        <w:t xml:space="preserve"> they</w:t>
      </w:r>
      <w:r w:rsidR="00430B47">
        <w:t xml:space="preserve"> may </w:t>
      </w:r>
      <w:r w:rsidR="00133E18">
        <w:t xml:space="preserve">be </w:t>
      </w:r>
      <w:r w:rsidR="00430B47">
        <w:t xml:space="preserve">present only adventitiously – the fact that our attention tends to move in one way or another over a subject may not be meaningful. </w:t>
      </w:r>
      <w:r w:rsidR="006D1B86">
        <w:t xml:space="preserve">There are a great many pictures likely to fall into this category, </w:t>
      </w:r>
      <w:proofErr w:type="gramStart"/>
      <w:r w:rsidR="00430B47">
        <w:t>including not only</w:t>
      </w:r>
      <w:proofErr w:type="gramEnd"/>
      <w:r w:rsidR="00430B47">
        <w:t xml:space="preserve"> </w:t>
      </w:r>
      <w:r w:rsidR="00884FC3">
        <w:t xml:space="preserve">much </w:t>
      </w:r>
      <w:r w:rsidR="00430B47">
        <w:t>painting outside the European tradition, but</w:t>
      </w:r>
      <w:r w:rsidR="00DD1893">
        <w:t xml:space="preserve"> </w:t>
      </w:r>
      <w:r w:rsidR="006D1B86">
        <w:t>early and pre</w:t>
      </w:r>
      <w:r w:rsidR="00430B47">
        <w:t>-Renaissance European painting</w:t>
      </w:r>
      <w:r w:rsidR="00884FC3">
        <w:t xml:space="preserve"> (which in fairness to </w:t>
      </w:r>
      <w:proofErr w:type="spellStart"/>
      <w:r w:rsidR="00884FC3" w:rsidRPr="00DD11BC">
        <w:t>Wölfflin</w:t>
      </w:r>
      <w:proofErr w:type="spellEnd"/>
      <w:r w:rsidR="00884FC3">
        <w:t>, he excluded from his analysis)</w:t>
      </w:r>
      <w:r w:rsidR="00430B47">
        <w:t>,</w:t>
      </w:r>
      <w:r w:rsidR="006D1B86">
        <w:t xml:space="preserve"> </w:t>
      </w:r>
      <w:r w:rsidR="001D4FD0">
        <w:t xml:space="preserve">works by </w:t>
      </w:r>
      <w:r w:rsidR="00DD1893">
        <w:t>naïve</w:t>
      </w:r>
      <w:r w:rsidR="001D4FD0">
        <w:t xml:space="preserve"> painters and o</w:t>
      </w:r>
      <w:r w:rsidR="006D1B86">
        <w:t>utsider art</w:t>
      </w:r>
      <w:r w:rsidR="001D4FD0">
        <w:t>ists</w:t>
      </w:r>
      <w:r w:rsidR="006D1B86">
        <w:t>,</w:t>
      </w:r>
      <w:r w:rsidR="00DD1893">
        <w:t xml:space="preserve"> </w:t>
      </w:r>
      <w:r w:rsidR="006D1B86">
        <w:t>and</w:t>
      </w:r>
      <w:r w:rsidR="00DD1893">
        <w:t xml:space="preserve"> </w:t>
      </w:r>
      <w:r w:rsidR="00430B47">
        <w:t>many</w:t>
      </w:r>
      <w:r w:rsidR="006D1B86">
        <w:t xml:space="preserve"> photographs</w:t>
      </w:r>
      <w:r w:rsidR="00430B47">
        <w:t xml:space="preserve"> (including both art and non-art)</w:t>
      </w:r>
      <w:r w:rsidR="006D1B86">
        <w:t>.</w:t>
      </w:r>
    </w:p>
    <w:p w14:paraId="2590DBCA" w14:textId="77777777" w:rsidR="003B4071" w:rsidRDefault="003B4071" w:rsidP="003B4071"/>
    <w:p w14:paraId="7BC316CF" w14:textId="76DD5312" w:rsidR="00082AC4" w:rsidRDefault="007F0D56" w:rsidP="003B4071">
      <w:proofErr w:type="spellStart"/>
      <w:r>
        <w:t>Wollheim</w:t>
      </w:r>
      <w:proofErr w:type="spellEnd"/>
      <w:r>
        <w:t xml:space="preserve"> describes deletion in this way:</w:t>
      </w:r>
      <w:r w:rsidR="003B4071">
        <w:t xml:space="preserve"> “When deletion operates … an agent </w:t>
      </w:r>
      <w:proofErr w:type="spellStart"/>
      <w:r w:rsidR="003B4071">
        <w:t>thematizes</w:t>
      </w:r>
      <w:proofErr w:type="spellEnd"/>
      <w:r w:rsidR="003B4071">
        <w:t xml:space="preserve"> some feature of the work and then goes on to ensure that this feature of the work does not show up on the surface or shows up in only an attenuated fashion.”</w:t>
      </w:r>
      <w:r w:rsidR="003B4071">
        <w:rPr>
          <w:rStyle w:val="FootnoteReference"/>
        </w:rPr>
        <w:footnoteReference w:id="34"/>
      </w:r>
      <w:r w:rsidR="003B4071">
        <w:t xml:space="preserve"> </w:t>
      </w:r>
      <w:r w:rsidR="00F83075">
        <w:t xml:space="preserve">Deletion too has its end, the avoidance of certain kinds of content. </w:t>
      </w:r>
      <w:r w:rsidR="002B6F2D">
        <w:t>Thus</w:t>
      </w:r>
      <w:r w:rsidR="00082AC4">
        <w:t>,</w:t>
      </w:r>
      <w:r w:rsidR="002B6F2D">
        <w:t xml:space="preserve"> </w:t>
      </w:r>
      <w:r w:rsidR="00F83075">
        <w:t>artists working in the Baroque style delete the linear and planar, avoiding the expressive qualities of Classicism. Deletion here necessarily accompa</w:t>
      </w:r>
      <w:r>
        <w:t xml:space="preserve">nies </w:t>
      </w:r>
      <w:proofErr w:type="spellStart"/>
      <w:r>
        <w:t>thematization</w:t>
      </w:r>
      <w:proofErr w:type="spellEnd"/>
      <w:r>
        <w:t>: for one canno</w:t>
      </w:r>
      <w:r w:rsidR="00F83075">
        <w:t xml:space="preserve">t have the Baroque concepts and </w:t>
      </w:r>
      <w:r>
        <w:t>its expressive effects</w:t>
      </w:r>
      <w:r w:rsidR="00F83075">
        <w:t>, without rejecting the classical</w:t>
      </w:r>
      <w:r>
        <w:t xml:space="preserve"> concepts and expression</w:t>
      </w:r>
      <w:r w:rsidR="00F83075">
        <w:t>.</w:t>
      </w:r>
      <w:r w:rsidR="00082AC4">
        <w:rPr>
          <w:rStyle w:val="FootnoteReference"/>
        </w:rPr>
        <w:footnoteReference w:id="35"/>
      </w:r>
    </w:p>
    <w:p w14:paraId="423B0603" w14:textId="3BF4AF2F" w:rsidR="006D1B86" w:rsidRDefault="006D1B86" w:rsidP="00011A7F"/>
    <w:p w14:paraId="35548CB8" w14:textId="608531DC" w:rsidR="00CE7DCF" w:rsidRDefault="007F0D56" w:rsidP="00011A7F">
      <w:r>
        <w:t>T</w:t>
      </w:r>
      <w:r w:rsidR="00082AC4">
        <w:t>here is</w:t>
      </w:r>
      <w:r w:rsidR="002D0B2A">
        <w:t xml:space="preserve"> </w:t>
      </w:r>
      <w:r w:rsidR="00082AC4">
        <w:t>also at least one instance</w:t>
      </w:r>
      <w:r w:rsidR="00EF5811">
        <w:t xml:space="preserve"> in the European tradition</w:t>
      </w:r>
      <w:r w:rsidR="006D1B86">
        <w:t xml:space="preserve"> </w:t>
      </w:r>
      <w:r w:rsidR="002D0B2A">
        <w:t xml:space="preserve">where painters have deleted </w:t>
      </w:r>
      <w:r w:rsidR="00082AC4">
        <w:t>a pair</w:t>
      </w:r>
      <w:r w:rsidR="002D0B2A">
        <w:t xml:space="preserve"> of concepts. </w:t>
      </w:r>
      <w:r w:rsidR="006D1B86">
        <w:t>The Impressionists</w:t>
      </w:r>
      <w:r w:rsidR="002D0B2A">
        <w:t>, for example,</w:t>
      </w:r>
      <w:r w:rsidR="006D1B86">
        <w:t xml:space="preserve"> abandoned the systematic pursuit of recession or plane, rejecting </w:t>
      </w:r>
      <w:r w:rsidR="00082AC4">
        <w:t>N</w:t>
      </w:r>
      <w:r w:rsidR="009137BD">
        <w:t>eo-</w:t>
      </w:r>
      <w:r w:rsidR="00082AC4">
        <w:t>C</w:t>
      </w:r>
      <w:r w:rsidR="006D1B86">
        <w:t>lassical</w:t>
      </w:r>
      <w:r w:rsidR="009137BD">
        <w:t xml:space="preserve"> planarity</w:t>
      </w:r>
      <w:r>
        <w:t>, as well as</w:t>
      </w:r>
      <w:r w:rsidR="00CE7DCF">
        <w:t xml:space="preserve"> the </w:t>
      </w:r>
      <w:r w:rsidR="00082AC4">
        <w:t xml:space="preserve">‘neo- </w:t>
      </w:r>
      <w:r w:rsidR="00884FC3">
        <w:t>Baroque</w:t>
      </w:r>
      <w:r w:rsidR="00082AC4">
        <w:t>’</w:t>
      </w:r>
      <w:r w:rsidR="006D1B86">
        <w:t xml:space="preserve"> </w:t>
      </w:r>
      <w:r w:rsidR="00CE7DCF">
        <w:t xml:space="preserve">recessional </w:t>
      </w:r>
      <w:r w:rsidR="006D1B86">
        <w:t>composition</w:t>
      </w:r>
      <w:r w:rsidR="00CE7DCF">
        <w:t>s of a painter such as Delacroix</w:t>
      </w:r>
      <w:r>
        <w:t>. I</w:t>
      </w:r>
      <w:r w:rsidR="002D0B2A">
        <w:t>nstead</w:t>
      </w:r>
      <w:r w:rsidR="006D1B86">
        <w:t xml:space="preserve"> </w:t>
      </w:r>
      <w:r>
        <w:t>they took</w:t>
      </w:r>
      <w:r w:rsidR="00C85B7E">
        <w:t xml:space="preserve"> on a probably photographically influenced, ‘naturalistic’</w:t>
      </w:r>
      <w:r w:rsidR="006D1B86">
        <w:t xml:space="preserve"> approach to composition</w:t>
      </w:r>
      <w:r w:rsidR="002D0B2A">
        <w:t>.</w:t>
      </w:r>
      <w:r w:rsidR="00CE7DCF">
        <w:t xml:space="preserve"> Their paintings of the 1860s an</w:t>
      </w:r>
      <w:r w:rsidR="006D1B86">
        <w:t xml:space="preserve">d 1870s still contain planar and </w:t>
      </w:r>
      <w:r w:rsidR="00CE7DCF">
        <w:t>recessional elements – but they are not pursued in any systematic way. There is a sense that their subject matter i</w:t>
      </w:r>
      <w:r w:rsidR="00C85B7E">
        <w:t>s pointedly un</w:t>
      </w:r>
      <w:r w:rsidR="004D771E">
        <w:t>arranged;</w:t>
      </w:r>
      <w:r w:rsidR="00CE7DCF">
        <w:t xml:space="preserve"> pla</w:t>
      </w:r>
      <w:r w:rsidR="003F5A68">
        <w:t>nar and recessional elements</w:t>
      </w:r>
      <w:r w:rsidR="004D771E">
        <w:t xml:space="preserve"> mixed </w:t>
      </w:r>
      <w:r w:rsidR="00CE7DCF">
        <w:t xml:space="preserve">up, as one often finds in a photograph. And indeed it would be wrong to ascribe the kinds of expressive effects I have described to </w:t>
      </w:r>
      <w:r w:rsidR="003F5A68">
        <w:t xml:space="preserve">the great majority of </w:t>
      </w:r>
      <w:r w:rsidR="00CE7DCF">
        <w:t>Impressionist compositions</w:t>
      </w:r>
      <w:r w:rsidR="00253983">
        <w:t xml:space="preserve"> – they are quite foreign to the Impressionist aesthetic</w:t>
      </w:r>
      <w:r w:rsidR="00CE7DCF">
        <w:t>.</w:t>
      </w:r>
      <w:r w:rsidR="00C85B7E">
        <w:rPr>
          <w:rStyle w:val="FootnoteReference"/>
        </w:rPr>
        <w:footnoteReference w:id="36"/>
      </w:r>
      <w:r w:rsidR="00C85B7E">
        <w:t xml:space="preserve"> </w:t>
      </w:r>
      <w:r w:rsidR="004D771E">
        <w:t>Thu</w:t>
      </w:r>
      <w:r w:rsidR="002D0B2A">
        <w:t>s plane</w:t>
      </w:r>
      <w:r w:rsidR="006B1827">
        <w:t xml:space="preserve"> and recession</w:t>
      </w:r>
      <w:r w:rsidR="002D0B2A">
        <w:t xml:space="preserve"> have both</w:t>
      </w:r>
      <w:r w:rsidR="00CE7DCF">
        <w:t xml:space="preserve"> </w:t>
      </w:r>
      <w:r w:rsidR="004D771E">
        <w:t xml:space="preserve">been </w:t>
      </w:r>
      <w:r w:rsidR="002D0B2A">
        <w:t>deleted</w:t>
      </w:r>
      <w:r w:rsidR="004D771E">
        <w:t xml:space="preserve"> in this style</w:t>
      </w:r>
      <w:r w:rsidR="00024709">
        <w:t>.</w:t>
      </w:r>
    </w:p>
    <w:p w14:paraId="0FF8A70E" w14:textId="77777777" w:rsidR="00874140" w:rsidRDefault="00874140" w:rsidP="00874140"/>
    <w:p w14:paraId="2E442BAC" w14:textId="23D3D872" w:rsidR="00482314" w:rsidRDefault="00D5778E" w:rsidP="00011A7F">
      <w:r>
        <w:t>So while I have argued</w:t>
      </w:r>
      <w:r w:rsidR="00874140">
        <w:t xml:space="preserve"> that </w:t>
      </w:r>
      <w:proofErr w:type="spellStart"/>
      <w:r w:rsidR="00874140">
        <w:t>W</w:t>
      </w:r>
      <w:r w:rsidR="00E333C6">
        <w:t>ö</w:t>
      </w:r>
      <w:r w:rsidR="00874140">
        <w:t>l</w:t>
      </w:r>
      <w:r>
        <w:t>fflin’s</w:t>
      </w:r>
      <w:proofErr w:type="spellEnd"/>
      <w:r>
        <w:t xml:space="preserve"> concepts</w:t>
      </w:r>
      <w:r w:rsidR="00874140">
        <w:t xml:space="preserve"> yield </w:t>
      </w:r>
      <w:r>
        <w:t>a significant understanding of art</w:t>
      </w:r>
      <w:r w:rsidR="00874140">
        <w:t xml:space="preserve">, there is also an important limit on their application. The </w:t>
      </w:r>
      <w:r>
        <w:t>universality of the concepts must</w:t>
      </w:r>
      <w:r w:rsidR="008F57CC">
        <w:t xml:space="preserve"> be tempered with </w:t>
      </w:r>
      <w:proofErr w:type="gramStart"/>
      <w:r w:rsidR="008F57CC">
        <w:t>an awareness</w:t>
      </w:r>
      <w:proofErr w:type="gramEnd"/>
      <w:r w:rsidR="00874140">
        <w:t xml:space="preserve"> that their appli</w:t>
      </w:r>
      <w:r w:rsidR="008F57CC">
        <w:t>cation will not always help us</w:t>
      </w:r>
      <w:r w:rsidR="00874140">
        <w:t xml:space="preserve"> </w:t>
      </w:r>
      <w:r w:rsidR="00D40FA3">
        <w:t xml:space="preserve">in </w:t>
      </w:r>
      <w:r w:rsidR="00874140">
        <w:t>understanding art</w:t>
      </w:r>
      <w:r w:rsidR="00D40FA3">
        <w:t>works</w:t>
      </w:r>
      <w:r w:rsidR="00874140">
        <w:t>.</w:t>
      </w:r>
      <w:r>
        <w:t xml:space="preserve"> While they are universally applicable, they are not universally relevant.</w:t>
      </w:r>
      <w:r w:rsidR="005F6629">
        <w:rPr>
          <w:rStyle w:val="FootnoteReference"/>
        </w:rPr>
        <w:footnoteReference w:id="37"/>
      </w:r>
    </w:p>
    <w:p w14:paraId="3B4F38C7" w14:textId="77777777" w:rsidR="008F57CC" w:rsidRDefault="008F57CC" w:rsidP="00011A7F"/>
    <w:p w14:paraId="0CF43409" w14:textId="1DAEFFF7" w:rsidR="00E5770F" w:rsidRDefault="00482314">
      <w:r>
        <w:t>END</w:t>
      </w:r>
    </w:p>
    <w:sectPr w:rsidR="00E5770F" w:rsidSect="00D62FF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D6A01" w14:textId="77777777" w:rsidR="00D56D3C" w:rsidRDefault="00D56D3C" w:rsidP="00EE2B6A">
      <w:r>
        <w:separator/>
      </w:r>
    </w:p>
  </w:endnote>
  <w:endnote w:type="continuationSeparator" w:id="0">
    <w:p w14:paraId="6F59B7CB" w14:textId="77777777" w:rsidR="00D56D3C" w:rsidRDefault="00D56D3C" w:rsidP="00EE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7A312" w14:textId="77777777" w:rsidR="00D56D3C" w:rsidRDefault="00D56D3C" w:rsidP="00EE2B6A">
      <w:r>
        <w:separator/>
      </w:r>
    </w:p>
  </w:footnote>
  <w:footnote w:type="continuationSeparator" w:id="0">
    <w:p w14:paraId="2A50A4BC" w14:textId="77777777" w:rsidR="00D56D3C" w:rsidRDefault="00D56D3C" w:rsidP="00EE2B6A">
      <w:r>
        <w:continuationSeparator/>
      </w:r>
    </w:p>
  </w:footnote>
  <w:footnote w:id="1">
    <w:p w14:paraId="24524F1F" w14:textId="14B2B1AD" w:rsidR="00D56D3C" w:rsidRPr="00223E4F" w:rsidRDefault="00D56D3C" w:rsidP="000044AC">
      <w:pPr>
        <w:pStyle w:val="FootnoteText"/>
      </w:pPr>
      <w:r>
        <w:rPr>
          <w:rStyle w:val="FootnoteReference"/>
        </w:rPr>
        <w:footnoteRef/>
      </w:r>
      <w:r>
        <w:t xml:space="preserve"> Quoted in Frederic J. Schwartz, </w:t>
      </w:r>
      <w:r w:rsidRPr="00864999">
        <w:rPr>
          <w:i/>
        </w:rPr>
        <w:t>Blind Spots: Critical Theory and the History of Art in Twentieth-Century Germany</w:t>
      </w:r>
      <w:r>
        <w:t>, New Haven: Yale University Press, 2005, p. 20.</w:t>
      </w:r>
      <w:r w:rsidRPr="00DD490A">
        <w:t xml:space="preserve"> </w:t>
      </w:r>
      <w:r>
        <w:t xml:space="preserve">Schwartz quotes from Heinrich </w:t>
      </w:r>
      <w:proofErr w:type="spellStart"/>
      <w:r>
        <w:t>Wölfflin</w:t>
      </w:r>
      <w:proofErr w:type="spellEnd"/>
      <w:r>
        <w:t xml:space="preserve">, </w:t>
      </w:r>
      <w:proofErr w:type="spellStart"/>
      <w:r w:rsidRPr="00DD490A">
        <w:rPr>
          <w:i/>
        </w:rPr>
        <w:t>Kunstges</w:t>
      </w:r>
      <w:r w:rsidRPr="00124270">
        <w:rPr>
          <w:i/>
        </w:rPr>
        <w:t>chichtliche</w:t>
      </w:r>
      <w:proofErr w:type="spellEnd"/>
      <w:r w:rsidRPr="00124270">
        <w:rPr>
          <w:i/>
        </w:rPr>
        <w:t xml:space="preserve"> </w:t>
      </w:r>
      <w:proofErr w:type="spellStart"/>
      <w:r w:rsidRPr="00124270">
        <w:rPr>
          <w:i/>
        </w:rPr>
        <w:t>Grundbegriffe</w:t>
      </w:r>
      <w:proofErr w:type="spellEnd"/>
      <w:r w:rsidRPr="00124270">
        <w:rPr>
          <w:i/>
        </w:rPr>
        <w:t>. Das Problem der</w:t>
      </w:r>
      <w:r>
        <w:rPr>
          <w:i/>
        </w:rPr>
        <w:t xml:space="preserve"> </w:t>
      </w:r>
      <w:proofErr w:type="spellStart"/>
      <w:r w:rsidRPr="00124270">
        <w:rPr>
          <w:i/>
        </w:rPr>
        <w:t>Stilentwicklung</w:t>
      </w:r>
      <w:proofErr w:type="spellEnd"/>
      <w:r w:rsidRPr="00124270">
        <w:rPr>
          <w:i/>
        </w:rPr>
        <w:t xml:space="preserve"> in der </w:t>
      </w:r>
      <w:proofErr w:type="spellStart"/>
      <w:r w:rsidRPr="00124270">
        <w:rPr>
          <w:i/>
        </w:rPr>
        <w:t>neueren</w:t>
      </w:r>
      <w:proofErr w:type="spellEnd"/>
      <w:r w:rsidRPr="00124270">
        <w:rPr>
          <w:i/>
        </w:rPr>
        <w:t xml:space="preserve"> </w:t>
      </w:r>
      <w:proofErr w:type="spellStart"/>
      <w:r w:rsidRPr="00124270">
        <w:rPr>
          <w:i/>
        </w:rPr>
        <w:t>Kunst</w:t>
      </w:r>
      <w:proofErr w:type="spellEnd"/>
      <w:r>
        <w:t>, Munich</w:t>
      </w:r>
      <w:r w:rsidRPr="00223E4F">
        <w:t xml:space="preserve">: F. </w:t>
      </w:r>
      <w:proofErr w:type="spellStart"/>
      <w:r w:rsidRPr="00223E4F">
        <w:t>Bruckmann</w:t>
      </w:r>
      <w:proofErr w:type="spellEnd"/>
      <w:r w:rsidRPr="00223E4F">
        <w:t>, 1915,</w:t>
      </w:r>
      <w:r>
        <w:t xml:space="preserve"> pp.</w:t>
      </w:r>
      <w:r w:rsidRPr="00223E4F">
        <w:t xml:space="preserve"> ix</w:t>
      </w:r>
      <w:r>
        <w:t>–</w:t>
      </w:r>
      <w:r w:rsidRPr="00223E4F">
        <w:t xml:space="preserve">x. </w:t>
      </w:r>
    </w:p>
  </w:footnote>
  <w:footnote w:id="2">
    <w:p w14:paraId="0A67C940" w14:textId="28E24BA1" w:rsidR="00D56D3C" w:rsidRDefault="00D56D3C">
      <w:pPr>
        <w:pStyle w:val="FootnoteText"/>
      </w:pPr>
      <w:r>
        <w:rPr>
          <w:rStyle w:val="FootnoteReference"/>
        </w:rPr>
        <w:footnoteRef/>
      </w:r>
      <w:r>
        <w:t xml:space="preserve"> This must be distinguished from a pair of </w:t>
      </w:r>
      <w:proofErr w:type="spellStart"/>
      <w:r>
        <w:t>Wölfflin’s</w:t>
      </w:r>
      <w:proofErr w:type="spellEnd"/>
      <w:r>
        <w:t xml:space="preserve"> concepts: multiplicity and unity of parts. I follow Schwartz in this interpretation of </w:t>
      </w:r>
      <w:proofErr w:type="spellStart"/>
      <w:r>
        <w:t>Wölfflin</w:t>
      </w:r>
      <w:proofErr w:type="spellEnd"/>
      <w:r>
        <w:t xml:space="preserve">. </w:t>
      </w:r>
    </w:p>
  </w:footnote>
  <w:footnote w:id="3">
    <w:p w14:paraId="25DD6128" w14:textId="39076496" w:rsidR="00D56D3C" w:rsidRDefault="00D56D3C">
      <w:pPr>
        <w:pStyle w:val="FootnoteText"/>
      </w:pPr>
      <w:r>
        <w:rPr>
          <w:rStyle w:val="FootnoteReference"/>
        </w:rPr>
        <w:footnoteRef/>
      </w:r>
      <w:r>
        <w:t xml:space="preserve"> Quoted in Schwartz, p. 21.</w:t>
      </w:r>
    </w:p>
  </w:footnote>
  <w:footnote w:id="4">
    <w:p w14:paraId="2CD4A194" w14:textId="6839EF95" w:rsidR="00D56D3C" w:rsidRPr="00130321" w:rsidRDefault="00D56D3C" w:rsidP="00FF4E3C">
      <w:pPr>
        <w:pStyle w:val="FootnoteText"/>
      </w:pPr>
      <w:r w:rsidRPr="00130321">
        <w:rPr>
          <w:rStyle w:val="FootnoteReference"/>
        </w:rPr>
        <w:footnoteRef/>
      </w:r>
      <w:r w:rsidRPr="00130321">
        <w:t xml:space="preserve"> Heinrich </w:t>
      </w:r>
      <w:proofErr w:type="spellStart"/>
      <w:r w:rsidRPr="00130321">
        <w:t>Wölfflin</w:t>
      </w:r>
      <w:proofErr w:type="spellEnd"/>
      <w:r w:rsidRPr="00130321">
        <w:t xml:space="preserve">, </w:t>
      </w:r>
      <w:r w:rsidRPr="00130321">
        <w:rPr>
          <w:i/>
        </w:rPr>
        <w:t>Principles of Art History: The Problem of the Development of Style in Later Art</w:t>
      </w:r>
      <w:r>
        <w:t xml:space="preserve">. 7th. </w:t>
      </w:r>
      <w:proofErr w:type="spellStart"/>
      <w:proofErr w:type="gramStart"/>
      <w:r>
        <w:t>edn</w:t>
      </w:r>
      <w:proofErr w:type="spellEnd"/>
      <w:proofErr w:type="gramEnd"/>
      <w:r>
        <w:t>., t</w:t>
      </w:r>
      <w:r w:rsidRPr="00130321">
        <w:t xml:space="preserve">rans. M. D. </w:t>
      </w:r>
      <w:proofErr w:type="spellStart"/>
      <w:r w:rsidRPr="00130321">
        <w:t>H</w:t>
      </w:r>
      <w:r>
        <w:t>ottinger</w:t>
      </w:r>
      <w:proofErr w:type="spellEnd"/>
      <w:r>
        <w:t>, New York: Dover, 1950,</w:t>
      </w:r>
      <w:r w:rsidRPr="00130321">
        <w:t xml:space="preserve"> </w:t>
      </w:r>
      <w:r>
        <w:t xml:space="preserve">pp. </w:t>
      </w:r>
      <w:r w:rsidRPr="00130321">
        <w:t>14–16.</w:t>
      </w:r>
    </w:p>
  </w:footnote>
  <w:footnote w:id="5">
    <w:p w14:paraId="744768BA" w14:textId="03467A44" w:rsidR="00D56D3C" w:rsidRPr="00130321" w:rsidRDefault="00D56D3C" w:rsidP="00FF4E3C">
      <w:pPr>
        <w:pStyle w:val="FootnoteText"/>
      </w:pPr>
      <w:r w:rsidRPr="00130321">
        <w:rPr>
          <w:rStyle w:val="FootnoteReference"/>
        </w:rPr>
        <w:footnoteRef/>
      </w:r>
      <w:r w:rsidRPr="00130321">
        <w:t xml:space="preserve"> </w:t>
      </w:r>
      <w:r>
        <w:t xml:space="preserve">Jason </w:t>
      </w:r>
      <w:proofErr w:type="spellStart"/>
      <w:r>
        <w:t>Gaiger</w:t>
      </w:r>
      <w:proofErr w:type="spellEnd"/>
      <w:r>
        <w:t xml:space="preserve">, ‘The Analysis of Pictorial Style’, </w:t>
      </w:r>
      <w:r w:rsidRPr="00130321">
        <w:rPr>
          <w:i/>
        </w:rPr>
        <w:t>The British Journal of Aesthetics</w:t>
      </w:r>
      <w:r>
        <w:t xml:space="preserve">, vol. 42, no. 1, 2002, pp. 20–36; Lambert </w:t>
      </w:r>
      <w:proofErr w:type="spellStart"/>
      <w:r>
        <w:t>Wiesing</w:t>
      </w:r>
      <w:proofErr w:type="spellEnd"/>
      <w:r w:rsidRPr="00130321">
        <w:t>,</w:t>
      </w:r>
      <w:r w:rsidRPr="00130321">
        <w:rPr>
          <w:i/>
        </w:rPr>
        <w:t xml:space="preserve"> Die </w:t>
      </w:r>
      <w:proofErr w:type="spellStart"/>
      <w:r w:rsidRPr="00130321">
        <w:rPr>
          <w:i/>
        </w:rPr>
        <w:t>Sichtbarkeit</w:t>
      </w:r>
      <w:proofErr w:type="spellEnd"/>
      <w:r w:rsidRPr="00130321">
        <w:rPr>
          <w:i/>
        </w:rPr>
        <w:t xml:space="preserve"> des </w:t>
      </w:r>
      <w:proofErr w:type="spellStart"/>
      <w:r w:rsidRPr="00130321">
        <w:rPr>
          <w:i/>
        </w:rPr>
        <w:t>Bildes</w:t>
      </w:r>
      <w:proofErr w:type="spellEnd"/>
      <w:r w:rsidRPr="00130321">
        <w:rPr>
          <w:i/>
        </w:rPr>
        <w:t xml:space="preserve">: Geschichte und </w:t>
      </w:r>
      <w:proofErr w:type="spellStart"/>
      <w:r w:rsidRPr="00130321">
        <w:rPr>
          <w:i/>
        </w:rPr>
        <w:t>Perspektiven</w:t>
      </w:r>
      <w:proofErr w:type="spellEnd"/>
      <w:r w:rsidRPr="00130321">
        <w:rPr>
          <w:i/>
        </w:rPr>
        <w:t xml:space="preserve"> der </w:t>
      </w:r>
      <w:proofErr w:type="spellStart"/>
      <w:r w:rsidRPr="00130321">
        <w:rPr>
          <w:i/>
        </w:rPr>
        <w:t>formalen</w:t>
      </w:r>
      <w:proofErr w:type="spellEnd"/>
      <w:r w:rsidRPr="00130321">
        <w:rPr>
          <w:i/>
        </w:rPr>
        <w:t xml:space="preserve"> </w:t>
      </w:r>
      <w:proofErr w:type="spellStart"/>
      <w:r w:rsidRPr="00130321">
        <w:rPr>
          <w:i/>
        </w:rPr>
        <w:t>Ästhetik</w:t>
      </w:r>
      <w:proofErr w:type="spellEnd"/>
      <w:r>
        <w:t xml:space="preserve">, </w:t>
      </w:r>
      <w:r w:rsidRPr="00130321">
        <w:t xml:space="preserve">Hamburg: </w:t>
      </w:r>
      <w:proofErr w:type="spellStart"/>
      <w:r w:rsidRPr="00130321">
        <w:t>Rowohlt</w:t>
      </w:r>
      <w:proofErr w:type="spellEnd"/>
      <w:r w:rsidRPr="00130321">
        <w:t>, 1997.</w:t>
      </w:r>
    </w:p>
  </w:footnote>
  <w:footnote w:id="6">
    <w:p w14:paraId="3F2A913E" w14:textId="3987BA24" w:rsidR="00D56D3C" w:rsidRPr="006462AA" w:rsidRDefault="00D56D3C">
      <w:pPr>
        <w:pStyle w:val="FootnoteText"/>
      </w:pPr>
      <w:r>
        <w:rPr>
          <w:rStyle w:val="FootnoteReference"/>
        </w:rPr>
        <w:footnoteRef/>
      </w:r>
      <w:r>
        <w:t xml:space="preserve"> </w:t>
      </w:r>
      <w:r w:rsidRPr="00DA5CE2">
        <w:t xml:space="preserve">Although </w:t>
      </w:r>
      <w:proofErr w:type="spellStart"/>
      <w:r w:rsidRPr="00DA5CE2">
        <w:t>Wölfflin</w:t>
      </w:r>
      <w:proofErr w:type="spellEnd"/>
      <w:r w:rsidRPr="00DA5CE2">
        <w:t xml:space="preserve"> refers to vision throughout </w:t>
      </w:r>
      <w:r w:rsidRPr="00DA5CE2">
        <w:rPr>
          <w:i/>
        </w:rPr>
        <w:t>Principles of Art History</w:t>
      </w:r>
      <w:r w:rsidRPr="00DA5CE2">
        <w:t>, in the preface to the sixth edition he observed: “[</w:t>
      </w:r>
      <w:proofErr w:type="spellStart"/>
      <w:proofErr w:type="gramStart"/>
      <w:r w:rsidRPr="00DA5CE2">
        <w:t>i</w:t>
      </w:r>
      <w:proofErr w:type="spellEnd"/>
      <w:r w:rsidRPr="00DA5CE2">
        <w:t>]t</w:t>
      </w:r>
      <w:proofErr w:type="gramEnd"/>
      <w:r w:rsidRPr="00DA5CE2">
        <w:t xml:space="preserve"> is preferable to speak of modes of </w:t>
      </w:r>
      <w:r w:rsidRPr="00DA5CE2">
        <w:rPr>
          <w:i/>
        </w:rPr>
        <w:t>imagination</w:t>
      </w:r>
      <w:r w:rsidRPr="00DA5CE2">
        <w:t>, rather than of modes of vision.” (</w:t>
      </w:r>
      <w:proofErr w:type="spellStart"/>
      <w:r w:rsidRPr="00DA5CE2">
        <w:t>Wölfflin</w:t>
      </w:r>
      <w:proofErr w:type="spellEnd"/>
      <w:r w:rsidRPr="00DA5CE2">
        <w:t xml:space="preserve">, </w:t>
      </w:r>
      <w:r w:rsidRPr="00DA5CE2">
        <w:rPr>
          <w:i/>
        </w:rPr>
        <w:t>Principles of Art History</w:t>
      </w:r>
      <w:r w:rsidRPr="00DA5CE2">
        <w:t>, p. vii, original italics.) The account I develop is an account in terms of vision rather than imagination.</w:t>
      </w:r>
      <w:r w:rsidRPr="006462AA">
        <w:t xml:space="preserve"> </w:t>
      </w:r>
    </w:p>
  </w:footnote>
  <w:footnote w:id="7">
    <w:p w14:paraId="18D9EDC5" w14:textId="27C6D4B2" w:rsidR="00D56D3C" w:rsidRPr="006462AA" w:rsidRDefault="00D56D3C">
      <w:pPr>
        <w:pStyle w:val="FootnoteText"/>
      </w:pPr>
      <w:r w:rsidRPr="006462AA">
        <w:rPr>
          <w:rStyle w:val="FootnoteReference"/>
        </w:rPr>
        <w:footnoteRef/>
      </w:r>
      <w:r w:rsidRPr="006462AA">
        <w:t xml:space="preserve"> </w:t>
      </w:r>
      <w:proofErr w:type="spellStart"/>
      <w:r w:rsidRPr="006462AA">
        <w:t>Wölfflin</w:t>
      </w:r>
      <w:proofErr w:type="spellEnd"/>
      <w:r w:rsidRPr="006462AA">
        <w:t xml:space="preserve">, </w:t>
      </w:r>
      <w:r w:rsidRPr="006462AA">
        <w:rPr>
          <w:i/>
        </w:rPr>
        <w:t>Principles of Art History</w:t>
      </w:r>
      <w:r w:rsidRPr="006462AA">
        <w:t>, p. 18.</w:t>
      </w:r>
    </w:p>
  </w:footnote>
  <w:footnote w:id="8">
    <w:p w14:paraId="2FA6FE03" w14:textId="11DA8915" w:rsidR="00D56D3C" w:rsidRPr="006462AA" w:rsidRDefault="00D56D3C" w:rsidP="00F569CD">
      <w:pPr>
        <w:pStyle w:val="FootnoteText"/>
      </w:pPr>
      <w:r w:rsidRPr="006462AA">
        <w:rPr>
          <w:rStyle w:val="FootnoteReference"/>
        </w:rPr>
        <w:footnoteRef/>
      </w:r>
      <w:r w:rsidRPr="006462AA">
        <w:t xml:space="preserve"> </w:t>
      </w:r>
      <w:proofErr w:type="spellStart"/>
      <w:r w:rsidRPr="006462AA">
        <w:t>Wölfflin</w:t>
      </w:r>
      <w:proofErr w:type="spellEnd"/>
      <w:r w:rsidRPr="006462AA">
        <w:t xml:space="preserve">, </w:t>
      </w:r>
      <w:r w:rsidRPr="006462AA">
        <w:rPr>
          <w:i/>
        </w:rPr>
        <w:t>Principles of Art History</w:t>
      </w:r>
      <w:r w:rsidRPr="006462AA">
        <w:t>, pp. 18–19.</w:t>
      </w:r>
    </w:p>
  </w:footnote>
  <w:footnote w:id="9">
    <w:p w14:paraId="34E83AB6" w14:textId="41ED3A1D" w:rsidR="00D56D3C" w:rsidRPr="006462AA" w:rsidRDefault="00D56D3C" w:rsidP="006462AA">
      <w:r w:rsidRPr="006462AA">
        <w:rPr>
          <w:rStyle w:val="FootnoteReference"/>
        </w:rPr>
        <w:footnoteRef/>
      </w:r>
      <w:r w:rsidR="00FA095B">
        <w:t xml:space="preserve"> See </w:t>
      </w:r>
      <w:proofErr w:type="spellStart"/>
      <w:r w:rsidR="00FA095B">
        <w:t>Gaiger</w:t>
      </w:r>
      <w:proofErr w:type="spellEnd"/>
      <w:r w:rsidRPr="006462AA">
        <w:t xml:space="preserve">, and </w:t>
      </w:r>
      <w:proofErr w:type="spellStart"/>
      <w:r w:rsidRPr="006462AA">
        <w:t>Wiesing</w:t>
      </w:r>
      <w:proofErr w:type="spellEnd"/>
      <w:r w:rsidRPr="006462AA">
        <w:t xml:space="preserve">. They present accounts that do not draw on differences in vision, instead founding them on differences in the features of the depicted subject matter, or in the marks on the picture surface. So the distinction between linear and painterly, </w:t>
      </w:r>
      <w:proofErr w:type="spellStart"/>
      <w:r w:rsidRPr="006462AA">
        <w:t>Gaiger</w:t>
      </w:r>
      <w:proofErr w:type="spellEnd"/>
      <w:r w:rsidRPr="006462AA">
        <w:t xml:space="preserve"> proposes, “describes different types of </w:t>
      </w:r>
      <w:r w:rsidRPr="006462AA">
        <w:rPr>
          <w:i/>
        </w:rPr>
        <w:t>transition</w:t>
      </w:r>
      <w:r w:rsidRPr="006462AA">
        <w:t xml:space="preserve"> between the marks on the picture surface. … </w:t>
      </w:r>
      <w:proofErr w:type="gramStart"/>
      <w:r w:rsidRPr="006462AA">
        <w:t>painterly</w:t>
      </w:r>
      <w:proofErr w:type="gramEnd"/>
      <w:r w:rsidRPr="006462AA">
        <w:t xml:space="preserve"> transitions are merging and fluid, such that it is impossible to determine where one thing stops and another begins, [and] linear transitions are distinct, with each of the parts clearly isolated.” (</w:t>
      </w:r>
      <w:proofErr w:type="spellStart"/>
      <w:r w:rsidRPr="006462AA">
        <w:t>Gaiger</w:t>
      </w:r>
      <w:proofErr w:type="spellEnd"/>
      <w:r w:rsidRPr="006462AA">
        <w:t xml:space="preserve">, pp. 32–33). Such an account is potentially consistent with my own, since the kind of experiences I describe typically are occasioned by the kinds of marks </w:t>
      </w:r>
      <w:proofErr w:type="spellStart"/>
      <w:r w:rsidRPr="006462AA">
        <w:t>Gaiger</w:t>
      </w:r>
      <w:proofErr w:type="spellEnd"/>
      <w:r w:rsidRPr="006462AA">
        <w:t xml:space="preserve"> describes.</w:t>
      </w:r>
    </w:p>
  </w:footnote>
  <w:footnote w:id="10">
    <w:p w14:paraId="3DD55CDA" w14:textId="6B892190" w:rsidR="00D56D3C" w:rsidRPr="00AD2B4F" w:rsidRDefault="00D56D3C" w:rsidP="0059047B">
      <w:pPr>
        <w:widowControl w:val="0"/>
        <w:autoSpaceDE w:val="0"/>
        <w:autoSpaceDN w:val="0"/>
        <w:adjustRightInd w:val="0"/>
        <w:rPr>
          <w:rFonts w:cs="Times New Roman"/>
        </w:rPr>
      </w:pPr>
      <w:r w:rsidRPr="006462AA">
        <w:rPr>
          <w:rStyle w:val="FootnoteReference"/>
        </w:rPr>
        <w:footnoteRef/>
      </w:r>
      <w:r w:rsidRPr="006462AA">
        <w:t xml:space="preserve"> Broadly speaking, the kind </w:t>
      </w:r>
      <w:r>
        <w:t xml:space="preserve">of attention on which my account relies – object- and feature-focused, aligns with sophisticated spotlight theories (e.g. Gordon D. Logan, ‘The </w:t>
      </w:r>
      <w:r w:rsidRPr="00AD2B4F">
        <w:t xml:space="preserve">CODE Theory of Visual Attention: Integration of Space-Based and Object-Based Attention’, </w:t>
      </w:r>
      <w:r w:rsidRPr="00AD2B4F">
        <w:rPr>
          <w:i/>
        </w:rPr>
        <w:t>Psychological Review</w:t>
      </w:r>
      <w:r w:rsidRPr="00AD2B4F">
        <w:t>, vol. 103, no. 4, pp. 603–</w:t>
      </w:r>
      <w:r>
        <w:t xml:space="preserve">649, 1996). </w:t>
      </w:r>
      <w:r w:rsidRPr="00AD2B4F">
        <w:t xml:space="preserve">Note that movement of visual attention is different from, although related to, eye-movement, so I avoid speaking of ‘the eye’s movement’ or ‘the eye being guided’. For an account of how vision is affected by changes in attention, yet remains cognitively impenetrable in important ways, see </w:t>
      </w:r>
      <w:proofErr w:type="spellStart"/>
      <w:r w:rsidRPr="00AD2B4F">
        <w:rPr>
          <w:rFonts w:cs="Times New Roman"/>
        </w:rPr>
        <w:t>Zenon</w:t>
      </w:r>
      <w:proofErr w:type="spellEnd"/>
      <w:r w:rsidRPr="00AD2B4F">
        <w:rPr>
          <w:rFonts w:cs="Times New Roman"/>
        </w:rPr>
        <w:t xml:space="preserve"> </w:t>
      </w:r>
      <w:proofErr w:type="spellStart"/>
      <w:r w:rsidRPr="00AD2B4F">
        <w:rPr>
          <w:rFonts w:cs="Times New Roman"/>
        </w:rPr>
        <w:t>Pylyshyn</w:t>
      </w:r>
      <w:proofErr w:type="spellEnd"/>
      <w:r w:rsidRPr="00AD2B4F">
        <w:rPr>
          <w:rFonts w:cs="Times New Roman"/>
        </w:rPr>
        <w:t xml:space="preserve">, ‘Is Vision Continuous With Cognition? The Case for Cognitive Impenetrability of Visual Perception’, </w:t>
      </w:r>
      <w:proofErr w:type="spellStart"/>
      <w:r w:rsidRPr="00AD2B4F">
        <w:rPr>
          <w:rFonts w:cs="Times New Roman"/>
          <w:i/>
        </w:rPr>
        <w:t>Behavioural</w:t>
      </w:r>
      <w:proofErr w:type="spellEnd"/>
      <w:r w:rsidRPr="00AD2B4F">
        <w:rPr>
          <w:rFonts w:cs="Times New Roman"/>
          <w:i/>
        </w:rPr>
        <w:t xml:space="preserve"> and Brain Sciences </w:t>
      </w:r>
      <w:r w:rsidRPr="00AD2B4F">
        <w:rPr>
          <w:rFonts w:cs="Times New Roman"/>
        </w:rPr>
        <w:t>22, 1999, pp. 341–365.</w:t>
      </w:r>
    </w:p>
  </w:footnote>
  <w:footnote w:id="11">
    <w:p w14:paraId="12145446" w14:textId="23D456F0" w:rsidR="00D56D3C" w:rsidRDefault="00D56D3C">
      <w:pPr>
        <w:pStyle w:val="FootnoteText"/>
      </w:pPr>
      <w:r>
        <w:rPr>
          <w:rStyle w:val="FootnoteReference"/>
        </w:rPr>
        <w:footnoteRef/>
      </w:r>
      <w:r>
        <w:t xml:space="preserve"> </w:t>
      </w:r>
      <w:proofErr w:type="spellStart"/>
      <w:r w:rsidRPr="00DD11BC">
        <w:t>Wölfflin</w:t>
      </w:r>
      <w:proofErr w:type="spellEnd"/>
      <w:r>
        <w:t>,</w:t>
      </w:r>
      <w:r w:rsidRPr="00DE0B82">
        <w:rPr>
          <w:i/>
        </w:rPr>
        <w:t xml:space="preserve"> </w:t>
      </w:r>
      <w:r w:rsidRPr="006462AA">
        <w:rPr>
          <w:i/>
        </w:rPr>
        <w:t>Principles of Art History</w:t>
      </w:r>
      <w:r>
        <w:t>, p. 18.</w:t>
      </w:r>
    </w:p>
  </w:footnote>
  <w:footnote w:id="12">
    <w:p w14:paraId="696C17BF" w14:textId="22A88CED" w:rsidR="00D56D3C" w:rsidRDefault="00D56D3C">
      <w:pPr>
        <w:pStyle w:val="FootnoteText"/>
      </w:pPr>
      <w:r>
        <w:rPr>
          <w:rStyle w:val="FootnoteReference"/>
        </w:rPr>
        <w:footnoteRef/>
      </w:r>
      <w:r>
        <w:t xml:space="preserve"> The accounts I give of the concepts take the form of sufficient conditions. I leave open the question of whether there are other ways of achieving the concepts (as some of</w:t>
      </w:r>
      <w:r w:rsidRPr="00235F74">
        <w:t xml:space="preserve"> </w:t>
      </w:r>
      <w:proofErr w:type="spellStart"/>
      <w:r w:rsidRPr="00DD11BC">
        <w:t>Wölfflin</w:t>
      </w:r>
      <w:r>
        <w:t>’s</w:t>
      </w:r>
      <w:proofErr w:type="spellEnd"/>
      <w:r>
        <w:t xml:space="preserve"> remarks may be taken to suggest).</w:t>
      </w:r>
    </w:p>
  </w:footnote>
  <w:footnote w:id="13">
    <w:p w14:paraId="1007EA7D" w14:textId="0E93A738" w:rsidR="00D56D3C" w:rsidRDefault="00D56D3C">
      <w:pPr>
        <w:pStyle w:val="FootnoteText"/>
      </w:pPr>
      <w:r>
        <w:rPr>
          <w:rStyle w:val="FootnoteReference"/>
        </w:rPr>
        <w:footnoteRef/>
      </w:r>
      <w:r>
        <w:t xml:space="preserve"> </w:t>
      </w:r>
      <w:proofErr w:type="spellStart"/>
      <w:r w:rsidRPr="00DD11BC">
        <w:t>Wölfflin</w:t>
      </w:r>
      <w:proofErr w:type="spellEnd"/>
      <w:r>
        <w:t xml:space="preserve">, </w:t>
      </w:r>
      <w:r w:rsidRPr="006462AA">
        <w:rPr>
          <w:i/>
        </w:rPr>
        <w:t>Principles of Art History</w:t>
      </w:r>
      <w:r>
        <w:t>, p. 19.</w:t>
      </w:r>
    </w:p>
  </w:footnote>
  <w:footnote w:id="14">
    <w:p w14:paraId="38113E46" w14:textId="321F41E6" w:rsidR="00D56D3C" w:rsidRDefault="00D56D3C">
      <w:pPr>
        <w:pStyle w:val="FootnoteText"/>
      </w:pPr>
      <w:r>
        <w:rPr>
          <w:rStyle w:val="FootnoteReference"/>
        </w:rPr>
        <w:footnoteRef/>
      </w:r>
      <w:r>
        <w:t xml:space="preserve"> There is another candidate for movement: the movement of the brushstrokes, or more precisely, the traces of their movement, legible on the picture surface. If one were to accept that our attention must in turn follow these movements to have the effects </w:t>
      </w:r>
      <w:proofErr w:type="spellStart"/>
      <w:r w:rsidRPr="00DD11BC">
        <w:t>Wölfflin</w:t>
      </w:r>
      <w:proofErr w:type="spellEnd"/>
      <w:r>
        <w:t xml:space="preserve"> describes, it would bring this proposal close to mine, except that attention would be then be on the paint rather than the subject matter. I think this kind of experience is an important part of our experience of pictures, but it is clearly not the experience </w:t>
      </w:r>
      <w:proofErr w:type="spellStart"/>
      <w:r w:rsidRPr="00DD11BC">
        <w:t>Wölfflin</w:t>
      </w:r>
      <w:proofErr w:type="spellEnd"/>
      <w:r>
        <w:t xml:space="preserve"> is concerned with in formulating this concept, since it is an experience of medium, and he excludes that from his conception of form. </w:t>
      </w:r>
    </w:p>
  </w:footnote>
  <w:footnote w:id="15">
    <w:p w14:paraId="3B6567A0" w14:textId="2123E11E" w:rsidR="00D56D3C" w:rsidRDefault="00D56D3C">
      <w:pPr>
        <w:pStyle w:val="FootnoteText"/>
      </w:pPr>
      <w:r>
        <w:rPr>
          <w:rStyle w:val="FootnoteReference"/>
        </w:rPr>
        <w:footnoteRef/>
      </w:r>
      <w:r>
        <w:t xml:space="preserve"> The distinction between focused and distributed attention comes from psychology, and is discussed by </w:t>
      </w:r>
      <w:proofErr w:type="spellStart"/>
      <w:r>
        <w:t>Bence</w:t>
      </w:r>
      <w:proofErr w:type="spellEnd"/>
      <w:r>
        <w:t xml:space="preserve"> </w:t>
      </w:r>
      <w:proofErr w:type="spellStart"/>
      <w:r>
        <w:t>Nanay</w:t>
      </w:r>
      <w:proofErr w:type="spellEnd"/>
      <w:r>
        <w:t xml:space="preserve">, </w:t>
      </w:r>
      <w:r w:rsidR="00B91C14" w:rsidRPr="00B91C14">
        <w:rPr>
          <w:i/>
        </w:rPr>
        <w:t>Between Perception and Action</w:t>
      </w:r>
      <w:r w:rsidR="00B91C14">
        <w:t>, Oxf</w:t>
      </w:r>
      <w:r>
        <w:t>o</w:t>
      </w:r>
      <w:r w:rsidR="00B91C14">
        <w:t>r</w:t>
      </w:r>
      <w:r>
        <w:t>d, Oxford University Press</w:t>
      </w:r>
      <w:r w:rsidR="00B91C14">
        <w:t xml:space="preserve">, 2013, esp. </w:t>
      </w:r>
      <w:proofErr w:type="spellStart"/>
      <w:r w:rsidR="00B91C14">
        <w:t>ch</w:t>
      </w:r>
      <w:proofErr w:type="spellEnd"/>
      <w:r w:rsidR="00B91C14">
        <w:t xml:space="preserve"> 2.</w:t>
      </w:r>
    </w:p>
  </w:footnote>
  <w:footnote w:id="16">
    <w:p w14:paraId="68116115" w14:textId="5EB1AD3C" w:rsidR="00D56D3C" w:rsidRDefault="00D56D3C">
      <w:pPr>
        <w:pStyle w:val="FootnoteText"/>
      </w:pPr>
      <w:r>
        <w:rPr>
          <w:rStyle w:val="FootnoteReference"/>
        </w:rPr>
        <w:footnoteRef/>
      </w:r>
      <w:r>
        <w:t xml:space="preserve"> </w:t>
      </w:r>
      <w:proofErr w:type="spellStart"/>
      <w:r>
        <w:t>Wölfflin</w:t>
      </w:r>
      <w:proofErr w:type="spellEnd"/>
      <w:r>
        <w:t xml:space="preserve">, </w:t>
      </w:r>
      <w:r w:rsidRPr="00130321">
        <w:rPr>
          <w:i/>
        </w:rPr>
        <w:t>Principles of Art History</w:t>
      </w:r>
      <w:r>
        <w:t>, p. 15</w:t>
      </w:r>
      <w:r w:rsidRPr="00130321">
        <w:t>.</w:t>
      </w:r>
    </w:p>
  </w:footnote>
  <w:footnote w:id="17">
    <w:p w14:paraId="21AC0662" w14:textId="69C69B90" w:rsidR="00D56D3C" w:rsidRDefault="00D56D3C">
      <w:pPr>
        <w:pStyle w:val="FootnoteText"/>
      </w:pPr>
      <w:r>
        <w:rPr>
          <w:rStyle w:val="FootnoteReference"/>
        </w:rPr>
        <w:footnoteRef/>
      </w:r>
      <w:r>
        <w:t xml:space="preserve"> </w:t>
      </w:r>
      <w:proofErr w:type="spellStart"/>
      <w:r>
        <w:t>Wölfflin</w:t>
      </w:r>
      <w:proofErr w:type="spellEnd"/>
      <w:r>
        <w:t xml:space="preserve">, </w:t>
      </w:r>
      <w:r w:rsidRPr="00130321">
        <w:rPr>
          <w:i/>
        </w:rPr>
        <w:t>Principles of Art History</w:t>
      </w:r>
      <w:r>
        <w:t>, p. 73.</w:t>
      </w:r>
    </w:p>
  </w:footnote>
  <w:footnote w:id="18">
    <w:p w14:paraId="77A9ACB5" w14:textId="77777777" w:rsidR="00D56D3C" w:rsidRDefault="00D56D3C" w:rsidP="00880F35">
      <w:pPr>
        <w:pStyle w:val="FootnoteText"/>
      </w:pPr>
      <w:r>
        <w:rPr>
          <w:rStyle w:val="FootnoteReference"/>
        </w:rPr>
        <w:footnoteRef/>
      </w:r>
      <w:r>
        <w:t xml:space="preserve"> </w:t>
      </w:r>
      <w:proofErr w:type="spellStart"/>
      <w:r>
        <w:t>Wölfflin</w:t>
      </w:r>
      <w:proofErr w:type="spellEnd"/>
      <w:r>
        <w:t xml:space="preserve">, </w:t>
      </w:r>
      <w:r w:rsidRPr="00130321">
        <w:rPr>
          <w:i/>
        </w:rPr>
        <w:t>Principles of Art History</w:t>
      </w:r>
      <w:r>
        <w:t>, p. 82.</w:t>
      </w:r>
    </w:p>
  </w:footnote>
  <w:footnote w:id="19">
    <w:p w14:paraId="435386E7" w14:textId="77777777" w:rsidR="00D56D3C" w:rsidRDefault="00D56D3C" w:rsidP="00880F35">
      <w:pPr>
        <w:pStyle w:val="FootnoteText"/>
      </w:pPr>
      <w:r>
        <w:rPr>
          <w:rStyle w:val="FootnoteReference"/>
        </w:rPr>
        <w:footnoteRef/>
      </w:r>
      <w:r>
        <w:t xml:space="preserve"> </w:t>
      </w:r>
      <w:proofErr w:type="spellStart"/>
      <w:r>
        <w:t>Wölfflin</w:t>
      </w:r>
      <w:proofErr w:type="spellEnd"/>
      <w:r>
        <w:t xml:space="preserve">, </w:t>
      </w:r>
      <w:r w:rsidRPr="00130321">
        <w:rPr>
          <w:i/>
        </w:rPr>
        <w:t>Principles of Art History</w:t>
      </w:r>
      <w:r>
        <w:t>, p. 73.</w:t>
      </w:r>
    </w:p>
  </w:footnote>
  <w:footnote w:id="20">
    <w:p w14:paraId="6D315718" w14:textId="265F346C" w:rsidR="00D56D3C" w:rsidRDefault="00D56D3C">
      <w:pPr>
        <w:pStyle w:val="FootnoteText"/>
      </w:pPr>
      <w:r>
        <w:rPr>
          <w:rStyle w:val="FootnoteReference"/>
        </w:rPr>
        <w:footnoteRef/>
      </w:r>
      <w:r>
        <w:t xml:space="preserve"> Another way of putting these would be to replace the relation of subject matter to the viewer, with the relation of the subject matter to the picture plane (see </w:t>
      </w:r>
      <w:proofErr w:type="spellStart"/>
      <w:r>
        <w:t>Gaiger</w:t>
      </w:r>
      <w:proofErr w:type="spellEnd"/>
      <w:r w:rsidRPr="00EC0F11">
        <w:t>, p. 33).</w:t>
      </w:r>
      <w:r>
        <w:t xml:space="preserve"> This would make planar and recessional experience picture-specific.</w:t>
      </w:r>
    </w:p>
  </w:footnote>
  <w:footnote w:id="21">
    <w:p w14:paraId="4A650677" w14:textId="0E4071D6" w:rsidR="00D56D3C" w:rsidRDefault="00D56D3C">
      <w:pPr>
        <w:pStyle w:val="FootnoteText"/>
      </w:pPr>
      <w:r>
        <w:rPr>
          <w:rStyle w:val="FootnoteReference"/>
        </w:rPr>
        <w:footnoteRef/>
      </w:r>
      <w:r>
        <w:t xml:space="preserve"> For criticism of </w:t>
      </w:r>
      <w:proofErr w:type="spellStart"/>
      <w:r w:rsidRPr="00DD11BC">
        <w:t>Wölfflin</w:t>
      </w:r>
      <w:proofErr w:type="spellEnd"/>
      <w:r>
        <w:t xml:space="preserve"> on this line, see Edgar Wind, ‘Warburg’s Concept of </w:t>
      </w:r>
      <w:proofErr w:type="spellStart"/>
      <w:r w:rsidRPr="002A51A7">
        <w:rPr>
          <w:i/>
        </w:rPr>
        <w:t>Kulturwissenschaft</w:t>
      </w:r>
      <w:proofErr w:type="spellEnd"/>
      <w:r>
        <w:t xml:space="preserve"> and its Meaning for Aesthetics’, in Edgar Wind, </w:t>
      </w:r>
      <w:r w:rsidRPr="002A51A7">
        <w:rPr>
          <w:i/>
        </w:rPr>
        <w:t>The Eloquence of Symbols: Studies in Humanist Art</w:t>
      </w:r>
      <w:r>
        <w:t xml:space="preserve">, rev. </w:t>
      </w:r>
      <w:proofErr w:type="spellStart"/>
      <w:r>
        <w:t>edn</w:t>
      </w:r>
      <w:proofErr w:type="spellEnd"/>
      <w:proofErr w:type="gramStart"/>
      <w:r>
        <w:t>.,</w:t>
      </w:r>
      <w:proofErr w:type="gramEnd"/>
      <w:r>
        <w:t xml:space="preserve"> ed. </w:t>
      </w:r>
      <w:proofErr w:type="spellStart"/>
      <w:r>
        <w:t>Jaynie</w:t>
      </w:r>
      <w:proofErr w:type="spellEnd"/>
      <w:r>
        <w:t xml:space="preserve"> Anderson, Oxford: Clarendon Press, 1993.</w:t>
      </w:r>
    </w:p>
  </w:footnote>
  <w:footnote w:id="22">
    <w:p w14:paraId="0291BAD4" w14:textId="77777777" w:rsidR="00D56D3C" w:rsidRDefault="00D56D3C" w:rsidP="004871E2">
      <w:pPr>
        <w:pStyle w:val="FootnoteText"/>
      </w:pPr>
      <w:r w:rsidRPr="00AD2B4F">
        <w:rPr>
          <w:rStyle w:val="FootnoteReference"/>
        </w:rPr>
        <w:footnoteRef/>
      </w:r>
      <w:r w:rsidRPr="00AD2B4F">
        <w:t xml:space="preserve"> </w:t>
      </w:r>
      <w:proofErr w:type="spellStart"/>
      <w:r w:rsidRPr="00AD2B4F">
        <w:t>Wölfflin</w:t>
      </w:r>
      <w:proofErr w:type="spellEnd"/>
      <w:r w:rsidRPr="00AD2B4F">
        <w:t xml:space="preserve">, </w:t>
      </w:r>
      <w:r w:rsidRPr="00AD2B4F">
        <w:rPr>
          <w:i/>
        </w:rPr>
        <w:t>Principles of Art History</w:t>
      </w:r>
      <w:r w:rsidRPr="00AD2B4F">
        <w:t xml:space="preserve">, p. 230. </w:t>
      </w:r>
      <w:proofErr w:type="spellStart"/>
      <w:r w:rsidRPr="00AD2B4F">
        <w:t>Wölfflin</w:t>
      </w:r>
      <w:proofErr w:type="spellEnd"/>
      <w:r w:rsidRPr="00AD2B4F">
        <w:t xml:space="preserve"> alludes to Adolf </w:t>
      </w:r>
      <w:proofErr w:type="spellStart"/>
      <w:r w:rsidRPr="00AD2B4F">
        <w:t>Göller’s</w:t>
      </w:r>
      <w:proofErr w:type="spellEnd"/>
      <w:r w:rsidRPr="00AD2B4F">
        <w:t xml:space="preserve"> ‘What is the Cause of Perpetual Style Change in Architecture?</w:t>
      </w:r>
      <w:proofErr w:type="gramStart"/>
      <w:r w:rsidRPr="00AD2B4F">
        <w:t>’,</w:t>
      </w:r>
      <w:proofErr w:type="gramEnd"/>
      <w:r w:rsidRPr="00AD2B4F">
        <w:t xml:space="preserve"> in Robert </w:t>
      </w:r>
      <w:proofErr w:type="spellStart"/>
      <w:r w:rsidRPr="00AD2B4F">
        <w:t>Vischer</w:t>
      </w:r>
      <w:proofErr w:type="spellEnd"/>
      <w:r w:rsidRPr="00AD2B4F">
        <w:t xml:space="preserve"> et al., </w:t>
      </w:r>
      <w:r w:rsidRPr="00AD2B4F">
        <w:rPr>
          <w:i/>
        </w:rPr>
        <w:t>Empathy , Form and Space: Problems in German Aesthetics, 1873–1893</w:t>
      </w:r>
      <w:r w:rsidRPr="00AD2B4F">
        <w:t>, Santa Monica: Getty Center for</w:t>
      </w:r>
      <w:r>
        <w:t xml:space="preserve"> the History of Art and the Humanities, 1994.</w:t>
      </w:r>
    </w:p>
  </w:footnote>
  <w:footnote w:id="23">
    <w:p w14:paraId="03916CB7" w14:textId="3F55B41E" w:rsidR="00D56D3C" w:rsidRDefault="00D56D3C" w:rsidP="007913C7">
      <w:pPr>
        <w:pStyle w:val="FootnoteText"/>
      </w:pPr>
      <w:r>
        <w:rPr>
          <w:rStyle w:val="FootnoteReference"/>
        </w:rPr>
        <w:footnoteRef/>
      </w:r>
      <w:r w:rsidR="00FA095B">
        <w:t xml:space="preserve"> </w:t>
      </w:r>
      <w:proofErr w:type="spellStart"/>
      <w:r w:rsidR="00FA095B">
        <w:t>Gaiger</w:t>
      </w:r>
      <w:proofErr w:type="spellEnd"/>
      <w:r>
        <w:t>,</w:t>
      </w:r>
      <w:r w:rsidRPr="00130321">
        <w:t xml:space="preserve"> </w:t>
      </w:r>
      <w:r>
        <w:t xml:space="preserve">pp. 26–27. </w:t>
      </w:r>
    </w:p>
  </w:footnote>
  <w:footnote w:id="24">
    <w:p w14:paraId="7D044F5D" w14:textId="51DC5780" w:rsidR="00D56D3C" w:rsidRDefault="00D56D3C" w:rsidP="007913C7">
      <w:pPr>
        <w:pStyle w:val="FootnoteText"/>
      </w:pPr>
      <w:r>
        <w:rPr>
          <w:rStyle w:val="FootnoteReference"/>
        </w:rPr>
        <w:footnoteRef/>
      </w:r>
      <w:r>
        <w:t xml:space="preserve"> </w:t>
      </w:r>
      <w:proofErr w:type="spellStart"/>
      <w:r>
        <w:t>Gaiger</w:t>
      </w:r>
      <w:proofErr w:type="spellEnd"/>
      <w:r>
        <w:t>, p. 27.</w:t>
      </w:r>
    </w:p>
  </w:footnote>
  <w:footnote w:id="25">
    <w:p w14:paraId="42D20C1A" w14:textId="17129287" w:rsidR="00D56D3C" w:rsidRDefault="00D56D3C" w:rsidP="00A71F55">
      <w:r>
        <w:rPr>
          <w:rStyle w:val="FootnoteReference"/>
        </w:rPr>
        <w:footnoteRef/>
      </w:r>
      <w:r>
        <w:t xml:space="preserve"> ‘A. </w:t>
      </w:r>
      <w:proofErr w:type="gramStart"/>
      <w:r>
        <w:t>R.’,</w:t>
      </w:r>
      <w:proofErr w:type="gramEnd"/>
      <w:r>
        <w:t xml:space="preserve"> Review of </w:t>
      </w:r>
      <w:proofErr w:type="spellStart"/>
      <w:r>
        <w:t>Edouard</w:t>
      </w:r>
      <w:proofErr w:type="spellEnd"/>
      <w:r>
        <w:t xml:space="preserve"> Vuillard Retrospective Exhibition, Calendar of the Art Institute of Chicago, vol. 66, no. 1, 1972, pp. 1-3, at p. 2. ‘A. R.’ quotes from </w:t>
      </w:r>
      <w:r w:rsidRPr="00850860">
        <w:rPr>
          <w:i/>
        </w:rPr>
        <w:t>La Gazette des Beaux-Arts</w:t>
      </w:r>
      <w:r>
        <w:t>, December 1, 1905. Gide was however clear that the effect was a matter of expression: “his brush never breaks free of the emotion which guides it; the outer world, for Vuillard, is always a pretext, an adjustable means of expression.” (Ibid.)</w:t>
      </w:r>
    </w:p>
  </w:footnote>
  <w:footnote w:id="26">
    <w:p w14:paraId="12652D56" w14:textId="2ECCD398" w:rsidR="00D56D3C" w:rsidRDefault="00D56D3C" w:rsidP="009A6864">
      <w:r>
        <w:rPr>
          <w:rStyle w:val="FootnoteReference"/>
        </w:rPr>
        <w:footnoteRef/>
      </w:r>
      <w:r>
        <w:t xml:space="preserve"> </w:t>
      </w:r>
      <w:r w:rsidRPr="003003FE">
        <w:t>Let me add</w:t>
      </w:r>
      <w:r>
        <w:t xml:space="preserve"> a more surprising example of pictures of </w:t>
      </w:r>
      <w:r w:rsidRPr="003003FE">
        <w:t>this: some of the la</w:t>
      </w:r>
      <w:r>
        <w:t>te work of abstract painter</w:t>
      </w:r>
      <w:r w:rsidRPr="003003FE">
        <w:t xml:space="preserve"> Rothko, especially the Seagram Murals. So far as one sees them as showing floating</w:t>
      </w:r>
      <w:r>
        <w:t>,</w:t>
      </w:r>
      <w:r w:rsidRPr="003003FE">
        <w:t xml:space="preserve"> </w:t>
      </w:r>
      <w:proofErr w:type="gramStart"/>
      <w:r w:rsidRPr="003003FE">
        <w:t>proximate blurs of light indicating</w:t>
      </w:r>
      <w:r>
        <w:t xml:space="preserve"> a supernatural presence</w:t>
      </w:r>
      <w:proofErr w:type="gramEnd"/>
      <w:r>
        <w:t xml:space="preserve">, </w:t>
      </w:r>
      <w:proofErr w:type="gramStart"/>
      <w:r>
        <w:t>they suggest a similar analysis</w:t>
      </w:r>
      <w:proofErr w:type="gramEnd"/>
      <w:r>
        <w:t>.</w:t>
      </w:r>
    </w:p>
  </w:footnote>
  <w:footnote w:id="27">
    <w:p w14:paraId="553B3C46" w14:textId="044CA966" w:rsidR="00D56D3C" w:rsidRDefault="00D56D3C" w:rsidP="0080400C">
      <w:pPr>
        <w:pStyle w:val="FootnoteText"/>
      </w:pPr>
      <w:r>
        <w:rPr>
          <w:rStyle w:val="FootnoteReference"/>
        </w:rPr>
        <w:footnoteRef/>
      </w:r>
      <w:r>
        <w:t xml:space="preserve"> </w:t>
      </w:r>
      <w:proofErr w:type="spellStart"/>
      <w:r>
        <w:t>Wölfflin</w:t>
      </w:r>
      <w:proofErr w:type="spellEnd"/>
      <w:r>
        <w:t xml:space="preserve">, </w:t>
      </w:r>
      <w:r w:rsidRPr="00130321">
        <w:rPr>
          <w:i/>
        </w:rPr>
        <w:t>Principles of Art History</w:t>
      </w:r>
      <w:r>
        <w:t>, p. 109.</w:t>
      </w:r>
    </w:p>
  </w:footnote>
  <w:footnote w:id="28">
    <w:p w14:paraId="71D5CEEC" w14:textId="4D29FD08" w:rsidR="00D56D3C" w:rsidRDefault="00D56D3C">
      <w:pPr>
        <w:pStyle w:val="FootnoteText"/>
      </w:pPr>
      <w:r>
        <w:rPr>
          <w:rStyle w:val="FootnoteReference"/>
        </w:rPr>
        <w:footnoteRef/>
      </w:r>
      <w:r>
        <w:t xml:space="preserve"> </w:t>
      </w:r>
      <w:proofErr w:type="spellStart"/>
      <w:r>
        <w:t>Wölfflin</w:t>
      </w:r>
      <w:proofErr w:type="spellEnd"/>
      <w:r>
        <w:t xml:space="preserve">, </w:t>
      </w:r>
      <w:r w:rsidRPr="00130321">
        <w:rPr>
          <w:i/>
        </w:rPr>
        <w:t>Principles of Art History</w:t>
      </w:r>
      <w:r>
        <w:t>, pp. 106, 73, 12.</w:t>
      </w:r>
    </w:p>
  </w:footnote>
  <w:footnote w:id="29">
    <w:p w14:paraId="4CEA9E47" w14:textId="12F3245D" w:rsidR="00D56D3C" w:rsidRDefault="00D56D3C" w:rsidP="001A436D">
      <w:pPr>
        <w:pStyle w:val="FootnoteText"/>
      </w:pPr>
      <w:r>
        <w:rPr>
          <w:rStyle w:val="FootnoteReference"/>
        </w:rPr>
        <w:footnoteRef/>
      </w:r>
      <w:r w:rsidR="00FA095B">
        <w:t xml:space="preserve"> </w:t>
      </w:r>
      <w:proofErr w:type="spellStart"/>
      <w:proofErr w:type="gramStart"/>
      <w:r w:rsidR="00FA095B">
        <w:t>Gaiger</w:t>
      </w:r>
      <w:proofErr w:type="spellEnd"/>
      <w:r w:rsidR="00FA095B">
        <w:t>,</w:t>
      </w:r>
      <w:r>
        <w:t xml:space="preserve"> pp. 36, 32.</w:t>
      </w:r>
      <w:proofErr w:type="gramEnd"/>
      <w:r>
        <w:t xml:space="preserve"> </w:t>
      </w:r>
      <w:proofErr w:type="spellStart"/>
      <w:r>
        <w:t>Gaiger</w:t>
      </w:r>
      <w:proofErr w:type="spellEnd"/>
      <w:r>
        <w:t xml:space="preserve"> quotes </w:t>
      </w:r>
      <w:proofErr w:type="spellStart"/>
      <w:r>
        <w:t>Wiesing</w:t>
      </w:r>
      <w:proofErr w:type="spellEnd"/>
      <w:r>
        <w:t>, p. 66.</w:t>
      </w:r>
    </w:p>
  </w:footnote>
  <w:footnote w:id="30">
    <w:p w14:paraId="49062C95" w14:textId="4210B732" w:rsidR="00D56D3C" w:rsidRDefault="00D56D3C">
      <w:pPr>
        <w:pStyle w:val="FootnoteText"/>
      </w:pPr>
      <w:r>
        <w:rPr>
          <w:rStyle w:val="FootnoteReference"/>
        </w:rPr>
        <w:footnoteRef/>
      </w:r>
      <w:r>
        <w:t xml:space="preserve"> </w:t>
      </w:r>
      <w:proofErr w:type="spellStart"/>
      <w:r>
        <w:t>Wölfflin</w:t>
      </w:r>
      <w:proofErr w:type="spellEnd"/>
      <w:r>
        <w:t xml:space="preserve">, </w:t>
      </w:r>
      <w:r w:rsidRPr="00130321">
        <w:rPr>
          <w:i/>
        </w:rPr>
        <w:t>Principles of Art History</w:t>
      </w:r>
      <w:r>
        <w:t>, p. viii.</w:t>
      </w:r>
    </w:p>
  </w:footnote>
  <w:footnote w:id="31">
    <w:p w14:paraId="7CD32711" w14:textId="006EBC53" w:rsidR="00D56D3C" w:rsidRDefault="00D56D3C">
      <w:pPr>
        <w:pStyle w:val="FootnoteText"/>
      </w:pPr>
      <w:r>
        <w:rPr>
          <w:rStyle w:val="FootnoteReference"/>
        </w:rPr>
        <w:footnoteRef/>
      </w:r>
      <w:r>
        <w:t xml:space="preserve"> Wind, p. 23.</w:t>
      </w:r>
    </w:p>
  </w:footnote>
  <w:footnote w:id="32">
    <w:p w14:paraId="4C67060A" w14:textId="1F7A4008" w:rsidR="00D56D3C" w:rsidRDefault="00D56D3C">
      <w:pPr>
        <w:pStyle w:val="FootnoteText"/>
      </w:pPr>
      <w:r>
        <w:rPr>
          <w:rStyle w:val="FootnoteReference"/>
        </w:rPr>
        <w:footnoteRef/>
      </w:r>
      <w:r>
        <w:t xml:space="preserve"> Richard </w:t>
      </w:r>
      <w:proofErr w:type="spellStart"/>
      <w:r>
        <w:t>Wollheim</w:t>
      </w:r>
      <w:proofErr w:type="spellEnd"/>
      <w:r>
        <w:t xml:space="preserve">, </w:t>
      </w:r>
      <w:r w:rsidRPr="00D501FF">
        <w:rPr>
          <w:i/>
        </w:rPr>
        <w:t>Painting as an Art</w:t>
      </w:r>
      <w:r>
        <w:t>, London: Thames &amp; Hudson, 1987, p, 20.</w:t>
      </w:r>
    </w:p>
  </w:footnote>
  <w:footnote w:id="33">
    <w:p w14:paraId="3379939D" w14:textId="604C84DA" w:rsidR="00D56D3C" w:rsidRDefault="00D56D3C">
      <w:pPr>
        <w:pStyle w:val="FootnoteText"/>
      </w:pPr>
      <w:r>
        <w:rPr>
          <w:rStyle w:val="FootnoteReference"/>
        </w:rPr>
        <w:footnoteRef/>
      </w:r>
      <w:r>
        <w:t xml:space="preserve"> </w:t>
      </w:r>
      <w:proofErr w:type="spellStart"/>
      <w:proofErr w:type="gramStart"/>
      <w:r>
        <w:t>Wollheim</w:t>
      </w:r>
      <w:proofErr w:type="spellEnd"/>
      <w:r>
        <w:t>, p. 22 (original italics).</w:t>
      </w:r>
      <w:proofErr w:type="gramEnd"/>
    </w:p>
  </w:footnote>
  <w:footnote w:id="34">
    <w:p w14:paraId="0327B67F" w14:textId="77777777" w:rsidR="00D56D3C" w:rsidRDefault="00D56D3C" w:rsidP="003B4071">
      <w:pPr>
        <w:pStyle w:val="FootnoteText"/>
      </w:pPr>
      <w:r>
        <w:rPr>
          <w:rStyle w:val="FootnoteReference"/>
        </w:rPr>
        <w:footnoteRef/>
      </w:r>
      <w:r>
        <w:t xml:space="preserve"> </w:t>
      </w:r>
      <w:proofErr w:type="spellStart"/>
      <w:r>
        <w:t>Wollheim</w:t>
      </w:r>
      <w:proofErr w:type="spellEnd"/>
      <w:r>
        <w:t>, p. 23.</w:t>
      </w:r>
    </w:p>
  </w:footnote>
  <w:footnote w:id="35">
    <w:p w14:paraId="23C8CEA7" w14:textId="2C036805" w:rsidR="00D56D3C" w:rsidRDefault="00D56D3C">
      <w:pPr>
        <w:pStyle w:val="FootnoteText"/>
      </w:pPr>
      <w:r>
        <w:rPr>
          <w:rStyle w:val="FootnoteReference"/>
        </w:rPr>
        <w:footnoteRef/>
      </w:r>
      <w:r>
        <w:t xml:space="preserve"> </w:t>
      </w:r>
      <w:proofErr w:type="spellStart"/>
      <w:r>
        <w:t>Wollheim</w:t>
      </w:r>
      <w:proofErr w:type="spellEnd"/>
      <w:r>
        <w:t xml:space="preserve"> makes a comparable analysis of Baroque art along much these lines, drawing on </w:t>
      </w:r>
      <w:proofErr w:type="spellStart"/>
      <w:r w:rsidRPr="00DD11BC">
        <w:t>Wölfflin</w:t>
      </w:r>
      <w:proofErr w:type="spellEnd"/>
      <w:r>
        <w:t xml:space="preserve"> in his characterization of the Baroque, and applying deletion (p. 26).</w:t>
      </w:r>
      <w:r w:rsidRPr="00082AC4">
        <w:t xml:space="preserve"> </w:t>
      </w:r>
      <w:r>
        <w:t xml:space="preserve">It is also worth noting that </w:t>
      </w:r>
      <w:proofErr w:type="spellStart"/>
      <w:r>
        <w:t>Wollheim</w:t>
      </w:r>
      <w:proofErr w:type="spellEnd"/>
      <w:r>
        <w:t xml:space="preserve"> was effusive in his praise of </w:t>
      </w:r>
      <w:proofErr w:type="spellStart"/>
      <w:r>
        <w:t>Wölfflin</w:t>
      </w:r>
      <w:proofErr w:type="spellEnd"/>
      <w:r>
        <w:t xml:space="preserve"> (</w:t>
      </w:r>
      <w:proofErr w:type="spellStart"/>
      <w:r>
        <w:t>Wollheim</w:t>
      </w:r>
      <w:proofErr w:type="spellEnd"/>
      <w:r>
        <w:t>, p. 359, n. 23.)</w:t>
      </w:r>
    </w:p>
  </w:footnote>
  <w:footnote w:id="36">
    <w:p w14:paraId="5FA8AB36" w14:textId="2FAEC651" w:rsidR="00D56D3C" w:rsidRDefault="00D56D3C" w:rsidP="00C85B7E">
      <w:pPr>
        <w:pStyle w:val="FootnoteText"/>
      </w:pPr>
      <w:r>
        <w:rPr>
          <w:rStyle w:val="FootnoteReference"/>
        </w:rPr>
        <w:footnoteRef/>
      </w:r>
      <w:r>
        <w:t xml:space="preserve"> This was not to last long – artists such as C</w:t>
      </w:r>
      <w:r>
        <w:rPr>
          <w:rFonts w:ascii="Cambria" w:hAnsi="Cambria"/>
        </w:rPr>
        <w:t>é</w:t>
      </w:r>
      <w:r>
        <w:t xml:space="preserve">zanne and Seurat were again to </w:t>
      </w:r>
      <w:proofErr w:type="spellStart"/>
      <w:r>
        <w:t>thematize</w:t>
      </w:r>
      <w:proofErr w:type="spellEnd"/>
      <w:r>
        <w:t xml:space="preserve"> planarity in painting in the 1880s. There is an important exception in </w:t>
      </w:r>
      <w:proofErr w:type="spellStart"/>
      <w:r>
        <w:t>Manet</w:t>
      </w:r>
      <w:proofErr w:type="spellEnd"/>
      <w:r>
        <w:t xml:space="preserve"> (if he is counted as an Impressionist), who retained a preference for planar composition through his career. </w:t>
      </w:r>
    </w:p>
  </w:footnote>
  <w:footnote w:id="37">
    <w:p w14:paraId="032DE903" w14:textId="62D1BA78" w:rsidR="00D56D3C" w:rsidRDefault="00D56D3C" w:rsidP="005F6629">
      <w:pPr>
        <w:pStyle w:val="FootnoteText"/>
      </w:pPr>
      <w:r>
        <w:rPr>
          <w:rStyle w:val="FootnoteReference"/>
        </w:rPr>
        <w:footnoteRef/>
      </w:r>
      <w:r>
        <w:t xml:space="preserve"> I am grateful to the members of the Anglo-German picture workshop, especially Lambert </w:t>
      </w:r>
      <w:proofErr w:type="spellStart"/>
      <w:r>
        <w:t>Wiesing</w:t>
      </w:r>
      <w:proofErr w:type="spellEnd"/>
      <w:r>
        <w:t xml:space="preserve"> and Jason </w:t>
      </w:r>
      <w:proofErr w:type="spellStart"/>
      <w:r>
        <w:t>Gaiger</w:t>
      </w:r>
      <w:proofErr w:type="spellEnd"/>
      <w:r>
        <w:t xml:space="preserve">, who gave generous and helpful advice on a forerunner of this article at the workshop’s 2014 meeting, and also to </w:t>
      </w:r>
      <w:proofErr w:type="spellStart"/>
      <w:r>
        <w:t>Bence</w:t>
      </w:r>
      <w:proofErr w:type="spellEnd"/>
      <w:r>
        <w:t xml:space="preserve"> </w:t>
      </w:r>
      <w:proofErr w:type="spellStart"/>
      <w:r>
        <w:t>Nanay</w:t>
      </w:r>
      <w:proofErr w:type="spellEnd"/>
      <w:r>
        <w:t xml:space="preserve"> and an anonymous reader for this journal, whose comments have helped to improve and focus it.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00C7B"/>
    <w:multiLevelType w:val="hybridMultilevel"/>
    <w:tmpl w:val="155E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0E5733"/>
    <w:multiLevelType w:val="hybridMultilevel"/>
    <w:tmpl w:val="248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D4438F"/>
    <w:multiLevelType w:val="hybridMultilevel"/>
    <w:tmpl w:val="F3FA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668"/>
    <w:rsid w:val="0000383D"/>
    <w:rsid w:val="000044AC"/>
    <w:rsid w:val="00006EFF"/>
    <w:rsid w:val="00010C69"/>
    <w:rsid w:val="00011A7F"/>
    <w:rsid w:val="000123DB"/>
    <w:rsid w:val="000135E7"/>
    <w:rsid w:val="000137A9"/>
    <w:rsid w:val="00017034"/>
    <w:rsid w:val="00017BCB"/>
    <w:rsid w:val="00017E17"/>
    <w:rsid w:val="00024709"/>
    <w:rsid w:val="00027811"/>
    <w:rsid w:val="000319D9"/>
    <w:rsid w:val="0003498B"/>
    <w:rsid w:val="000377AD"/>
    <w:rsid w:val="000454A2"/>
    <w:rsid w:val="000505D5"/>
    <w:rsid w:val="00052804"/>
    <w:rsid w:val="00056655"/>
    <w:rsid w:val="000617DE"/>
    <w:rsid w:val="000619F5"/>
    <w:rsid w:val="00064107"/>
    <w:rsid w:val="00067E50"/>
    <w:rsid w:val="000703A7"/>
    <w:rsid w:val="00070EB2"/>
    <w:rsid w:val="00071A8F"/>
    <w:rsid w:val="0007339A"/>
    <w:rsid w:val="000757DB"/>
    <w:rsid w:val="00076F0C"/>
    <w:rsid w:val="00082AC4"/>
    <w:rsid w:val="000846E0"/>
    <w:rsid w:val="000852F5"/>
    <w:rsid w:val="00093D2F"/>
    <w:rsid w:val="00094B0F"/>
    <w:rsid w:val="000A21F3"/>
    <w:rsid w:val="000A2C35"/>
    <w:rsid w:val="000B2A3A"/>
    <w:rsid w:val="000B4AF1"/>
    <w:rsid w:val="000B5E56"/>
    <w:rsid w:val="000B7217"/>
    <w:rsid w:val="000C02FE"/>
    <w:rsid w:val="000C2675"/>
    <w:rsid w:val="000C447B"/>
    <w:rsid w:val="000C5C47"/>
    <w:rsid w:val="000D0812"/>
    <w:rsid w:val="000D752E"/>
    <w:rsid w:val="000E5035"/>
    <w:rsid w:val="000F3EB8"/>
    <w:rsid w:val="000F73A3"/>
    <w:rsid w:val="001016AC"/>
    <w:rsid w:val="00107E49"/>
    <w:rsid w:val="001116B7"/>
    <w:rsid w:val="00112875"/>
    <w:rsid w:val="001169C1"/>
    <w:rsid w:val="00122C09"/>
    <w:rsid w:val="00123348"/>
    <w:rsid w:val="00124270"/>
    <w:rsid w:val="00127834"/>
    <w:rsid w:val="00131B3B"/>
    <w:rsid w:val="00133E18"/>
    <w:rsid w:val="00134CDD"/>
    <w:rsid w:val="00134D82"/>
    <w:rsid w:val="00142CF5"/>
    <w:rsid w:val="00147DD4"/>
    <w:rsid w:val="0015135A"/>
    <w:rsid w:val="001556AB"/>
    <w:rsid w:val="0015648C"/>
    <w:rsid w:val="00164100"/>
    <w:rsid w:val="00164C77"/>
    <w:rsid w:val="00165248"/>
    <w:rsid w:val="00166EF3"/>
    <w:rsid w:val="0017071F"/>
    <w:rsid w:val="0017381D"/>
    <w:rsid w:val="00173CCA"/>
    <w:rsid w:val="00176BFE"/>
    <w:rsid w:val="001771D5"/>
    <w:rsid w:val="00177747"/>
    <w:rsid w:val="00177CD7"/>
    <w:rsid w:val="001805DC"/>
    <w:rsid w:val="00181051"/>
    <w:rsid w:val="00182607"/>
    <w:rsid w:val="00184306"/>
    <w:rsid w:val="00184B75"/>
    <w:rsid w:val="0018524B"/>
    <w:rsid w:val="00185460"/>
    <w:rsid w:val="00194F37"/>
    <w:rsid w:val="0019712C"/>
    <w:rsid w:val="001A3089"/>
    <w:rsid w:val="001A436D"/>
    <w:rsid w:val="001A700D"/>
    <w:rsid w:val="001B4032"/>
    <w:rsid w:val="001B59E0"/>
    <w:rsid w:val="001B5A79"/>
    <w:rsid w:val="001B7A6E"/>
    <w:rsid w:val="001C20BE"/>
    <w:rsid w:val="001C2125"/>
    <w:rsid w:val="001C2157"/>
    <w:rsid w:val="001C3533"/>
    <w:rsid w:val="001C441C"/>
    <w:rsid w:val="001C5A5B"/>
    <w:rsid w:val="001D3835"/>
    <w:rsid w:val="001D4FD0"/>
    <w:rsid w:val="001E1F47"/>
    <w:rsid w:val="001E55DD"/>
    <w:rsid w:val="001F03E3"/>
    <w:rsid w:val="001F0ED6"/>
    <w:rsid w:val="002029C6"/>
    <w:rsid w:val="00204062"/>
    <w:rsid w:val="00204750"/>
    <w:rsid w:val="0020760B"/>
    <w:rsid w:val="00210147"/>
    <w:rsid w:val="00211DC8"/>
    <w:rsid w:val="00212C10"/>
    <w:rsid w:val="00217EE8"/>
    <w:rsid w:val="00221165"/>
    <w:rsid w:val="00221C1E"/>
    <w:rsid w:val="00223E4F"/>
    <w:rsid w:val="00230879"/>
    <w:rsid w:val="00232A88"/>
    <w:rsid w:val="00235F74"/>
    <w:rsid w:val="002366B1"/>
    <w:rsid w:val="00237186"/>
    <w:rsid w:val="0024437F"/>
    <w:rsid w:val="00251B8F"/>
    <w:rsid w:val="00253808"/>
    <w:rsid w:val="00253983"/>
    <w:rsid w:val="00272F15"/>
    <w:rsid w:val="00276F94"/>
    <w:rsid w:val="002835F4"/>
    <w:rsid w:val="00284F2E"/>
    <w:rsid w:val="00285257"/>
    <w:rsid w:val="00286244"/>
    <w:rsid w:val="002A07BD"/>
    <w:rsid w:val="002A51A7"/>
    <w:rsid w:val="002A6AE3"/>
    <w:rsid w:val="002A6B18"/>
    <w:rsid w:val="002B0038"/>
    <w:rsid w:val="002B004F"/>
    <w:rsid w:val="002B0557"/>
    <w:rsid w:val="002B1B75"/>
    <w:rsid w:val="002B5550"/>
    <w:rsid w:val="002B61C1"/>
    <w:rsid w:val="002B6F2D"/>
    <w:rsid w:val="002B745B"/>
    <w:rsid w:val="002C318E"/>
    <w:rsid w:val="002C321E"/>
    <w:rsid w:val="002D0B2A"/>
    <w:rsid w:val="002D3DE6"/>
    <w:rsid w:val="002D47F6"/>
    <w:rsid w:val="002D56C9"/>
    <w:rsid w:val="002D5FE9"/>
    <w:rsid w:val="002E0FE0"/>
    <w:rsid w:val="002E4743"/>
    <w:rsid w:val="002E623E"/>
    <w:rsid w:val="002F02C0"/>
    <w:rsid w:val="002F12A1"/>
    <w:rsid w:val="002F3BA1"/>
    <w:rsid w:val="002F5CAB"/>
    <w:rsid w:val="002F7B2F"/>
    <w:rsid w:val="002F7DCC"/>
    <w:rsid w:val="003003FE"/>
    <w:rsid w:val="00305AA4"/>
    <w:rsid w:val="00306022"/>
    <w:rsid w:val="0030679B"/>
    <w:rsid w:val="00311675"/>
    <w:rsid w:val="00311E71"/>
    <w:rsid w:val="00313FF7"/>
    <w:rsid w:val="003145F2"/>
    <w:rsid w:val="003171C0"/>
    <w:rsid w:val="003217E8"/>
    <w:rsid w:val="00323D98"/>
    <w:rsid w:val="00325240"/>
    <w:rsid w:val="00326F04"/>
    <w:rsid w:val="00332BF7"/>
    <w:rsid w:val="003340D9"/>
    <w:rsid w:val="0034634A"/>
    <w:rsid w:val="00346DA1"/>
    <w:rsid w:val="003578C2"/>
    <w:rsid w:val="00370CF9"/>
    <w:rsid w:val="00377379"/>
    <w:rsid w:val="003816CC"/>
    <w:rsid w:val="003835D4"/>
    <w:rsid w:val="003846F2"/>
    <w:rsid w:val="00384F9C"/>
    <w:rsid w:val="00392DB4"/>
    <w:rsid w:val="00395159"/>
    <w:rsid w:val="003A4A14"/>
    <w:rsid w:val="003B4071"/>
    <w:rsid w:val="003B74D3"/>
    <w:rsid w:val="003C3113"/>
    <w:rsid w:val="003C3AEC"/>
    <w:rsid w:val="003C5F36"/>
    <w:rsid w:val="003C7608"/>
    <w:rsid w:val="003C78F6"/>
    <w:rsid w:val="003D1287"/>
    <w:rsid w:val="003D14D5"/>
    <w:rsid w:val="003D638B"/>
    <w:rsid w:val="003D734A"/>
    <w:rsid w:val="003E3130"/>
    <w:rsid w:val="003E4CD1"/>
    <w:rsid w:val="003F406E"/>
    <w:rsid w:val="003F5A68"/>
    <w:rsid w:val="003F6391"/>
    <w:rsid w:val="003F662D"/>
    <w:rsid w:val="004022A2"/>
    <w:rsid w:val="00405A88"/>
    <w:rsid w:val="00410915"/>
    <w:rsid w:val="00413043"/>
    <w:rsid w:val="00430B47"/>
    <w:rsid w:val="00431008"/>
    <w:rsid w:val="00431252"/>
    <w:rsid w:val="004351E5"/>
    <w:rsid w:val="004429D2"/>
    <w:rsid w:val="00455119"/>
    <w:rsid w:val="00460036"/>
    <w:rsid w:val="00460434"/>
    <w:rsid w:val="00462489"/>
    <w:rsid w:val="004714A6"/>
    <w:rsid w:val="00476C13"/>
    <w:rsid w:val="00477470"/>
    <w:rsid w:val="00482314"/>
    <w:rsid w:val="00482355"/>
    <w:rsid w:val="004870EF"/>
    <w:rsid w:val="004871E2"/>
    <w:rsid w:val="00491C59"/>
    <w:rsid w:val="00492CA4"/>
    <w:rsid w:val="004A1F7D"/>
    <w:rsid w:val="004A25F2"/>
    <w:rsid w:val="004A3104"/>
    <w:rsid w:val="004A4530"/>
    <w:rsid w:val="004A4BB4"/>
    <w:rsid w:val="004B0A50"/>
    <w:rsid w:val="004B1EBE"/>
    <w:rsid w:val="004B660B"/>
    <w:rsid w:val="004B796D"/>
    <w:rsid w:val="004C1DAC"/>
    <w:rsid w:val="004C3703"/>
    <w:rsid w:val="004C551B"/>
    <w:rsid w:val="004C6924"/>
    <w:rsid w:val="004C6C61"/>
    <w:rsid w:val="004C7987"/>
    <w:rsid w:val="004D206D"/>
    <w:rsid w:val="004D37C9"/>
    <w:rsid w:val="004D771E"/>
    <w:rsid w:val="004D77A5"/>
    <w:rsid w:val="004E137D"/>
    <w:rsid w:val="004E1DE8"/>
    <w:rsid w:val="004E2050"/>
    <w:rsid w:val="004E328C"/>
    <w:rsid w:val="004F0195"/>
    <w:rsid w:val="004F6813"/>
    <w:rsid w:val="004F6C91"/>
    <w:rsid w:val="004F7B37"/>
    <w:rsid w:val="0050331C"/>
    <w:rsid w:val="00504479"/>
    <w:rsid w:val="00507C46"/>
    <w:rsid w:val="00511B94"/>
    <w:rsid w:val="00512C2D"/>
    <w:rsid w:val="00517F9D"/>
    <w:rsid w:val="00524275"/>
    <w:rsid w:val="005301C4"/>
    <w:rsid w:val="00530E14"/>
    <w:rsid w:val="00532A88"/>
    <w:rsid w:val="00542C02"/>
    <w:rsid w:val="00556EC9"/>
    <w:rsid w:val="00560723"/>
    <w:rsid w:val="00561816"/>
    <w:rsid w:val="00564380"/>
    <w:rsid w:val="00564EDB"/>
    <w:rsid w:val="00565059"/>
    <w:rsid w:val="0056716A"/>
    <w:rsid w:val="005673B7"/>
    <w:rsid w:val="00570FD3"/>
    <w:rsid w:val="0057184B"/>
    <w:rsid w:val="00583663"/>
    <w:rsid w:val="0059047B"/>
    <w:rsid w:val="0059121C"/>
    <w:rsid w:val="00591D9C"/>
    <w:rsid w:val="00593646"/>
    <w:rsid w:val="00593F78"/>
    <w:rsid w:val="00594253"/>
    <w:rsid w:val="0059523B"/>
    <w:rsid w:val="00597152"/>
    <w:rsid w:val="005A0C84"/>
    <w:rsid w:val="005A4BBB"/>
    <w:rsid w:val="005A5687"/>
    <w:rsid w:val="005A6CF8"/>
    <w:rsid w:val="005B0201"/>
    <w:rsid w:val="005B0310"/>
    <w:rsid w:val="005B0444"/>
    <w:rsid w:val="005B3409"/>
    <w:rsid w:val="005B431D"/>
    <w:rsid w:val="005C41FC"/>
    <w:rsid w:val="005D2F89"/>
    <w:rsid w:val="005D313C"/>
    <w:rsid w:val="005D4659"/>
    <w:rsid w:val="005E2A2F"/>
    <w:rsid w:val="005E5577"/>
    <w:rsid w:val="005E5910"/>
    <w:rsid w:val="005E7FDD"/>
    <w:rsid w:val="005F02E1"/>
    <w:rsid w:val="005F1B51"/>
    <w:rsid w:val="005F322D"/>
    <w:rsid w:val="005F3FA8"/>
    <w:rsid w:val="005F5D64"/>
    <w:rsid w:val="005F6629"/>
    <w:rsid w:val="00601523"/>
    <w:rsid w:val="00613713"/>
    <w:rsid w:val="00616296"/>
    <w:rsid w:val="00617D9C"/>
    <w:rsid w:val="006201AE"/>
    <w:rsid w:val="00620C42"/>
    <w:rsid w:val="00620F36"/>
    <w:rsid w:val="006254B9"/>
    <w:rsid w:val="00625560"/>
    <w:rsid w:val="00634078"/>
    <w:rsid w:val="006375BC"/>
    <w:rsid w:val="006429A0"/>
    <w:rsid w:val="006462AA"/>
    <w:rsid w:val="0065334D"/>
    <w:rsid w:val="00656A23"/>
    <w:rsid w:val="006574C7"/>
    <w:rsid w:val="00660367"/>
    <w:rsid w:val="006670C9"/>
    <w:rsid w:val="00672A14"/>
    <w:rsid w:val="0067353F"/>
    <w:rsid w:val="00675031"/>
    <w:rsid w:val="00677032"/>
    <w:rsid w:val="00680E44"/>
    <w:rsid w:val="0068466E"/>
    <w:rsid w:val="00684E75"/>
    <w:rsid w:val="00685344"/>
    <w:rsid w:val="00687120"/>
    <w:rsid w:val="00690D2E"/>
    <w:rsid w:val="00692A95"/>
    <w:rsid w:val="00696F0E"/>
    <w:rsid w:val="006A0B89"/>
    <w:rsid w:val="006A79F9"/>
    <w:rsid w:val="006B0346"/>
    <w:rsid w:val="006B0C4C"/>
    <w:rsid w:val="006B146C"/>
    <w:rsid w:val="006B1827"/>
    <w:rsid w:val="006B29FE"/>
    <w:rsid w:val="006B4677"/>
    <w:rsid w:val="006C040E"/>
    <w:rsid w:val="006C135B"/>
    <w:rsid w:val="006C139C"/>
    <w:rsid w:val="006C7033"/>
    <w:rsid w:val="006D0E5E"/>
    <w:rsid w:val="006D107D"/>
    <w:rsid w:val="006D1B86"/>
    <w:rsid w:val="006D51EB"/>
    <w:rsid w:val="006E2570"/>
    <w:rsid w:val="006F3292"/>
    <w:rsid w:val="006F484D"/>
    <w:rsid w:val="006F6391"/>
    <w:rsid w:val="007036EB"/>
    <w:rsid w:val="00703A91"/>
    <w:rsid w:val="00703CB3"/>
    <w:rsid w:val="00706E33"/>
    <w:rsid w:val="0070761A"/>
    <w:rsid w:val="00710F2F"/>
    <w:rsid w:val="00715515"/>
    <w:rsid w:val="007205EF"/>
    <w:rsid w:val="0072311F"/>
    <w:rsid w:val="007252D4"/>
    <w:rsid w:val="007274E7"/>
    <w:rsid w:val="007322AA"/>
    <w:rsid w:val="0073451D"/>
    <w:rsid w:val="00734F3C"/>
    <w:rsid w:val="00737AA2"/>
    <w:rsid w:val="00737B99"/>
    <w:rsid w:val="00744866"/>
    <w:rsid w:val="00750F30"/>
    <w:rsid w:val="00751C0D"/>
    <w:rsid w:val="00751DD5"/>
    <w:rsid w:val="00753E4A"/>
    <w:rsid w:val="00754668"/>
    <w:rsid w:val="00760EAA"/>
    <w:rsid w:val="00761900"/>
    <w:rsid w:val="00765671"/>
    <w:rsid w:val="00765991"/>
    <w:rsid w:val="00772A2F"/>
    <w:rsid w:val="00772B49"/>
    <w:rsid w:val="007731E9"/>
    <w:rsid w:val="007735B1"/>
    <w:rsid w:val="00774D2E"/>
    <w:rsid w:val="00775D59"/>
    <w:rsid w:val="00786F9D"/>
    <w:rsid w:val="007913C7"/>
    <w:rsid w:val="007971B5"/>
    <w:rsid w:val="00797724"/>
    <w:rsid w:val="007A30C5"/>
    <w:rsid w:val="007A39CF"/>
    <w:rsid w:val="007A5696"/>
    <w:rsid w:val="007B04F3"/>
    <w:rsid w:val="007B6DB2"/>
    <w:rsid w:val="007C69A1"/>
    <w:rsid w:val="007C7B3B"/>
    <w:rsid w:val="007D012A"/>
    <w:rsid w:val="007D0C89"/>
    <w:rsid w:val="007D1720"/>
    <w:rsid w:val="007E4989"/>
    <w:rsid w:val="007E6FB4"/>
    <w:rsid w:val="007F0D56"/>
    <w:rsid w:val="007F2AF1"/>
    <w:rsid w:val="007F700E"/>
    <w:rsid w:val="008016D2"/>
    <w:rsid w:val="00801B76"/>
    <w:rsid w:val="00802B8D"/>
    <w:rsid w:val="0080400C"/>
    <w:rsid w:val="00805179"/>
    <w:rsid w:val="00806222"/>
    <w:rsid w:val="00811D14"/>
    <w:rsid w:val="008130A3"/>
    <w:rsid w:val="008167DB"/>
    <w:rsid w:val="00816B37"/>
    <w:rsid w:val="00816FA2"/>
    <w:rsid w:val="00820DC3"/>
    <w:rsid w:val="00822BE1"/>
    <w:rsid w:val="008274A7"/>
    <w:rsid w:val="008300C3"/>
    <w:rsid w:val="00830DE4"/>
    <w:rsid w:val="0083181C"/>
    <w:rsid w:val="00832D9F"/>
    <w:rsid w:val="00833070"/>
    <w:rsid w:val="0083340A"/>
    <w:rsid w:val="00835D84"/>
    <w:rsid w:val="00835EB9"/>
    <w:rsid w:val="0084312E"/>
    <w:rsid w:val="0084481C"/>
    <w:rsid w:val="00850860"/>
    <w:rsid w:val="008552E0"/>
    <w:rsid w:val="00860691"/>
    <w:rsid w:val="00860FEA"/>
    <w:rsid w:val="00861F6D"/>
    <w:rsid w:val="008630EC"/>
    <w:rsid w:val="00863D2F"/>
    <w:rsid w:val="00864999"/>
    <w:rsid w:val="0086522C"/>
    <w:rsid w:val="00874140"/>
    <w:rsid w:val="0087481B"/>
    <w:rsid w:val="00876F01"/>
    <w:rsid w:val="00877C16"/>
    <w:rsid w:val="00880F35"/>
    <w:rsid w:val="00884FC3"/>
    <w:rsid w:val="008910EE"/>
    <w:rsid w:val="00892157"/>
    <w:rsid w:val="008945BD"/>
    <w:rsid w:val="00895DDA"/>
    <w:rsid w:val="00896601"/>
    <w:rsid w:val="008A5E4A"/>
    <w:rsid w:val="008B3FC0"/>
    <w:rsid w:val="008B401D"/>
    <w:rsid w:val="008B7834"/>
    <w:rsid w:val="008C5BD2"/>
    <w:rsid w:val="008D43DD"/>
    <w:rsid w:val="008D4E17"/>
    <w:rsid w:val="008D5CC8"/>
    <w:rsid w:val="008D799E"/>
    <w:rsid w:val="008E1150"/>
    <w:rsid w:val="008E5974"/>
    <w:rsid w:val="008F3B6A"/>
    <w:rsid w:val="008F5743"/>
    <w:rsid w:val="008F57CC"/>
    <w:rsid w:val="008F6891"/>
    <w:rsid w:val="008F766D"/>
    <w:rsid w:val="0090683C"/>
    <w:rsid w:val="00912201"/>
    <w:rsid w:val="009137BD"/>
    <w:rsid w:val="009209CC"/>
    <w:rsid w:val="009327E2"/>
    <w:rsid w:val="00933460"/>
    <w:rsid w:val="0093427B"/>
    <w:rsid w:val="00935B8C"/>
    <w:rsid w:val="00936678"/>
    <w:rsid w:val="009430CA"/>
    <w:rsid w:val="009431D6"/>
    <w:rsid w:val="00955377"/>
    <w:rsid w:val="009630F6"/>
    <w:rsid w:val="009645FC"/>
    <w:rsid w:val="00967B45"/>
    <w:rsid w:val="00971608"/>
    <w:rsid w:val="00971C49"/>
    <w:rsid w:val="009753DC"/>
    <w:rsid w:val="0097758D"/>
    <w:rsid w:val="009843E6"/>
    <w:rsid w:val="00986EE7"/>
    <w:rsid w:val="009903AC"/>
    <w:rsid w:val="009908D6"/>
    <w:rsid w:val="0099441F"/>
    <w:rsid w:val="00994436"/>
    <w:rsid w:val="00997102"/>
    <w:rsid w:val="009A2431"/>
    <w:rsid w:val="009A24D0"/>
    <w:rsid w:val="009A309C"/>
    <w:rsid w:val="009A3F74"/>
    <w:rsid w:val="009A6864"/>
    <w:rsid w:val="009B2203"/>
    <w:rsid w:val="009B4B17"/>
    <w:rsid w:val="009B53B3"/>
    <w:rsid w:val="009B6B7A"/>
    <w:rsid w:val="009C4552"/>
    <w:rsid w:val="009D202D"/>
    <w:rsid w:val="009D292D"/>
    <w:rsid w:val="009D4949"/>
    <w:rsid w:val="009D5BF1"/>
    <w:rsid w:val="009D633E"/>
    <w:rsid w:val="009E090E"/>
    <w:rsid w:val="009E2C3D"/>
    <w:rsid w:val="009E5F59"/>
    <w:rsid w:val="009E645D"/>
    <w:rsid w:val="009F3066"/>
    <w:rsid w:val="009F4F82"/>
    <w:rsid w:val="009F7EEF"/>
    <w:rsid w:val="00A00BEE"/>
    <w:rsid w:val="00A019FE"/>
    <w:rsid w:val="00A04F30"/>
    <w:rsid w:val="00A06140"/>
    <w:rsid w:val="00A11546"/>
    <w:rsid w:val="00A15136"/>
    <w:rsid w:val="00A20B8E"/>
    <w:rsid w:val="00A2150D"/>
    <w:rsid w:val="00A21A57"/>
    <w:rsid w:val="00A27617"/>
    <w:rsid w:val="00A27CA5"/>
    <w:rsid w:val="00A3052F"/>
    <w:rsid w:val="00A50713"/>
    <w:rsid w:val="00A5556C"/>
    <w:rsid w:val="00A55B3F"/>
    <w:rsid w:val="00A56793"/>
    <w:rsid w:val="00A57B58"/>
    <w:rsid w:val="00A66E4D"/>
    <w:rsid w:val="00A673B2"/>
    <w:rsid w:val="00A71F55"/>
    <w:rsid w:val="00A77A0D"/>
    <w:rsid w:val="00A77EEA"/>
    <w:rsid w:val="00A84844"/>
    <w:rsid w:val="00A86A23"/>
    <w:rsid w:val="00A86A26"/>
    <w:rsid w:val="00A961BB"/>
    <w:rsid w:val="00A964C3"/>
    <w:rsid w:val="00AA0F4B"/>
    <w:rsid w:val="00AA1A6D"/>
    <w:rsid w:val="00AA3EFB"/>
    <w:rsid w:val="00AB3E55"/>
    <w:rsid w:val="00AB7D94"/>
    <w:rsid w:val="00AC62BD"/>
    <w:rsid w:val="00AC78DC"/>
    <w:rsid w:val="00AD2B4F"/>
    <w:rsid w:val="00AD34B4"/>
    <w:rsid w:val="00AD3FD9"/>
    <w:rsid w:val="00AE0D22"/>
    <w:rsid w:val="00AE23BE"/>
    <w:rsid w:val="00AE47C8"/>
    <w:rsid w:val="00AF3DB3"/>
    <w:rsid w:val="00AF7D9F"/>
    <w:rsid w:val="00B016A9"/>
    <w:rsid w:val="00B031EC"/>
    <w:rsid w:val="00B03D8D"/>
    <w:rsid w:val="00B07913"/>
    <w:rsid w:val="00B107BC"/>
    <w:rsid w:val="00B16F58"/>
    <w:rsid w:val="00B1739D"/>
    <w:rsid w:val="00B216C6"/>
    <w:rsid w:val="00B21840"/>
    <w:rsid w:val="00B21B77"/>
    <w:rsid w:val="00B23CF2"/>
    <w:rsid w:val="00B2616C"/>
    <w:rsid w:val="00B3091F"/>
    <w:rsid w:val="00B32C7D"/>
    <w:rsid w:val="00B34C23"/>
    <w:rsid w:val="00B357E0"/>
    <w:rsid w:val="00B41458"/>
    <w:rsid w:val="00B43128"/>
    <w:rsid w:val="00B43772"/>
    <w:rsid w:val="00B4639A"/>
    <w:rsid w:val="00B4668F"/>
    <w:rsid w:val="00B53C51"/>
    <w:rsid w:val="00B540C6"/>
    <w:rsid w:val="00B555C1"/>
    <w:rsid w:val="00B55F90"/>
    <w:rsid w:val="00B64E8C"/>
    <w:rsid w:val="00B66D72"/>
    <w:rsid w:val="00B76171"/>
    <w:rsid w:val="00B76923"/>
    <w:rsid w:val="00B82F1F"/>
    <w:rsid w:val="00B91C14"/>
    <w:rsid w:val="00B95EF3"/>
    <w:rsid w:val="00B96ABA"/>
    <w:rsid w:val="00B97131"/>
    <w:rsid w:val="00BA22C7"/>
    <w:rsid w:val="00BA2D48"/>
    <w:rsid w:val="00BA5153"/>
    <w:rsid w:val="00BA75AC"/>
    <w:rsid w:val="00BB3B62"/>
    <w:rsid w:val="00BB3E94"/>
    <w:rsid w:val="00BB4027"/>
    <w:rsid w:val="00BB6635"/>
    <w:rsid w:val="00BC3E38"/>
    <w:rsid w:val="00BD559A"/>
    <w:rsid w:val="00BD6329"/>
    <w:rsid w:val="00BD63D9"/>
    <w:rsid w:val="00BE1AAA"/>
    <w:rsid w:val="00BE5190"/>
    <w:rsid w:val="00BE58E8"/>
    <w:rsid w:val="00BE6C68"/>
    <w:rsid w:val="00BF0E24"/>
    <w:rsid w:val="00BF3668"/>
    <w:rsid w:val="00BF5DB1"/>
    <w:rsid w:val="00BF608F"/>
    <w:rsid w:val="00BF6675"/>
    <w:rsid w:val="00BF7001"/>
    <w:rsid w:val="00C000D8"/>
    <w:rsid w:val="00C032C9"/>
    <w:rsid w:val="00C07298"/>
    <w:rsid w:val="00C1151F"/>
    <w:rsid w:val="00C160D2"/>
    <w:rsid w:val="00C20BAB"/>
    <w:rsid w:val="00C23689"/>
    <w:rsid w:val="00C23A2D"/>
    <w:rsid w:val="00C26FF5"/>
    <w:rsid w:val="00C2762B"/>
    <w:rsid w:val="00C322B4"/>
    <w:rsid w:val="00C32811"/>
    <w:rsid w:val="00C32859"/>
    <w:rsid w:val="00C329BB"/>
    <w:rsid w:val="00C375CB"/>
    <w:rsid w:val="00C50708"/>
    <w:rsid w:val="00C50D0B"/>
    <w:rsid w:val="00C511D5"/>
    <w:rsid w:val="00C52EAC"/>
    <w:rsid w:val="00C571D9"/>
    <w:rsid w:val="00C7078F"/>
    <w:rsid w:val="00C759C4"/>
    <w:rsid w:val="00C76561"/>
    <w:rsid w:val="00C8289A"/>
    <w:rsid w:val="00C85090"/>
    <w:rsid w:val="00C85B7E"/>
    <w:rsid w:val="00C85FE0"/>
    <w:rsid w:val="00C93981"/>
    <w:rsid w:val="00CA5C46"/>
    <w:rsid w:val="00CA7998"/>
    <w:rsid w:val="00CB2C3F"/>
    <w:rsid w:val="00CB2D78"/>
    <w:rsid w:val="00CB7B25"/>
    <w:rsid w:val="00CC5240"/>
    <w:rsid w:val="00CD2F85"/>
    <w:rsid w:val="00CD7DFA"/>
    <w:rsid w:val="00CE064B"/>
    <w:rsid w:val="00CE112B"/>
    <w:rsid w:val="00CE3E0E"/>
    <w:rsid w:val="00CE471A"/>
    <w:rsid w:val="00CE6FD7"/>
    <w:rsid w:val="00CE7832"/>
    <w:rsid w:val="00CE7DCF"/>
    <w:rsid w:val="00CF0CC7"/>
    <w:rsid w:val="00CF2D7C"/>
    <w:rsid w:val="00CF755E"/>
    <w:rsid w:val="00D03874"/>
    <w:rsid w:val="00D038D4"/>
    <w:rsid w:val="00D1471F"/>
    <w:rsid w:val="00D16119"/>
    <w:rsid w:val="00D23139"/>
    <w:rsid w:val="00D255FC"/>
    <w:rsid w:val="00D27D84"/>
    <w:rsid w:val="00D3012B"/>
    <w:rsid w:val="00D30658"/>
    <w:rsid w:val="00D30928"/>
    <w:rsid w:val="00D32BEC"/>
    <w:rsid w:val="00D340C3"/>
    <w:rsid w:val="00D40A95"/>
    <w:rsid w:val="00D40FA3"/>
    <w:rsid w:val="00D41E4C"/>
    <w:rsid w:val="00D44E07"/>
    <w:rsid w:val="00D4521C"/>
    <w:rsid w:val="00D501FF"/>
    <w:rsid w:val="00D510D1"/>
    <w:rsid w:val="00D53459"/>
    <w:rsid w:val="00D54487"/>
    <w:rsid w:val="00D55C4D"/>
    <w:rsid w:val="00D56D3C"/>
    <w:rsid w:val="00D5771B"/>
    <w:rsid w:val="00D5778E"/>
    <w:rsid w:val="00D6135E"/>
    <w:rsid w:val="00D61DCE"/>
    <w:rsid w:val="00D62FF9"/>
    <w:rsid w:val="00D6440B"/>
    <w:rsid w:val="00D6786E"/>
    <w:rsid w:val="00D71D0B"/>
    <w:rsid w:val="00D72A6A"/>
    <w:rsid w:val="00D75862"/>
    <w:rsid w:val="00D75D8B"/>
    <w:rsid w:val="00D76DB3"/>
    <w:rsid w:val="00D83C20"/>
    <w:rsid w:val="00D87893"/>
    <w:rsid w:val="00D94058"/>
    <w:rsid w:val="00D95023"/>
    <w:rsid w:val="00DA332E"/>
    <w:rsid w:val="00DA5CE2"/>
    <w:rsid w:val="00DB146D"/>
    <w:rsid w:val="00DB5218"/>
    <w:rsid w:val="00DB6287"/>
    <w:rsid w:val="00DC4D70"/>
    <w:rsid w:val="00DD11BC"/>
    <w:rsid w:val="00DD1893"/>
    <w:rsid w:val="00DD2FFC"/>
    <w:rsid w:val="00DD490A"/>
    <w:rsid w:val="00DD683D"/>
    <w:rsid w:val="00DD6A43"/>
    <w:rsid w:val="00DE0B82"/>
    <w:rsid w:val="00DE50E9"/>
    <w:rsid w:val="00DE513E"/>
    <w:rsid w:val="00DE56F6"/>
    <w:rsid w:val="00DE7352"/>
    <w:rsid w:val="00DF18BC"/>
    <w:rsid w:val="00DF1C7E"/>
    <w:rsid w:val="00DF1EB6"/>
    <w:rsid w:val="00DF71B8"/>
    <w:rsid w:val="00E00AF6"/>
    <w:rsid w:val="00E01BCA"/>
    <w:rsid w:val="00E01CC7"/>
    <w:rsid w:val="00E055D8"/>
    <w:rsid w:val="00E06415"/>
    <w:rsid w:val="00E0702E"/>
    <w:rsid w:val="00E0738B"/>
    <w:rsid w:val="00E1274F"/>
    <w:rsid w:val="00E27E6C"/>
    <w:rsid w:val="00E3108D"/>
    <w:rsid w:val="00E333C6"/>
    <w:rsid w:val="00E34F20"/>
    <w:rsid w:val="00E3582C"/>
    <w:rsid w:val="00E362C3"/>
    <w:rsid w:val="00E36FEC"/>
    <w:rsid w:val="00E379AF"/>
    <w:rsid w:val="00E430D0"/>
    <w:rsid w:val="00E43FB0"/>
    <w:rsid w:val="00E50826"/>
    <w:rsid w:val="00E56A90"/>
    <w:rsid w:val="00E5770F"/>
    <w:rsid w:val="00E63F85"/>
    <w:rsid w:val="00E65E6E"/>
    <w:rsid w:val="00E72ED7"/>
    <w:rsid w:val="00E73727"/>
    <w:rsid w:val="00E91B53"/>
    <w:rsid w:val="00E9417A"/>
    <w:rsid w:val="00E94EEE"/>
    <w:rsid w:val="00E95678"/>
    <w:rsid w:val="00E961C9"/>
    <w:rsid w:val="00E97018"/>
    <w:rsid w:val="00E970B6"/>
    <w:rsid w:val="00EB4408"/>
    <w:rsid w:val="00EB59AE"/>
    <w:rsid w:val="00EC03FA"/>
    <w:rsid w:val="00EC0F11"/>
    <w:rsid w:val="00EC193B"/>
    <w:rsid w:val="00EC29E0"/>
    <w:rsid w:val="00EC3253"/>
    <w:rsid w:val="00ED143D"/>
    <w:rsid w:val="00EE2658"/>
    <w:rsid w:val="00EE2B6A"/>
    <w:rsid w:val="00EF0016"/>
    <w:rsid w:val="00EF11CA"/>
    <w:rsid w:val="00EF4E6C"/>
    <w:rsid w:val="00EF5811"/>
    <w:rsid w:val="00F04812"/>
    <w:rsid w:val="00F16A9D"/>
    <w:rsid w:val="00F17238"/>
    <w:rsid w:val="00F20BB1"/>
    <w:rsid w:val="00F214C3"/>
    <w:rsid w:val="00F33396"/>
    <w:rsid w:val="00F358A0"/>
    <w:rsid w:val="00F406C9"/>
    <w:rsid w:val="00F41575"/>
    <w:rsid w:val="00F41AA9"/>
    <w:rsid w:val="00F44407"/>
    <w:rsid w:val="00F47CB1"/>
    <w:rsid w:val="00F53583"/>
    <w:rsid w:val="00F55517"/>
    <w:rsid w:val="00F5562F"/>
    <w:rsid w:val="00F569CD"/>
    <w:rsid w:val="00F56B61"/>
    <w:rsid w:val="00F57175"/>
    <w:rsid w:val="00F57C07"/>
    <w:rsid w:val="00F626A3"/>
    <w:rsid w:val="00F62BCD"/>
    <w:rsid w:val="00F63D3E"/>
    <w:rsid w:val="00F6655A"/>
    <w:rsid w:val="00F71BDB"/>
    <w:rsid w:val="00F75FBD"/>
    <w:rsid w:val="00F76D1F"/>
    <w:rsid w:val="00F82332"/>
    <w:rsid w:val="00F83075"/>
    <w:rsid w:val="00F84504"/>
    <w:rsid w:val="00F9108E"/>
    <w:rsid w:val="00F91F10"/>
    <w:rsid w:val="00F932CF"/>
    <w:rsid w:val="00F94D26"/>
    <w:rsid w:val="00F9575B"/>
    <w:rsid w:val="00F96114"/>
    <w:rsid w:val="00FA095B"/>
    <w:rsid w:val="00FA0FDF"/>
    <w:rsid w:val="00FA1F6C"/>
    <w:rsid w:val="00FA2EEF"/>
    <w:rsid w:val="00FA30C9"/>
    <w:rsid w:val="00FA3768"/>
    <w:rsid w:val="00FA44A2"/>
    <w:rsid w:val="00FA62E7"/>
    <w:rsid w:val="00FB0F7D"/>
    <w:rsid w:val="00FB1162"/>
    <w:rsid w:val="00FB1ACF"/>
    <w:rsid w:val="00FB1C06"/>
    <w:rsid w:val="00FB344F"/>
    <w:rsid w:val="00FC4A40"/>
    <w:rsid w:val="00FC5EB5"/>
    <w:rsid w:val="00FD3801"/>
    <w:rsid w:val="00FD517E"/>
    <w:rsid w:val="00FE1497"/>
    <w:rsid w:val="00FE278A"/>
    <w:rsid w:val="00FE382C"/>
    <w:rsid w:val="00FE456A"/>
    <w:rsid w:val="00FE6308"/>
    <w:rsid w:val="00FF02D4"/>
    <w:rsid w:val="00FF0E86"/>
    <w:rsid w:val="00FF3704"/>
    <w:rsid w:val="00FF4E3C"/>
    <w:rsid w:val="00FF54F9"/>
    <w:rsid w:val="00FF7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5924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E2B6A"/>
    <w:rPr>
      <w:rFonts w:ascii="Times" w:eastAsia="Times" w:hAnsi="Times" w:cs="Times New Roman"/>
      <w:sz w:val="20"/>
      <w:szCs w:val="20"/>
      <w:lang w:val="en-AU"/>
    </w:rPr>
  </w:style>
  <w:style w:type="character" w:customStyle="1" w:styleId="EndnoteTextChar">
    <w:name w:val="Endnote Text Char"/>
    <w:basedOn w:val="DefaultParagraphFont"/>
    <w:link w:val="EndnoteText"/>
    <w:semiHidden/>
    <w:rsid w:val="00EE2B6A"/>
    <w:rPr>
      <w:rFonts w:ascii="Times" w:eastAsia="Times" w:hAnsi="Times" w:cs="Times New Roman"/>
      <w:sz w:val="20"/>
      <w:szCs w:val="20"/>
      <w:lang w:val="en-AU"/>
    </w:rPr>
  </w:style>
  <w:style w:type="character" w:styleId="EndnoteReference">
    <w:name w:val="endnote reference"/>
    <w:semiHidden/>
    <w:rsid w:val="00EE2B6A"/>
    <w:rPr>
      <w:vertAlign w:val="superscript"/>
    </w:rPr>
  </w:style>
  <w:style w:type="paragraph" w:styleId="FootnoteText">
    <w:name w:val="footnote text"/>
    <w:basedOn w:val="Normal"/>
    <w:link w:val="FootnoteTextChar"/>
    <w:unhideWhenUsed/>
    <w:rsid w:val="003F6391"/>
  </w:style>
  <w:style w:type="character" w:customStyle="1" w:styleId="FootnoteTextChar">
    <w:name w:val="Footnote Text Char"/>
    <w:basedOn w:val="DefaultParagraphFont"/>
    <w:link w:val="FootnoteText"/>
    <w:uiPriority w:val="99"/>
    <w:rsid w:val="003F6391"/>
  </w:style>
  <w:style w:type="character" w:styleId="FootnoteReference">
    <w:name w:val="footnote reference"/>
    <w:basedOn w:val="DefaultParagraphFont"/>
    <w:uiPriority w:val="99"/>
    <w:unhideWhenUsed/>
    <w:rsid w:val="003F6391"/>
    <w:rPr>
      <w:vertAlign w:val="superscript"/>
    </w:rPr>
  </w:style>
  <w:style w:type="paragraph" w:styleId="ListParagraph">
    <w:name w:val="List Paragraph"/>
    <w:basedOn w:val="Normal"/>
    <w:uiPriority w:val="34"/>
    <w:qFormat/>
    <w:rsid w:val="003217E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E2B6A"/>
    <w:rPr>
      <w:rFonts w:ascii="Times" w:eastAsia="Times" w:hAnsi="Times" w:cs="Times New Roman"/>
      <w:sz w:val="20"/>
      <w:szCs w:val="20"/>
      <w:lang w:val="en-AU"/>
    </w:rPr>
  </w:style>
  <w:style w:type="character" w:customStyle="1" w:styleId="EndnoteTextChar">
    <w:name w:val="Endnote Text Char"/>
    <w:basedOn w:val="DefaultParagraphFont"/>
    <w:link w:val="EndnoteText"/>
    <w:semiHidden/>
    <w:rsid w:val="00EE2B6A"/>
    <w:rPr>
      <w:rFonts w:ascii="Times" w:eastAsia="Times" w:hAnsi="Times" w:cs="Times New Roman"/>
      <w:sz w:val="20"/>
      <w:szCs w:val="20"/>
      <w:lang w:val="en-AU"/>
    </w:rPr>
  </w:style>
  <w:style w:type="character" w:styleId="EndnoteReference">
    <w:name w:val="endnote reference"/>
    <w:semiHidden/>
    <w:rsid w:val="00EE2B6A"/>
    <w:rPr>
      <w:vertAlign w:val="superscript"/>
    </w:rPr>
  </w:style>
  <w:style w:type="paragraph" w:styleId="FootnoteText">
    <w:name w:val="footnote text"/>
    <w:basedOn w:val="Normal"/>
    <w:link w:val="FootnoteTextChar"/>
    <w:unhideWhenUsed/>
    <w:rsid w:val="003F6391"/>
  </w:style>
  <w:style w:type="character" w:customStyle="1" w:styleId="FootnoteTextChar">
    <w:name w:val="Footnote Text Char"/>
    <w:basedOn w:val="DefaultParagraphFont"/>
    <w:link w:val="FootnoteText"/>
    <w:uiPriority w:val="99"/>
    <w:rsid w:val="003F6391"/>
  </w:style>
  <w:style w:type="character" w:styleId="FootnoteReference">
    <w:name w:val="footnote reference"/>
    <w:basedOn w:val="DefaultParagraphFont"/>
    <w:uiPriority w:val="99"/>
    <w:unhideWhenUsed/>
    <w:rsid w:val="003F6391"/>
    <w:rPr>
      <w:vertAlign w:val="superscript"/>
    </w:rPr>
  </w:style>
  <w:style w:type="paragraph" w:styleId="ListParagraph">
    <w:name w:val="List Paragraph"/>
    <w:basedOn w:val="Normal"/>
    <w:uiPriority w:val="34"/>
    <w:qFormat/>
    <w:rsid w:val="00321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4362</Words>
  <Characters>22658</Characters>
  <Application>Microsoft Macintosh Word</Application>
  <DocSecurity>0</DocSecurity>
  <Lines>421</Lines>
  <Paragraphs>54</Paragraphs>
  <ScaleCrop>false</ScaleCrop>
  <Company>University of Kent</Company>
  <LinksUpToDate>false</LinksUpToDate>
  <CharactersWithSpaces>27003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Newall</dc:creator>
  <cp:keywords/>
  <dc:description/>
  <cp:lastModifiedBy>Michael Newall</cp:lastModifiedBy>
  <cp:revision>6</cp:revision>
  <dcterms:created xsi:type="dcterms:W3CDTF">2014-07-19T23:50:00Z</dcterms:created>
  <dcterms:modified xsi:type="dcterms:W3CDTF">2014-07-20T22:30:00Z</dcterms:modified>
</cp:coreProperties>
</file>