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AEE" w:rsidRDefault="008A7D70" w:rsidP="008A7D70">
      <w:pPr>
        <w:pStyle w:val="Title"/>
      </w:pPr>
      <w:r>
        <w:t xml:space="preserve">The cost and value of defined benefit </w:t>
      </w:r>
      <w:bookmarkStart w:id="0" w:name="_GoBack"/>
      <w:bookmarkEnd w:id="0"/>
      <w:r>
        <w:t>pension schemes</w:t>
      </w:r>
      <w:r w:rsidR="0045743B">
        <w:t xml:space="preserve"> – an update</w:t>
      </w:r>
    </w:p>
    <w:p w:rsidR="008A7D70" w:rsidRDefault="008A7D70" w:rsidP="008A7D70">
      <w:pPr>
        <w:pStyle w:val="Subtitle"/>
      </w:pPr>
      <w:r>
        <w:t>Paul Sweeting</w:t>
      </w:r>
    </w:p>
    <w:p w:rsidR="008A7D70" w:rsidRPr="008A7D70" w:rsidRDefault="008A7D70">
      <w:pPr>
        <w:rPr>
          <w:rStyle w:val="Emphasis"/>
        </w:rPr>
      </w:pPr>
      <w:r w:rsidRPr="008A7D70">
        <w:rPr>
          <w:rStyle w:val="Emphasis"/>
        </w:rPr>
        <w:t>University of Kent</w:t>
      </w:r>
    </w:p>
    <w:p w:rsidR="008A7D70" w:rsidRDefault="008A7D70">
      <w:pPr>
        <w:rPr>
          <w:rStyle w:val="IntenseEmphasis"/>
        </w:rPr>
      </w:pPr>
      <w:r w:rsidRPr="008A7D70">
        <w:rPr>
          <w:rStyle w:val="IntenseEmphasis"/>
        </w:rPr>
        <w:t xml:space="preserve">(email: </w:t>
      </w:r>
      <w:hyperlink r:id="rId8" w:history="1">
        <w:r w:rsidRPr="003D7C1D">
          <w:rPr>
            <w:rStyle w:val="Hyperlink"/>
          </w:rPr>
          <w:t>p.j.sweeting@kent.ac.uk</w:t>
        </w:r>
      </w:hyperlink>
      <w:r w:rsidRPr="008A7D70">
        <w:rPr>
          <w:rStyle w:val="IntenseEmphasis"/>
        </w:rPr>
        <w:t>)</w:t>
      </w:r>
    </w:p>
    <w:p w:rsidR="008A7D70" w:rsidRDefault="008A7D70" w:rsidP="009F3968">
      <w:pPr>
        <w:pStyle w:val="Heading1"/>
        <w:rPr>
          <w:rStyle w:val="IntenseEmphasis"/>
        </w:rPr>
      </w:pPr>
      <w:r w:rsidRPr="009F3968">
        <w:rPr>
          <w:rStyle w:val="IntenseEmphasis"/>
          <w:b w:val="0"/>
          <w:bCs w:val="0"/>
          <w:i w:val="0"/>
          <w:iCs w:val="0"/>
          <w:color w:val="262626" w:themeColor="text1" w:themeTint="D9"/>
        </w:rPr>
        <w:t>Abstract</w:t>
      </w:r>
    </w:p>
    <w:p w:rsidR="007C5986" w:rsidRDefault="008A7D70" w:rsidP="007C5986">
      <w:r>
        <w:t>Over the last twenty years, the extent of defined benefit provision has declined substantially in the United Kingdom.  Whilst most of the focus has been on deficits relating to past benefit accrual, a more important consideration is the increasing cost of future benefit accrual.  In particular, I look at how the cost of pensions has changed relative to the cost of non-pensions earnings.  I also look at the main components of the change in pensions cost – those relating to benefits payable, discount rates and longevity – to analyse their relative importance.  I fi</w:t>
      </w:r>
      <w:r w:rsidR="008B3F25">
        <w:t xml:space="preserve">nd that </w:t>
      </w:r>
      <w:r w:rsidR="007C5986">
        <w:t>the cost of employing a member of defined benefit pension scheme has outpaced the cost of employing someone in a defined contribution arrangement by 1.1% of earnings per annum from 1995 to 2015.  As at March 2015, the total cost of accrual was 25.4% of earnings.</w:t>
      </w:r>
    </w:p>
    <w:p w:rsidR="007C5986" w:rsidRDefault="007C5986" w:rsidP="007C5986">
      <w:r>
        <w:t>The average impact of interest rate changes on the change in the cost of accrual is 0.9% per annum.  This is significantly more than the average impact of longevity improvements, which is 0.2% per annum.  Both of these have added to the total cost.  However, benefit changes marginally offset these increases, by around 0.05% per annum on average.</w:t>
      </w:r>
    </w:p>
    <w:p w:rsidR="008A7D70" w:rsidRDefault="007C5986" w:rsidP="008A7D70">
      <w:r>
        <w:t>Looking only at changes in interest rates</w:t>
      </w:r>
      <w:r w:rsidR="003944D8">
        <w:t>,</w:t>
      </w:r>
      <w:r>
        <w:t xml:space="preserve"> the estimated cost of accrual has risen to 3</w:t>
      </w:r>
      <w:r w:rsidR="003944D8">
        <w:t>6</w:t>
      </w:r>
      <w:r>
        <w:t xml:space="preserve">.7% </w:t>
      </w:r>
      <w:r w:rsidR="003944D8">
        <w:t>of earnings as at September 2016.  I</w:t>
      </w:r>
      <w:r>
        <w:t>f the current 2.5% LPI increases to pensions in payment were removed and replaced with conditional indexation, the cost of accrual for the employer would fall back to 2</w:t>
      </w:r>
      <w:r w:rsidR="003944D8">
        <w:t>7</w:t>
      </w:r>
      <w:r>
        <w:t>.0%.</w:t>
      </w:r>
      <w:r w:rsidR="003944D8">
        <w:t xml:space="preserve">  However, this is still more than three times the maximum level of auto-enrolment contributions that will be required – these peak at 8% of earnings in 2019.  It is also nearly seven times the current average level of contributions, </w:t>
      </w:r>
      <w:r>
        <w:t>which in 2015 stood at 4.0% of earnings</w:t>
      </w:r>
      <w:r w:rsidR="003944D8">
        <w:t>.  If contribution rates to defined contribution arrangements do not rise, a large proportion of the population will reach retirement with inadequate retirement savings.</w:t>
      </w:r>
    </w:p>
    <w:p w:rsidR="009F3968" w:rsidRDefault="005A20CB" w:rsidP="008A7D70">
      <w:r>
        <w:t>This paper revisits and extends analysis I first published in 2008, which looked at the change in the cost and value of defined benefit pensions from 1995 to 2005 (Sweeting, 2008).</w:t>
      </w:r>
    </w:p>
    <w:p w:rsidR="009F3968" w:rsidRDefault="009F3968" w:rsidP="00743073">
      <w:pPr>
        <w:pStyle w:val="Heading1"/>
        <w:numPr>
          <w:ilvl w:val="0"/>
          <w:numId w:val="14"/>
        </w:numPr>
      </w:pPr>
      <w:r>
        <w:t>Introduction</w:t>
      </w:r>
    </w:p>
    <w:p w:rsidR="003D79D3" w:rsidRPr="003D79D3" w:rsidRDefault="003D79D3" w:rsidP="00743073">
      <w:pPr>
        <w:pStyle w:val="Heading2"/>
        <w:numPr>
          <w:ilvl w:val="1"/>
          <w:numId w:val="14"/>
        </w:numPr>
      </w:pPr>
      <w:r>
        <w:t>Pension deficits</w:t>
      </w:r>
    </w:p>
    <w:p w:rsidR="009F3968" w:rsidRDefault="009F3968" w:rsidP="009F3968">
      <w:r>
        <w:t xml:space="preserve">Pension scheme deficits continue to be a cause of concern in </w:t>
      </w:r>
      <w:r w:rsidR="00725874">
        <w:t>the United Kingdom.  There are a number of different ways of measuring the shortfall of assets relative to liabilities, but the Pension Protection fund estimate</w:t>
      </w:r>
      <w:r w:rsidR="00512533">
        <w:t>d</w:t>
      </w:r>
      <w:r w:rsidR="00725874">
        <w:t xml:space="preserve"> that </w:t>
      </w:r>
      <w:r w:rsidR="00512533">
        <w:t xml:space="preserve">in 2015 </w:t>
      </w:r>
      <w:r w:rsidR="00725874">
        <w:t xml:space="preserve">there </w:t>
      </w:r>
      <w:r w:rsidR="00512533">
        <w:t>we</w:t>
      </w:r>
      <w:r w:rsidR="00725874">
        <w:t xml:space="preserve">re sufficient assets to cover only 62% of buyout liabilities, and that in the </w:t>
      </w:r>
      <w:r w:rsidR="00512533">
        <w:t>previous</w:t>
      </w:r>
      <w:r w:rsidR="00725874">
        <w:t xml:space="preserve"> ten years this figure has never risen above 68% (Pension Protection Fund, 2015).  In terms of accounting deficits, actuaries Lane, Clark and Peacock estimate that </w:t>
      </w:r>
      <w:r w:rsidR="00512533">
        <w:t xml:space="preserve">as at 31 July 2016, liabilities exceeded assets by some £46 billion (Lane, Clark and Peacock, 2016).  The negative impact of pension scheme deficits is a regular topic for the financial pages.  </w:t>
      </w:r>
      <w:r w:rsidR="00512533">
        <w:lastRenderedPageBreak/>
        <w:t>However, deficits are largely a historical issue – in other words, they relate to liabilities that have already been accrued.</w:t>
      </w:r>
    </w:p>
    <w:p w:rsidR="003D79D3" w:rsidRDefault="003D79D3" w:rsidP="003D79D3">
      <w:pPr>
        <w:pStyle w:val="Heading2"/>
        <w:numPr>
          <w:ilvl w:val="1"/>
          <w:numId w:val="14"/>
        </w:numPr>
      </w:pPr>
      <w:r>
        <w:t>The cost of pension accrual to employers</w:t>
      </w:r>
    </w:p>
    <w:p w:rsidR="002B4B6B" w:rsidRDefault="00057A0F" w:rsidP="009F3968">
      <w:r>
        <w:t xml:space="preserve">At least as </w:t>
      </w:r>
      <w:r w:rsidR="002B4B6B">
        <w:t xml:space="preserve">important </w:t>
      </w:r>
      <w:r>
        <w:t xml:space="preserve">are the costs </w:t>
      </w:r>
      <w:r w:rsidR="00D432B5">
        <w:t xml:space="preserve">for an employer </w:t>
      </w:r>
      <w:r>
        <w:t>that ongoing pension accrual continues to generate</w:t>
      </w:r>
      <w:r w:rsidR="00C00829">
        <w:t xml:space="preserve"> – and how that cost has changed over time.  This is a key theme of this paper.  In addition, </w:t>
      </w:r>
      <w:r w:rsidR="00614AFD">
        <w:t xml:space="preserve">it is important to recognise </w:t>
      </w:r>
      <w:r w:rsidR="00D432B5">
        <w:t xml:space="preserve">not only how much these costs have risen, but also what has driven these costs.  </w:t>
      </w:r>
      <w:r w:rsidR="00C00829">
        <w:t xml:space="preserve">I therefore analyse the change in pension costs to identify the extent to which key drivers – discount rates, longevity, and the benefits payable – have affected the change in cost.  </w:t>
      </w:r>
      <w:r w:rsidR="00D432B5">
        <w:t>I</w:t>
      </w:r>
      <w:r w:rsidR="00C00829">
        <w:t xml:space="preserve"> </w:t>
      </w:r>
      <w:r w:rsidR="00D432B5">
        <w:t xml:space="preserve">also </w:t>
      </w:r>
      <w:r w:rsidR="00C00829">
        <w:t xml:space="preserve">show </w:t>
      </w:r>
      <w:r w:rsidR="00D432B5">
        <w:t>the change in these costs in the context of other employment-related expenses, particularly National Insurance Contributions (NICs).</w:t>
      </w:r>
    </w:p>
    <w:p w:rsidR="003D79D3" w:rsidRDefault="003D79D3" w:rsidP="003D79D3">
      <w:pPr>
        <w:pStyle w:val="Heading2"/>
        <w:numPr>
          <w:ilvl w:val="1"/>
          <w:numId w:val="14"/>
        </w:numPr>
      </w:pPr>
      <w:r>
        <w:t>The value of pension accrual to employees</w:t>
      </w:r>
    </w:p>
    <w:p w:rsidR="00AC0D72" w:rsidRDefault="00D432B5" w:rsidP="00AC0D72">
      <w:r>
        <w:t xml:space="preserve">It is also important to recognise the relevance of defined benefit pension funding from </w:t>
      </w:r>
      <w:r w:rsidR="000B7FA8">
        <w:t>another perspective</w:t>
      </w:r>
      <w:r>
        <w:t xml:space="preserve"> – that is, </w:t>
      </w:r>
      <w:r w:rsidR="0054352C">
        <w:t xml:space="preserve">how it has affected the value of earnings that individuals receive.  In other words, it is important to recognise how much the earnings of individuals have changed once the value of pension </w:t>
      </w:r>
      <w:r w:rsidR="00AC0D72">
        <w:t>accrual is taken into account.  Danzer and Dolton (2012) reflect this when they propose a measure of total reward which includes not just pay, but pensions and other benefits in kind.  They go on to evaluate it as the present value of the sum of all these payments over an individual’s lifetime.</w:t>
      </w:r>
    </w:p>
    <w:p w:rsidR="003C07B7" w:rsidRDefault="0054352C" w:rsidP="009F3968">
      <w:r>
        <w:t xml:space="preserve">This </w:t>
      </w:r>
      <w:r w:rsidR="00C2785B">
        <w:t>issue</w:t>
      </w:r>
      <w:r w:rsidR="00AC0D72">
        <w:t xml:space="preserve"> of pension accrual </w:t>
      </w:r>
      <w:r w:rsidR="003C07B7">
        <w:t>in this context is addressed in Sweeting (2008), which looks at the change in the cost and value of accrual from 1995 to 2005.  This paper extends that work to 2015 and beyond, as well as improving the methodology.</w:t>
      </w:r>
    </w:p>
    <w:p w:rsidR="009903BA" w:rsidRDefault="003C07B7" w:rsidP="009F3968">
      <w:r>
        <w:t xml:space="preserve">Other authors have looked at this issue in the context of </w:t>
      </w:r>
      <w:r w:rsidR="00531B28">
        <w:t>public and private sector</w:t>
      </w:r>
      <w:r>
        <w:t xml:space="preserve"> pensions</w:t>
      </w:r>
      <w:r w:rsidR="00531B28">
        <w:t>.</w:t>
      </w:r>
      <w:r w:rsidR="00645470">
        <w:t xml:space="preserve">  All public sector schemes are defined benefit</w:t>
      </w:r>
      <w:r w:rsidR="00645470">
        <w:rPr>
          <w:rStyle w:val="FootnoteReference"/>
        </w:rPr>
        <w:footnoteReference w:id="1"/>
      </w:r>
      <w:r w:rsidR="00645470">
        <w:t>, whilst private sector defined benefit provision is continuing to decline in importance.</w:t>
      </w:r>
      <w:r w:rsidR="00531B28">
        <w:t xml:space="preserve">  </w:t>
      </w:r>
      <w:r w:rsidR="00645470">
        <w:t>Indeed, f</w:t>
      </w:r>
      <w:r w:rsidR="00531B28">
        <w:t xml:space="preserve">rom </w:t>
      </w:r>
      <w:r w:rsidR="00474930">
        <w:t>2004</w:t>
      </w:r>
      <w:r w:rsidR="00531B28">
        <w:t xml:space="preserve"> to 201</w:t>
      </w:r>
      <w:r w:rsidR="001116CD">
        <w:t>5</w:t>
      </w:r>
      <w:r w:rsidR="00531B28">
        <w:t>, the number of active members of private sector defined benefit schemes fell from 3.</w:t>
      </w:r>
      <w:r w:rsidR="00474930">
        <w:t>6</w:t>
      </w:r>
      <w:r w:rsidR="00531B28">
        <w:t xml:space="preserve"> million to 1.6 million</w:t>
      </w:r>
      <w:r w:rsidR="00474930">
        <w:t xml:space="preserve">.  </w:t>
      </w:r>
      <w:r w:rsidR="00645470">
        <w:t>Furthermore, o</w:t>
      </w:r>
      <w:r w:rsidR="00474930">
        <w:t xml:space="preserve">f the 1.6 million active members in </w:t>
      </w:r>
      <w:r w:rsidR="00645470">
        <w:t>private sector defined benefit schemes</w:t>
      </w:r>
      <w:r w:rsidR="00474930">
        <w:t>, only 0.6 million were in schemes or sections of schemes that were open to new members.  However,</w:t>
      </w:r>
      <w:r w:rsidR="00531B28">
        <w:t xml:space="preserve"> </w:t>
      </w:r>
      <w:r w:rsidR="00474930">
        <w:t xml:space="preserve">for </w:t>
      </w:r>
      <w:r w:rsidR="00531B28">
        <w:t xml:space="preserve">public sector defined benefit schemes, the number of active members rose from </w:t>
      </w:r>
      <w:r w:rsidR="00474930">
        <w:t>5.0</w:t>
      </w:r>
      <w:r w:rsidR="00531B28">
        <w:t xml:space="preserve"> million to 5.</w:t>
      </w:r>
      <w:r w:rsidR="00474930">
        <w:t>6</w:t>
      </w:r>
      <w:r w:rsidR="00531B28">
        <w:t xml:space="preserve"> million </w:t>
      </w:r>
      <w:r w:rsidR="00645470">
        <w:t xml:space="preserve">over the same period </w:t>
      </w:r>
      <w:r w:rsidR="00531B28">
        <w:t>(Office f</w:t>
      </w:r>
      <w:r w:rsidR="009903BA">
        <w:t>or National Statistics 201</w:t>
      </w:r>
      <w:r w:rsidR="00474930">
        <w:t>5</w:t>
      </w:r>
      <w:r w:rsidR="001116CD">
        <w:t>, 2016</w:t>
      </w:r>
      <w:r w:rsidR="009903BA">
        <w:t>).</w:t>
      </w:r>
    </w:p>
    <w:p w:rsidR="005A20CB" w:rsidRPr="005A20CB" w:rsidRDefault="003C07B7" w:rsidP="009F3968">
      <w:r>
        <w:t xml:space="preserve">A common approach in this type of analysis is to look at the average level of pension provision in the public and private sector.  Using this approach, </w:t>
      </w:r>
      <w:r w:rsidR="005A20CB">
        <w:t xml:space="preserve">Disney </w:t>
      </w:r>
      <w:r w:rsidR="005A20CB">
        <w:rPr>
          <w:i/>
        </w:rPr>
        <w:t>et al</w:t>
      </w:r>
      <w:r w:rsidR="005A20CB">
        <w:t xml:space="preserve"> (2009) find that the impact of defined benefit pensions for public sector employees is to make employment more valuable than for private sector employees even if the latter are members of defined benefit pension plans.  This ana</w:t>
      </w:r>
      <w:r w:rsidR="00E30C64">
        <w:t xml:space="preserve">lysis controls for age, </w:t>
      </w:r>
      <w:r w:rsidR="00DA48AE">
        <w:t xml:space="preserve">sex and </w:t>
      </w:r>
      <w:r w:rsidR="00E30C64">
        <w:t>education.</w:t>
      </w:r>
      <w:r w:rsidR="00DA48AE">
        <w:t xml:space="preserve">  The clear limitation of this analysis is that not all private sector workers are accruing defined benefit pensions.</w:t>
      </w:r>
    </w:p>
    <w:p w:rsidR="00DA48AE" w:rsidRDefault="009903BA" w:rsidP="009F3968">
      <w:r>
        <w:t xml:space="preserve">Cribb and Emmerson (2016) </w:t>
      </w:r>
      <w:r w:rsidR="00DA48AE">
        <w:t xml:space="preserve">go further than Disney </w:t>
      </w:r>
      <w:r w:rsidR="00DA48AE">
        <w:rPr>
          <w:i/>
        </w:rPr>
        <w:t>et al</w:t>
      </w:r>
      <w:r w:rsidR="00DA48AE">
        <w:t xml:space="preserve"> (2009), controlling not just for </w:t>
      </w:r>
      <w:r w:rsidR="00DA48AE" w:rsidRPr="00F47C40">
        <w:t xml:space="preserve">age, sex, </w:t>
      </w:r>
      <w:r w:rsidR="00DA48AE">
        <w:t xml:space="preserve">and </w:t>
      </w:r>
      <w:r w:rsidR="00DA48AE" w:rsidRPr="00F47C40">
        <w:t xml:space="preserve">education, </w:t>
      </w:r>
      <w:r w:rsidR="00DA48AE">
        <w:t xml:space="preserve">but also for </w:t>
      </w:r>
      <w:r w:rsidR="00DA48AE" w:rsidRPr="00F47C40">
        <w:t>experience and region</w:t>
      </w:r>
      <w:r w:rsidR="00DA48AE">
        <w:t xml:space="preserve">.  They </w:t>
      </w:r>
      <w:r w:rsidR="00C00829">
        <w:t>carry out a</w:t>
      </w:r>
      <w:r w:rsidR="00A43B27">
        <w:t xml:space="preserve">n </w:t>
      </w:r>
      <w:r>
        <w:t>examin</w:t>
      </w:r>
      <w:r w:rsidR="00C00829">
        <w:t>ation of</w:t>
      </w:r>
      <w:r>
        <w:t xml:space="preserve"> the impact of pensions on the pay of public and private sector workers</w:t>
      </w:r>
      <w:r w:rsidR="00DA48AE">
        <w:t xml:space="preserve">, allowing for type of pension provision for those in the private sector, thus overcoming the main limitation in the work of Disney </w:t>
      </w:r>
      <w:r w:rsidR="00DA48AE">
        <w:rPr>
          <w:i/>
        </w:rPr>
        <w:t>et al</w:t>
      </w:r>
      <w:r>
        <w:t>.</w:t>
      </w:r>
      <w:r w:rsidR="00FC1C90">
        <w:t xml:space="preserve">  </w:t>
      </w:r>
      <w:r w:rsidR="00DA48AE">
        <w:t>Cribb and Emmerson</w:t>
      </w:r>
      <w:r w:rsidR="00FC1C90">
        <w:t xml:space="preserve"> value defined benefit pension accrual using the current unit method, which gives the change in discounted present value of the pension income from one year to the next, net of </w:t>
      </w:r>
      <w:r w:rsidR="00FC1C90">
        <w:lastRenderedPageBreak/>
        <w:t xml:space="preserve">employee contributions.  For defined contribution pensions, Cribb and Emmerson look not only at the </w:t>
      </w:r>
      <w:r w:rsidR="00E74E3C">
        <w:t>level of contributions, but also at the returns received.</w:t>
      </w:r>
      <w:r w:rsidR="00A43B27">
        <w:t xml:space="preserve">  </w:t>
      </w:r>
      <w:r w:rsidR="00F47C40">
        <w:t>This is used to give a view of the value of pension accrual in 2012 under a range of different scenarios.  They then go on to look at the average pay differential between public and private sector workers over time, allowing for the average level and type of pension provision in each group.  This analysis shows that public sector pay is significantly higher than private sector pay, even before allowing for pensions – and that pensions onl</w:t>
      </w:r>
      <w:r w:rsidR="00DA48AE">
        <w:t>y increases this differential.</w:t>
      </w:r>
    </w:p>
    <w:p w:rsidR="00491130" w:rsidRDefault="00F47C40" w:rsidP="009F3968">
      <w:r>
        <w:t xml:space="preserve">Whilst this </w:t>
      </w:r>
      <w:r w:rsidR="00DA48AE">
        <w:t xml:space="preserve">analysis </w:t>
      </w:r>
      <w:r>
        <w:t xml:space="preserve">is useful from an aggregate standpoint, it does not </w:t>
      </w:r>
      <w:r w:rsidR="00C27939">
        <w:t xml:space="preserve">explicitly </w:t>
      </w:r>
      <w:r>
        <w:t xml:space="preserve">address the question of the impact over time </w:t>
      </w:r>
      <w:r w:rsidR="00DA48AE">
        <w:t xml:space="preserve">on an individual who is a member </w:t>
      </w:r>
      <w:r>
        <w:t xml:space="preserve">of </w:t>
      </w:r>
      <w:r w:rsidR="00DA48AE">
        <w:t xml:space="preserve">a </w:t>
      </w:r>
      <w:r>
        <w:t>def</w:t>
      </w:r>
      <w:r w:rsidR="00620FC3">
        <w:t xml:space="preserve">ined benefit </w:t>
      </w:r>
      <w:r w:rsidR="00DA48AE">
        <w:t>rather than a defined contribution scheme</w:t>
      </w:r>
      <w:r w:rsidR="00620FC3">
        <w:t>.</w:t>
      </w:r>
      <w:r w:rsidR="00FA4CD5">
        <w:t xml:space="preserve">  This is important because the </w:t>
      </w:r>
      <w:r w:rsidR="00531B28">
        <w:t>decline in private sector defined benefit provision has been matched by the growth in private sector defined contribution provision.  The Office for National Statistics (2015</w:t>
      </w:r>
      <w:r w:rsidR="00FA4CD5">
        <w:t>, 2016</w:t>
      </w:r>
      <w:r w:rsidR="00531B28">
        <w:t>) reports that over the period</w:t>
      </w:r>
      <w:r w:rsidR="00FA4CD5">
        <w:t xml:space="preserve"> 2004 to 2015</w:t>
      </w:r>
      <w:r w:rsidR="00531B28">
        <w:t xml:space="preserve">, active membership of occupational defined contribution schemes – that is, those defined contribution schemes set up by an employer under trust law </w:t>
      </w:r>
      <w:r w:rsidR="000D0A97">
        <w:t>–</w:t>
      </w:r>
      <w:r w:rsidR="00531B28">
        <w:t xml:space="preserve"> </w:t>
      </w:r>
      <w:r w:rsidR="000D0A97">
        <w:t>rose from 1.0 million to 3.</w:t>
      </w:r>
      <w:r w:rsidR="00FA4CD5">
        <w:t>9</w:t>
      </w:r>
      <w:r w:rsidR="000D0A97">
        <w:t xml:space="preserve"> million, although </w:t>
      </w:r>
      <w:r w:rsidR="00FA4CD5">
        <w:t xml:space="preserve">the bulk of this rise </w:t>
      </w:r>
      <w:r w:rsidR="000D0A97">
        <w:t>came as a result of the National Employment Savings Trust (NEST), which received a large number of members following the i</w:t>
      </w:r>
      <w:r w:rsidR="00490426">
        <w:t>ntroduction of auto-enrolment</w:t>
      </w:r>
      <w:r w:rsidR="00490426">
        <w:rPr>
          <w:rStyle w:val="FootnoteReference"/>
        </w:rPr>
        <w:footnoteReference w:id="2"/>
      </w:r>
      <w:r w:rsidR="00490426">
        <w:t>.</w:t>
      </w:r>
      <w:r w:rsidR="00FA4CD5">
        <w:t xml:space="preserve">  This is emphasised by the fact that active membership of defined contribution schemes grew from 1.2 million to 3.2 million between 2013 and 2014, the period during which auto-enrolment came into effect.</w:t>
      </w:r>
    </w:p>
    <w:p w:rsidR="00620FC3" w:rsidRDefault="00491130" w:rsidP="00491130">
      <w:r>
        <w:t>The process of a</w:t>
      </w:r>
      <w:r w:rsidR="00490426">
        <w:t xml:space="preserve">uto-enrolment </w:t>
      </w:r>
      <w:r w:rsidR="00FA4CD5">
        <w:t xml:space="preserve">is being rolled out </w:t>
      </w:r>
      <w:r>
        <w:t>until February 2018</w:t>
      </w:r>
      <w:r>
        <w:rPr>
          <w:rStyle w:val="FootnoteReference"/>
        </w:rPr>
        <w:footnoteReference w:id="3"/>
      </w:r>
      <w:r>
        <w:t xml:space="preserve">, so the growth of </w:t>
      </w:r>
      <w:r w:rsidR="00490426">
        <w:t>active members</w:t>
      </w:r>
      <w:r>
        <w:t>hip in defined contribution plans can be expected to continue</w:t>
      </w:r>
      <w:r w:rsidR="00490426">
        <w:t>.</w:t>
      </w:r>
      <w:r>
        <w:t xml:space="preserve">  However, it is important to note that the level of contributions allowed for by auto-enrolment is not large.  Until April 2018, the minimum contribution is 2% of salary, of which the employer must pay at least 1% of salary; the total contribution is expected to rise to 5%, with a minimum employer contribution of 2%, in April 2018; and from April 2019, it is proposed that the minimum will rise again to 8% of salaries and an employer minimum of 3% of salaries</w:t>
      </w:r>
      <w:r>
        <w:rPr>
          <w:rStyle w:val="FootnoteReference"/>
        </w:rPr>
        <w:footnoteReference w:id="4"/>
      </w:r>
      <w:r>
        <w:t>.</w:t>
      </w:r>
      <w:r w:rsidR="004A0E38">
        <w:t xml:space="preserve">  </w:t>
      </w:r>
      <w:r w:rsidR="009A79EF">
        <w:t>Even the 2018 levels exceed current levels of contribution to defined contribution schemes: the Office for National Statistics (201</w:t>
      </w:r>
      <w:r w:rsidR="00620FC3">
        <w:t>6</w:t>
      </w:r>
      <w:r w:rsidR="009A79EF">
        <w:t>) estimates that in 201</w:t>
      </w:r>
      <w:r w:rsidR="00CC7FAF">
        <w:t>5</w:t>
      </w:r>
      <w:r w:rsidR="009A79EF">
        <w:t>, members of open defined contribution schemes contributed 1.</w:t>
      </w:r>
      <w:r w:rsidR="00620FC3">
        <w:t>5</w:t>
      </w:r>
      <w:r w:rsidR="009A79EF">
        <w:t xml:space="preserve">% of salaries, with employers </w:t>
      </w:r>
      <w:r w:rsidR="00DB182B">
        <w:t>contributing 2.</w:t>
      </w:r>
      <w:r w:rsidR="00620FC3">
        <w:t>5</w:t>
      </w:r>
      <w:r w:rsidR="00DB182B">
        <w:t>% of salaries.</w:t>
      </w:r>
      <w:r w:rsidR="00620FC3">
        <w:t xml:space="preserve">  These figures are lower even than in 2014, where employees contributed 1.7% of salaries</w:t>
      </w:r>
      <w:r w:rsidR="00FA4CD5">
        <w:t xml:space="preserve"> and </w:t>
      </w:r>
      <w:r w:rsidR="00620FC3">
        <w:t>employers contribut</w:t>
      </w:r>
      <w:r w:rsidR="00FA4CD5">
        <w:t>ed</w:t>
      </w:r>
      <w:r w:rsidR="00620FC3">
        <w:t xml:space="preserve"> 2.9% of salaries (Office for National Statistics, 2015).</w:t>
      </w:r>
      <w:r w:rsidR="00CC7FAF">
        <w:t xml:space="preserve">  These low rates are coincident with the introduction of auto-enrolment – in 2013, employees contributed 2.5% of salaries, with employers paying 6.0%.  This suggests that contribution rates for the newly auto-enrolled are at or close to legal minima.</w:t>
      </w:r>
    </w:p>
    <w:p w:rsidR="00AC0D72" w:rsidRDefault="00DB182B" w:rsidP="00AC0D72">
      <w:r>
        <w:t>This suggests that</w:t>
      </w:r>
      <w:r w:rsidR="009A79EF">
        <w:t xml:space="preserve"> auto-enrolment – particularly </w:t>
      </w:r>
      <w:r>
        <w:t>w</w:t>
      </w:r>
      <w:r w:rsidR="009A79EF">
        <w:t xml:space="preserve">hen higher contribution rates arrive – should </w:t>
      </w:r>
      <w:r>
        <w:t xml:space="preserve">result in larger pots for members of defined contribution schemes.  But this does not necessarily mean that the level of benefits will be adequate.  The cost of defined benefit pension provision is a sensible benchmark against which defined contribution schemes can be measured.  </w:t>
      </w:r>
      <w:r w:rsidR="000B7FA8">
        <w:t>One comparison is of the contributions actually paid.  the Office for National Statistics (201</w:t>
      </w:r>
      <w:r w:rsidR="00620FC3">
        <w:t>6</w:t>
      </w:r>
      <w:r w:rsidR="000B7FA8">
        <w:t>) estimates that in 201</w:t>
      </w:r>
      <w:r w:rsidR="00620FC3">
        <w:t>5</w:t>
      </w:r>
      <w:r w:rsidR="000B7FA8">
        <w:t xml:space="preserve">, members of open defined benefit schemes contributed </w:t>
      </w:r>
      <w:r w:rsidR="00620FC3">
        <w:t>5</w:t>
      </w:r>
      <w:r w:rsidR="000B7FA8">
        <w:t xml:space="preserve">% of salaries, with employers contributing </w:t>
      </w:r>
      <w:r w:rsidR="00620FC3">
        <w:t>16.2</w:t>
      </w:r>
      <w:r w:rsidR="000B7FA8">
        <w:t xml:space="preserve">% of salaries.  However, these contribution rates reflect not just the cost of ongoing benefits, but also the deficit reduction contributions paid in respect of previously accrued benefits.  Instead, it makes sense to calculate the cost of future benefits for a defined benefit pension scheme explicitly, </w:t>
      </w:r>
      <w:r w:rsidR="000B7FA8">
        <w:lastRenderedPageBreak/>
        <w:t>as I do in this paper, and to compare it to the levels of contributions being made to defined contribution schemes.</w:t>
      </w:r>
    </w:p>
    <w:p w:rsidR="00AC0D72" w:rsidRDefault="00AC0D72" w:rsidP="00743073">
      <w:pPr>
        <w:pStyle w:val="Heading1"/>
        <w:numPr>
          <w:ilvl w:val="0"/>
          <w:numId w:val="14"/>
        </w:numPr>
      </w:pPr>
      <w:r>
        <w:t>Organisation of this paper</w:t>
      </w:r>
    </w:p>
    <w:p w:rsidR="00743073" w:rsidRDefault="003C07B7" w:rsidP="00491130">
      <w:r>
        <w:t xml:space="preserve">First, I outline way in which I calculate the cost of pension accrual, in Section 3.  In this section, I describe both the methodology I use, and the assumptions that I make.  In Section 4, I calculate the change in earnings, and the appropriate allowance for NICs and for income tax.  In section5 I present my results.  First, I give the total cost of accrual, before analysing the factors driving the year-to-year changes.  I then look at the impact of </w:t>
      </w:r>
      <w:r w:rsidR="00A33491">
        <w:t>defined benefit</w:t>
      </w:r>
      <w:r>
        <w:t xml:space="preserve"> pension accrual on the </w:t>
      </w:r>
      <w:r w:rsidR="00A33491">
        <w:t>cost of employment for a company, and then on the value of earnings to an employee.</w:t>
      </w:r>
    </w:p>
    <w:p w:rsidR="00743073" w:rsidRDefault="00743073" w:rsidP="00743073">
      <w:pPr>
        <w:pStyle w:val="Heading1"/>
        <w:numPr>
          <w:ilvl w:val="0"/>
          <w:numId w:val="14"/>
        </w:numPr>
      </w:pPr>
      <w:r>
        <w:t>Calculating the cost of pension accrual</w:t>
      </w:r>
    </w:p>
    <w:p w:rsidR="00F44EF4" w:rsidRPr="00F44EF4" w:rsidRDefault="00F44EF4" w:rsidP="00F44EF4">
      <w:pPr>
        <w:pStyle w:val="Heading2"/>
        <w:numPr>
          <w:ilvl w:val="1"/>
          <w:numId w:val="14"/>
        </w:numPr>
      </w:pPr>
      <w:r>
        <w:t>Overview</w:t>
      </w:r>
    </w:p>
    <w:p w:rsidR="0045279A" w:rsidRDefault="00F44EF4" w:rsidP="00A45265">
      <w:r>
        <w:t>The cost pension accrual is calculated as a proportion of salary.  It is assumed that the benefit accrued is one-sixtieth of earnings, with a retirement age of 65.  It is also assumed that the nature of the benefit is career average revalued earnings (CARE): in other words, the pension accrued in any year is revalued to retirement in line with price inflation</w:t>
      </w:r>
      <w:r w:rsidR="00A45265">
        <w:t>,</w:t>
      </w:r>
      <w:r>
        <w:t xml:space="preserve"> subject to a m</w:t>
      </w:r>
      <w:r w:rsidR="00A45265">
        <w:t xml:space="preserve">aximum of 5% per annum over the period.  The pension is then paid for the lifetime of the individual, with increases being paid in line with statutory minima.  For simplicity, it is assumed that the individual accruing benefits is a man, that no spouse benefits are accrued, and that there is no guarantee period.  The analysis is carried out on an annual basis, and the period covered in the main analysis is </w:t>
      </w:r>
      <w:r w:rsidR="0045279A">
        <w:t xml:space="preserve">the 12-month period starting </w:t>
      </w:r>
      <w:r w:rsidR="00E06827">
        <w:t>31 March</w:t>
      </w:r>
      <w:r w:rsidR="00A45265">
        <w:t xml:space="preserve"> 1995 to </w:t>
      </w:r>
      <w:r w:rsidR="0045279A">
        <w:t xml:space="preserve">the twelve-month period starting 31 March </w:t>
      </w:r>
      <w:r w:rsidR="00A45265">
        <w:t>2015.  These dates are chosen to coincide with the changes in tax years</w:t>
      </w:r>
      <w:r w:rsidR="0045279A">
        <w:t xml:space="preserve"> that start a few days later on 6 April</w:t>
      </w:r>
      <w:r w:rsidR="00A45265">
        <w:t xml:space="preserve"> and, thus, tax rates and bands.  The discount and inflation rates as at t</w:t>
      </w:r>
      <w:r w:rsidR="0045279A">
        <w:t>he previous month end are used.</w:t>
      </w:r>
    </w:p>
    <w:p w:rsidR="002D607B" w:rsidRDefault="0045279A" w:rsidP="00A45265">
      <w:r>
        <w:t>The cost of accrual as at 31 March 2015 can be used to calculate the impact of pensions for the twelve-month period to 31 March 2016.  However, it is interesting to consider the impact of interest rate changes in the light of the Brexit referendum, and also the potential move from statutory to conditional increases to pensions in payment</w:t>
      </w:r>
      <w:r w:rsidR="002D607B">
        <w:t>.</w:t>
      </w:r>
    </w:p>
    <w:p w:rsidR="002D607B" w:rsidRDefault="002D607B" w:rsidP="00A45265">
      <w:r>
        <w:t>On 23 June 2016, the United Kingdom voted to leave the European Union.  In order to offset the impact of this decision on the UK economy, the Bank of England cut base rates to 0.25% and embarked on a policy of Quantitative Easing</w:t>
      </w:r>
      <w:r w:rsidR="00ED7201">
        <w:t xml:space="preserve"> (QE)</w:t>
      </w:r>
      <w:r>
        <w:t>.</w:t>
      </w:r>
      <w:r w:rsidR="00ED7201">
        <w:t xml:space="preserve">  Research on the last program of QE that ran from 2009 to 2012 indicates that long-term bond yields has been lowered by anything from 30 to 125 basis points </w:t>
      </w:r>
      <w:r>
        <w:t>(Meier, 2009; Joyce et al., 2011; Christensen and Rudebusch, 2012; Breedon et al., 2012; Bridges and Thomas, 2012; and</w:t>
      </w:r>
      <w:r w:rsidRPr="002D607B">
        <w:t xml:space="preserve"> </w:t>
      </w:r>
      <w:r>
        <w:t>Kapetanios et al., 2012)</w:t>
      </w:r>
      <w:r w:rsidR="00ED7201">
        <w:t xml:space="preserve">.  More specific research on the term structure of changes, as well as the impact on real interest rates, shows that pension scheme liabilities had been significantly inflated by the Bank of England’s purchases (Sweeting et al., 2013).  Given that long-term interest rates as at 30 September 2016 were significantly lower than they were as at 31 March 2016, it seems that the round of quantitative easing (Bank of England, 2016) is having a similar impact.  As such, I also look at the cost of accrual calculated on the 31 March 2015 basis, but using </w:t>
      </w:r>
      <w:r w:rsidR="006E0EF8">
        <w:t>bond yields and expected inflation as at 31 March 2016 and 30 September 2016.</w:t>
      </w:r>
    </w:p>
    <w:p w:rsidR="002D607B" w:rsidRDefault="006E0EF8" w:rsidP="00A45265">
      <w:r>
        <w:t>In a more recent development, it has been suggested that the guaranteed pensions in payment, whether at 5% LPI or 2.5% LPI, could be replaced with conditional indexation (Cumbo, 2016).  This is a mechanism by which increases to pensions are paid only if there are sufficient funds; otherwise, pensions remain flat.</w:t>
      </w:r>
      <w:r w:rsidR="00EB464A">
        <w:t xml:space="preserve">  It is straightforward to evaluate the impact of such a change on the cost of </w:t>
      </w:r>
      <w:r w:rsidR="00EB464A">
        <w:lastRenderedPageBreak/>
        <w:t>future accrual, so I look at how this would affect the estimated cost of accrual at 30 September 2016.</w:t>
      </w:r>
    </w:p>
    <w:p w:rsidR="007A018A" w:rsidRDefault="005E71BB" w:rsidP="005E71BB">
      <w:r>
        <w:t>T</w:t>
      </w:r>
      <w:r w:rsidR="007A018A">
        <w:t>he cost of pension benefits is calculated by projecting into the future</w:t>
      </w:r>
      <w:r>
        <w:t xml:space="preserve"> the payments arising from the year of pension accrual</w:t>
      </w:r>
      <w:r w:rsidR="007A018A">
        <w:t>, and then discounting the</w:t>
      </w:r>
      <w:r>
        <w:t>se payments</w:t>
      </w:r>
      <w:r w:rsidR="007A018A">
        <w:t xml:space="preserve"> back to </w:t>
      </w:r>
      <w:r w:rsidR="005534E8">
        <w:t>give a present value.</w:t>
      </w:r>
      <w:r>
        <w:t xml:space="preserve">  More precisely, </w:t>
      </w:r>
      <w:r w:rsidR="006A3AA8">
        <w:t xml:space="preserve">the value at time </w:t>
      </w:r>
      <m:oMath>
        <m:r>
          <w:rPr>
            <w:rFonts w:ascii="Cambria Math" w:hAnsi="Cambria Math"/>
          </w:rPr>
          <m:t>0</m:t>
        </m:r>
      </m:oMath>
      <w:r w:rsidR="006A3AA8">
        <w:t xml:space="preserve"> of a </w:t>
      </w:r>
      <w:r>
        <w:t>payment</w:t>
      </w:r>
      <w:r w:rsidR="006A3AA8">
        <w:t xml:space="preserve"> made at time </w:t>
      </w:r>
      <m:oMath>
        <m:r>
          <w:rPr>
            <w:rFonts w:ascii="Cambria Math" w:hAnsi="Cambria Math"/>
          </w:rPr>
          <m:t>t</m:t>
        </m:r>
      </m:oMath>
      <w:r w:rsidR="006A3AA8">
        <w:t xml:space="preserve"> </w:t>
      </w:r>
      <w:r w:rsidR="00DB183C">
        <w:t xml:space="preserve">(where </w:t>
      </w:r>
      <m:oMath>
        <m:r>
          <w:rPr>
            <w:rFonts w:ascii="Cambria Math" w:hAnsi="Cambria Math"/>
          </w:rPr>
          <m:t>t=1,2,3…</m:t>
        </m:r>
      </m:oMath>
      <w:r w:rsidR="004E20AA">
        <w:t xml:space="preserve"> and is measured in years</w:t>
      </w:r>
      <w:r w:rsidR="00DB183C">
        <w:t xml:space="preserve">) </w:t>
      </w:r>
      <w:r w:rsidR="006A3AA8">
        <w:t xml:space="preserve">to an individual currently aged </w:t>
      </w:r>
      <m:oMath>
        <m:r>
          <w:rPr>
            <w:rFonts w:ascii="Cambria Math" w:hAnsi="Cambria Math"/>
          </w:rPr>
          <m:t>x</m:t>
        </m:r>
      </m:oMath>
      <w:r w:rsidR="006A3AA8">
        <w:t xml:space="preserve"> whose retirement age is </w:t>
      </w:r>
      <w:r>
        <w:t>65</w:t>
      </w:r>
      <w:r w:rsidR="006A3AA8">
        <w:t xml:space="preserve"> is </w:t>
      </w:r>
      <m:oMath>
        <m:sSub>
          <m:sSubPr>
            <m:ctrlPr>
              <w:rPr>
                <w:rFonts w:ascii="Cambria Math" w:hAnsi="Cambria Math"/>
                <w:i/>
              </w:rPr>
            </m:ctrlPr>
          </m:sSubPr>
          <m:e>
            <m:r>
              <w:rPr>
                <w:rFonts w:ascii="Cambria Math" w:hAnsi="Cambria Math"/>
              </w:rPr>
              <m:t>c</m:t>
            </m:r>
          </m:e>
          <m:sub>
            <m:r>
              <w:rPr>
                <w:rFonts w:ascii="Cambria Math" w:hAnsi="Cambria Math"/>
              </w:rPr>
              <m:t>x,t</m:t>
            </m:r>
          </m:sub>
        </m:sSub>
      </m:oMath>
      <w:r w:rsidR="006A3AA8">
        <w:t>, which is equal to:</w:t>
      </w:r>
    </w:p>
    <w:p w:rsidR="005534E8" w:rsidRPr="00F93A99" w:rsidRDefault="0045743B" w:rsidP="00A45265">
      <m:oMathPara>
        <m:oMath>
          <m:sSub>
            <m:sSubPr>
              <m:ctrlPr>
                <w:rPr>
                  <w:rFonts w:ascii="Cambria Math" w:hAnsi="Cambria Math"/>
                  <w:i/>
                </w:rPr>
              </m:ctrlPr>
            </m:sSubPr>
            <m:e>
              <m:r>
                <w:rPr>
                  <w:rFonts w:ascii="Cambria Math" w:hAnsi="Cambria Math"/>
                </w:rPr>
                <m:t>c</m:t>
              </m:r>
            </m:e>
            <m:sub>
              <m:r>
                <w:rPr>
                  <w:rFonts w:ascii="Cambria Math" w:hAnsi="Cambria Math"/>
                </w:rPr>
                <m:t>x,t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r>
                          <w:rPr>
                            <w:rFonts w:ascii="Cambria Math" w:hAnsi="Cambria Math"/>
                          </w:rPr>
                          <m:t>1</m:t>
                        </m:r>
                      </m:num>
                      <m:den>
                        <m:r>
                          <w:rPr>
                            <w:rFonts w:ascii="Cambria Math" w:hAnsi="Cambria Math"/>
                          </w:rPr>
                          <m:t>60</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x+t,t</m:t>
                            </m:r>
                          </m:sub>
                        </m:sSub>
                      </m:num>
                      <m:den>
                        <m:sSub>
                          <m:sSubPr>
                            <m:ctrlPr>
                              <w:rPr>
                                <w:rFonts w:ascii="Cambria Math" w:hAnsi="Cambria Math"/>
                                <w:i/>
                              </w:rPr>
                            </m:ctrlPr>
                          </m:sSubPr>
                          <m:e>
                            <m:r>
                              <w:rPr>
                                <w:rFonts w:ascii="Cambria Math" w:hAnsi="Cambria Math"/>
                              </w:rPr>
                              <m:t>l</m:t>
                            </m:r>
                          </m:e>
                          <m:sub>
                            <m:r>
                              <w:rPr>
                                <w:rFonts w:ascii="Cambria Math" w:hAnsi="Cambria Math"/>
                              </w:rPr>
                              <m:t>x,0</m:t>
                            </m:r>
                          </m:sub>
                        </m:sSub>
                      </m:den>
                    </m:f>
                    <m:r>
                      <w:rPr>
                        <w:rFonts w:ascii="Cambria Math" w:hAnsi="Cambria Math"/>
                      </w:rPr>
                      <m:t>×</m:t>
                    </m:r>
                    <m:func>
                      <m:funcPr>
                        <m:ctrlPr>
                          <w:rPr>
                            <w:rFonts w:ascii="Cambria Math" w:hAnsi="Cambria Math"/>
                          </w:rPr>
                        </m:ctrlPr>
                      </m:funcPr>
                      <m:fName>
                        <m:r>
                          <m:rPr>
                            <m:sty m:val="p"/>
                          </m:rPr>
                          <w:rPr>
                            <w:rFonts w:ascii="Cambria Math" w:hAnsi="Cambria Math"/>
                          </w:rPr>
                          <m:t>min</m:t>
                        </m:r>
                      </m:fName>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1.05</m:t>
                                </m:r>
                              </m:e>
                              <m:sup>
                                <m:r>
                                  <w:rPr>
                                    <w:rFonts w:ascii="Cambria Math" w:hAnsi="Cambria Math"/>
                                  </w:rPr>
                                  <m:t>65-x</m:t>
                                </m:r>
                              </m:sup>
                            </m:s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65-x</m:t>
                                    </m:r>
                                  </m:sub>
                                </m:sSub>
                              </m:num>
                              <m:den>
                                <m:sSub>
                                  <m:sSubPr>
                                    <m:ctrlPr>
                                      <w:rPr>
                                        <w:rFonts w:ascii="Cambria Math" w:hAnsi="Cambria Math"/>
                                        <w:i/>
                                      </w:rPr>
                                    </m:ctrlPr>
                                  </m:sSubPr>
                                  <m:e>
                                    <m:r>
                                      <w:rPr>
                                        <w:rFonts w:ascii="Cambria Math" w:hAnsi="Cambria Math"/>
                                      </w:rPr>
                                      <m:t>i</m:t>
                                    </m:r>
                                  </m:e>
                                  <m:sub>
                                    <m:r>
                                      <w:rPr>
                                        <w:rFonts w:ascii="Cambria Math" w:hAnsi="Cambria Math"/>
                                      </w:rPr>
                                      <m:t>0</m:t>
                                    </m:r>
                                  </m:sub>
                                </m:sSub>
                              </m:den>
                            </m:f>
                          </m:e>
                        </m:d>
                      </m:e>
                    </m:func>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i</m:t>
                            </m:r>
                          </m:e>
                          <m:sub>
                            <m:r>
                              <w:rPr>
                                <w:rFonts w:ascii="Cambria Math" w:hAnsi="Cambria Math"/>
                              </w:rPr>
                              <m:t>t</m:t>
                            </m:r>
                          </m:sub>
                          <m:sup>
                            <m:r>
                              <w:rPr>
                                <w:rFonts w:ascii="Cambria Math" w:hAnsi="Cambria Math"/>
                              </w:rPr>
                              <m:t>c</m:t>
                            </m:r>
                          </m:sup>
                        </m:sSubSup>
                      </m:num>
                      <m:den>
                        <m:sSubSup>
                          <m:sSubSupPr>
                            <m:ctrlPr>
                              <w:rPr>
                                <w:rFonts w:ascii="Cambria Math" w:hAnsi="Cambria Math"/>
                                <w:i/>
                              </w:rPr>
                            </m:ctrlPr>
                          </m:sSubSupPr>
                          <m:e>
                            <m:r>
                              <w:rPr>
                                <w:rFonts w:ascii="Cambria Math" w:hAnsi="Cambria Math"/>
                              </w:rPr>
                              <m:t>i</m:t>
                            </m:r>
                          </m:e>
                          <m:sub>
                            <m:r>
                              <w:rPr>
                                <w:rFonts w:ascii="Cambria Math" w:hAnsi="Cambria Math"/>
                              </w:rPr>
                              <m:t>65-x</m:t>
                            </m:r>
                          </m:sub>
                          <m:sup>
                            <m:r>
                              <w:rPr>
                                <w:rFonts w:ascii="Cambria Math" w:hAnsi="Cambria Math"/>
                              </w:rPr>
                              <m:t>c</m:t>
                            </m:r>
                          </m:sup>
                        </m:sSubSup>
                      </m:den>
                    </m:f>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t</m:t>
                        </m:r>
                      </m:sup>
                      <m:e>
                        <m:f>
                          <m:fPr>
                            <m:ctrlPr>
                              <w:rPr>
                                <w:rFonts w:ascii="Cambria Math" w:hAnsi="Cambria Math"/>
                                <w:i/>
                              </w:rPr>
                            </m:ctrlPr>
                          </m:fPr>
                          <m:num>
                            <m:r>
                              <w:rPr>
                                <w:rFonts w:ascii="Cambria Math" w:hAnsi="Cambria Math"/>
                              </w:rPr>
                              <m:t>1</m:t>
                            </m:r>
                          </m:num>
                          <m:den>
                            <m:r>
                              <w:rPr>
                                <w:rFonts w:ascii="Cambria Math" w:hAnsi="Cambria Math"/>
                              </w:rPr>
                              <m:t>1+</m:t>
                            </m:r>
                            <m:sSub>
                              <m:sSubPr>
                                <m:ctrlPr>
                                  <w:rPr>
                                    <w:rFonts w:ascii="Cambria Math" w:hAnsi="Cambria Math"/>
                                    <w:i/>
                                  </w:rPr>
                                </m:ctrlPr>
                              </m:sSubPr>
                              <m:e>
                                <m:r>
                                  <w:rPr>
                                    <w:rFonts w:ascii="Cambria Math" w:hAnsi="Cambria Math"/>
                                  </w:rPr>
                                  <m:t>d</m:t>
                                </m:r>
                              </m:e>
                              <m:sub>
                                <m:r>
                                  <w:rPr>
                                    <w:rFonts w:ascii="Cambria Math" w:hAnsi="Cambria Math"/>
                                  </w:rPr>
                                  <m:t>j</m:t>
                                </m:r>
                              </m:sub>
                            </m:sSub>
                          </m:den>
                        </m:f>
                      </m:e>
                    </m:nary>
                  </m:e>
                  <m:e>
                    <m:r>
                      <w:rPr>
                        <w:rFonts w:ascii="Cambria Math" w:hAnsi="Cambria Math"/>
                      </w:rPr>
                      <m:t>if t≥65-x</m:t>
                    </m:r>
                  </m:e>
                </m:mr>
                <m:mr>
                  <m:e>
                    <m:r>
                      <w:rPr>
                        <w:rFonts w:ascii="Cambria Math" w:hAnsi="Cambria Math"/>
                      </w:rPr>
                      <m:t>0</m:t>
                    </m:r>
                  </m:e>
                  <m:e>
                    <m:r>
                      <w:rPr>
                        <w:rFonts w:ascii="Cambria Math" w:hAnsi="Cambria Math"/>
                      </w:rPr>
                      <m:t>otherwise</m:t>
                    </m:r>
                  </m:e>
                </m:mr>
              </m:m>
            </m:e>
          </m:d>
        </m:oMath>
      </m:oMathPara>
    </w:p>
    <w:p w:rsidR="00F93A99" w:rsidRDefault="00F12560" w:rsidP="005E71BB">
      <w:pPr>
        <w:jc w:val="right"/>
        <w:rPr>
          <w:i/>
        </w:rPr>
      </w:pPr>
      <w:r>
        <w:rPr>
          <w:i/>
        </w:rPr>
        <w:t>(</w:t>
      </w:r>
      <w:r w:rsidR="005E71BB" w:rsidRPr="005E71BB">
        <w:rPr>
          <w:i/>
        </w:rPr>
        <w:t>1</w:t>
      </w:r>
      <w:r>
        <w:rPr>
          <w:i/>
        </w:rPr>
        <w:t>)</w:t>
      </w:r>
    </w:p>
    <w:p w:rsidR="005E71BB" w:rsidRPr="005E71BB" w:rsidRDefault="005E71BB" w:rsidP="005E71BB">
      <w:r>
        <w:t xml:space="preserve">where </w:t>
      </w:r>
      <m:oMath>
        <m:sSub>
          <m:sSubPr>
            <m:ctrlPr>
              <w:rPr>
                <w:rFonts w:ascii="Cambria Math" w:hAnsi="Cambria Math"/>
                <w:i/>
              </w:rPr>
            </m:ctrlPr>
          </m:sSubPr>
          <m:e>
            <m:r>
              <w:rPr>
                <w:rFonts w:ascii="Cambria Math" w:hAnsi="Cambria Math"/>
              </w:rPr>
              <m:t>l</m:t>
            </m:r>
          </m:e>
          <m:sub>
            <m:r>
              <w:rPr>
                <w:rFonts w:ascii="Cambria Math" w:hAnsi="Cambria Math"/>
              </w:rPr>
              <m:t>x,t</m:t>
            </m:r>
          </m:sub>
        </m:sSub>
      </m:oMath>
      <w:r>
        <w:t xml:space="preserve"> is the projected population for age </w:t>
      </w:r>
      <m:oMath>
        <m:r>
          <w:rPr>
            <w:rFonts w:ascii="Cambria Math" w:hAnsi="Cambria Math"/>
          </w:rPr>
          <m:t>x</m:t>
        </m:r>
      </m:oMath>
      <w:r>
        <w:t xml:space="preserve"> and time </w:t>
      </w:r>
      <m:oMath>
        <m:r>
          <w:rPr>
            <w:rFonts w:ascii="Cambria Math" w:hAnsi="Cambria Math"/>
          </w:rPr>
          <m:t>t</m:t>
        </m:r>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t</m:t>
            </m:r>
          </m:sub>
        </m:sSub>
      </m:oMath>
      <w:r>
        <w:t xml:space="preserve"> is the price index at time </w:t>
      </w:r>
      <m:oMath>
        <m:r>
          <w:rPr>
            <w:rFonts w:ascii="Cambria Math" w:hAnsi="Cambria Math"/>
          </w:rPr>
          <m:t>t</m:t>
        </m:r>
      </m:oMath>
      <w:r w:rsidR="00260108">
        <w:t xml:space="preserve"> used to revalue benefits before retirement</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t</m:t>
            </m:r>
          </m:sub>
          <m:sup>
            <m:r>
              <w:rPr>
                <w:rFonts w:ascii="Cambria Math" w:hAnsi="Cambria Math"/>
              </w:rPr>
              <m:t>c</m:t>
            </m:r>
          </m:sup>
        </m:sSubSup>
      </m:oMath>
      <w:r>
        <w:t xml:space="preserve"> is the </w:t>
      </w:r>
      <w:r w:rsidR="00260108">
        <w:t xml:space="preserve">capped </w:t>
      </w:r>
      <w:r>
        <w:t xml:space="preserve">price index </w:t>
      </w:r>
      <w:r w:rsidR="00260108">
        <w:t>used to increase benefits after retirement</w:t>
      </w:r>
      <w:r>
        <w:t xml:space="preserve"> at time </w:t>
      </w:r>
      <m:oMath>
        <m:r>
          <w:rPr>
            <w:rFonts w:ascii="Cambria Math" w:hAnsi="Cambria Math"/>
          </w:rPr>
          <m:t>t</m:t>
        </m:r>
      </m:oMath>
      <w:r w:rsidR="00164788">
        <w:t xml:space="preserve"> – that is, the rate of change in the index is limited to some capped amount</w:t>
      </w:r>
      <w:r>
        <w:t>;</w:t>
      </w:r>
      <w:r w:rsidR="00F532D3">
        <w:t xml:space="preserve"> and </w:t>
      </w:r>
      <m:oMath>
        <m:sSub>
          <m:sSubPr>
            <m:ctrlPr>
              <w:rPr>
                <w:rFonts w:ascii="Cambria Math" w:hAnsi="Cambria Math"/>
                <w:i/>
              </w:rPr>
            </m:ctrlPr>
          </m:sSubPr>
          <m:e>
            <m:r>
              <w:rPr>
                <w:rFonts w:ascii="Cambria Math" w:hAnsi="Cambria Math"/>
              </w:rPr>
              <m:t>d</m:t>
            </m:r>
          </m:e>
          <m:sub>
            <m:r>
              <w:rPr>
                <w:rFonts w:ascii="Cambria Math" w:hAnsi="Cambria Math"/>
              </w:rPr>
              <m:t>t</m:t>
            </m:r>
          </m:sub>
        </m:sSub>
      </m:oMath>
      <w:r w:rsidR="00F532D3">
        <w:t xml:space="preserve"> is the spot discount rate for a term of </w:t>
      </w:r>
      <m:oMath>
        <m:r>
          <w:rPr>
            <w:rFonts w:ascii="Cambria Math" w:hAnsi="Cambria Math"/>
          </w:rPr>
          <m:t>t</m:t>
        </m:r>
      </m:oMath>
      <w:r w:rsidR="00F532D3">
        <w:t>.</w:t>
      </w:r>
      <w:r w:rsidR="005F1EA1">
        <w:t xml:space="preserve">  The various price indices used are discussed in section 3.3.</w:t>
      </w:r>
      <w:r w:rsidR="00F532D3">
        <w:t xml:space="preserve">  The discount rate</w:t>
      </w:r>
      <w:r w:rsidR="00164788">
        <w:t xml:space="preserve"> is discussed in section 4</w:t>
      </w:r>
      <w:r w:rsidR="00F532D3">
        <w:t xml:space="preserve">.  The total </w:t>
      </w:r>
      <w:r w:rsidR="00EE2260">
        <w:t xml:space="preserve">cost of accrual for age </w:t>
      </w:r>
      <m:oMath>
        <m:r>
          <w:rPr>
            <w:rFonts w:ascii="Cambria Math" w:hAnsi="Cambria Math"/>
          </w:rPr>
          <m:t>x</m:t>
        </m:r>
      </m:oMath>
      <w:r w:rsidR="00EE2260">
        <w:t xml:space="preserve">, </w:t>
      </w:r>
      <w:r w:rsidR="008578BE">
        <w:t xml:space="preserve">per £1 of gross earnings, </w:t>
      </w:r>
      <m:oMath>
        <m:sSub>
          <m:sSubPr>
            <m:ctrlPr>
              <w:rPr>
                <w:rFonts w:ascii="Cambria Math" w:hAnsi="Cambria Math"/>
                <w:i/>
              </w:rPr>
            </m:ctrlPr>
          </m:sSubPr>
          <m:e>
            <m:r>
              <w:rPr>
                <w:rFonts w:ascii="Cambria Math" w:hAnsi="Cambria Math"/>
              </w:rPr>
              <m:t>C</m:t>
            </m:r>
          </m:e>
          <m:sub>
            <m:r>
              <w:rPr>
                <w:rFonts w:ascii="Cambria Math" w:hAnsi="Cambria Math"/>
              </w:rPr>
              <m:t>x</m:t>
            </m:r>
          </m:sub>
        </m:sSub>
      </m:oMath>
      <w:r w:rsidR="00EE2260">
        <w:t xml:space="preserve"> is therefore obtained by summing the values of these individual cash flows:</w:t>
      </w:r>
    </w:p>
    <w:p w:rsidR="00F93A99" w:rsidRPr="00F93A99" w:rsidRDefault="0045743B" w:rsidP="00A45265">
      <m:oMathPara>
        <m:oMath>
          <m:sSub>
            <m:sSubPr>
              <m:ctrlPr>
                <w:rPr>
                  <w:rFonts w:ascii="Cambria Math" w:hAnsi="Cambria Math"/>
                  <w:i/>
                </w:rPr>
              </m:ctrlPr>
            </m:sSubPr>
            <m:e>
              <m:r>
                <w:rPr>
                  <w:rFonts w:ascii="Cambria Math" w:hAnsi="Cambria Math"/>
                </w:rPr>
                <m:t>C</m:t>
              </m:r>
            </m:e>
            <m:sub>
              <m:r>
                <w:rPr>
                  <w:rFonts w:ascii="Cambria Math" w:hAnsi="Cambria Math"/>
                </w:rPr>
                <m:t>x</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120-x</m:t>
              </m:r>
            </m:sup>
            <m:e>
              <m:sSub>
                <m:sSubPr>
                  <m:ctrlPr>
                    <w:rPr>
                      <w:rFonts w:ascii="Cambria Math" w:hAnsi="Cambria Math"/>
                      <w:i/>
                    </w:rPr>
                  </m:ctrlPr>
                </m:sSubPr>
                <m:e>
                  <m:r>
                    <w:rPr>
                      <w:rFonts w:ascii="Cambria Math" w:hAnsi="Cambria Math"/>
                    </w:rPr>
                    <m:t>c</m:t>
                  </m:r>
                </m:e>
                <m:sub>
                  <m:r>
                    <w:rPr>
                      <w:rFonts w:ascii="Cambria Math" w:hAnsi="Cambria Math"/>
                    </w:rPr>
                    <m:t>x,k</m:t>
                  </m:r>
                </m:sub>
              </m:sSub>
            </m:e>
          </m:nary>
        </m:oMath>
      </m:oMathPara>
    </w:p>
    <w:p w:rsidR="005534E8" w:rsidRDefault="00F5072C" w:rsidP="00EE2260">
      <w:pPr>
        <w:jc w:val="right"/>
      </w:pPr>
      <w:r>
        <w:rPr>
          <w:i/>
        </w:rPr>
        <w:t>(2)</w:t>
      </w:r>
    </w:p>
    <w:p w:rsidR="00A83016" w:rsidRPr="005E71BB" w:rsidRDefault="00EE2260" w:rsidP="00A83016">
      <w:r>
        <w:t xml:space="preserve">The upper limit in this </w:t>
      </w:r>
      <w:r w:rsidR="00260108">
        <w:t xml:space="preserve">summation reflects the assumption that no individuals will live beyond 120.  This is built into the longevity model used, which I describe </w:t>
      </w:r>
      <w:r w:rsidR="005F1EA1">
        <w:t>in section 3.2</w:t>
      </w:r>
      <w:r w:rsidR="00260108">
        <w:t>.</w:t>
      </w:r>
      <w:r w:rsidR="00A83016">
        <w:t xml:space="preserve">  I further define the cost of accrual for an individual aged </w:t>
      </w:r>
      <m:oMath>
        <m:r>
          <w:rPr>
            <w:rFonts w:ascii="Cambria Math" w:hAnsi="Cambria Math"/>
          </w:rPr>
          <m:t>x</m:t>
        </m:r>
      </m:oMath>
      <w:r w:rsidR="00A83016">
        <w:t xml:space="preserve"> evaluated at time </w:t>
      </w:r>
      <m:oMath>
        <m:r>
          <w:rPr>
            <w:rFonts w:ascii="Cambria Math" w:hAnsi="Cambria Math"/>
          </w:rPr>
          <m:t>t</m:t>
        </m:r>
      </m:oMath>
      <w:r w:rsidR="00A83016">
        <w:t xml:space="preserve"> as </w:t>
      </w:r>
      <m:oMath>
        <m:sSub>
          <m:sSubPr>
            <m:ctrlPr>
              <w:rPr>
                <w:rFonts w:ascii="Cambria Math" w:hAnsi="Cambria Math"/>
                <w:i/>
              </w:rPr>
            </m:ctrlPr>
          </m:sSubPr>
          <m:e>
            <m:r>
              <w:rPr>
                <w:rFonts w:ascii="Cambria Math" w:hAnsi="Cambria Math"/>
              </w:rPr>
              <m:t>C</m:t>
            </m:r>
          </m:e>
          <m:sub>
            <m:r>
              <w:rPr>
                <w:rFonts w:ascii="Cambria Math" w:hAnsi="Cambria Math"/>
              </w:rPr>
              <m:t>x,t</m:t>
            </m:r>
          </m:sub>
        </m:sSub>
      </m:oMath>
      <w:r w:rsidR="00A83016">
        <w:t>.  This can be used to derive the change in the cost of accrual over time, as:</w:t>
      </w:r>
    </w:p>
    <w:p w:rsidR="00A83016" w:rsidRPr="00A83016" w:rsidRDefault="0045743B" w:rsidP="00A83016">
      <m:oMathPara>
        <m:oMath>
          <m:sSub>
            <m:sSubPr>
              <m:ctrlPr>
                <w:rPr>
                  <w:rFonts w:ascii="Cambria Math" w:hAnsi="Cambria Math"/>
                  <w:i/>
                </w:rPr>
              </m:ctrlPr>
            </m:sSubPr>
            <m:e>
              <m:r>
                <m:rPr>
                  <m:sty m:val="p"/>
                </m:rPr>
                <w:rPr>
                  <w:rFonts w:ascii="Cambria Math" w:hAnsi="Cambria Math"/>
                </w:rPr>
                <m:t>Δ</m:t>
              </m:r>
              <m:r>
                <w:rPr>
                  <w:rFonts w:ascii="Cambria Math" w:hAnsi="Cambria Math"/>
                </w:rPr>
                <m:t>C</m:t>
              </m:r>
            </m:e>
            <m:sub>
              <m:r>
                <w:rPr>
                  <w:rFonts w:ascii="Cambria Math" w:hAnsi="Cambria Math"/>
                </w:rPr>
                <m:t>x,t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x,t</m:t>
                  </m:r>
                </m:sub>
              </m:sSub>
            </m:num>
            <m:den>
              <m:sSub>
                <m:sSubPr>
                  <m:ctrlPr>
                    <w:rPr>
                      <w:rFonts w:ascii="Cambria Math" w:hAnsi="Cambria Math"/>
                      <w:i/>
                    </w:rPr>
                  </m:ctrlPr>
                </m:sSubPr>
                <m:e>
                  <m:r>
                    <w:rPr>
                      <w:rFonts w:ascii="Cambria Math" w:hAnsi="Cambria Math"/>
                    </w:rPr>
                    <m:t>C</m:t>
                  </m:r>
                </m:e>
                <m:sub>
                  <m:r>
                    <w:rPr>
                      <w:rFonts w:ascii="Cambria Math" w:hAnsi="Cambria Math"/>
                    </w:rPr>
                    <m:t>x,t-1</m:t>
                  </m:r>
                </m:sub>
              </m:sSub>
            </m:den>
          </m:f>
        </m:oMath>
      </m:oMathPara>
    </w:p>
    <w:p w:rsidR="00A83016" w:rsidRDefault="00A83016" w:rsidP="00A83016">
      <w:pPr>
        <w:jc w:val="right"/>
      </w:pPr>
      <w:r>
        <w:rPr>
          <w:i/>
        </w:rPr>
        <w:t>(3)</w:t>
      </w:r>
    </w:p>
    <w:p w:rsidR="008C40D0" w:rsidRPr="005E71BB" w:rsidRDefault="000C60DE" w:rsidP="008C40D0">
      <w:r>
        <w:t xml:space="preserve">A similar formula can be used to calculate the impact on the cost of accrual of longevity, benefit changes and interest rates.  Let </w:t>
      </w:r>
      <m:oMath>
        <m:sSubSup>
          <m:sSubSupPr>
            <m:ctrlPr>
              <w:rPr>
                <w:rFonts w:ascii="Cambria Math" w:hAnsi="Cambria Math"/>
                <w:i/>
              </w:rPr>
            </m:ctrlPr>
          </m:sSubSupPr>
          <m:e>
            <m:r>
              <w:rPr>
                <w:rFonts w:ascii="Cambria Math" w:hAnsi="Cambria Math"/>
              </w:rPr>
              <m:t>C</m:t>
            </m:r>
          </m:e>
          <m:sub>
            <m:r>
              <w:rPr>
                <w:rFonts w:ascii="Cambria Math" w:hAnsi="Cambria Math"/>
              </w:rPr>
              <m:t>x,t</m:t>
            </m:r>
          </m:sub>
          <m:sup>
            <m:r>
              <w:rPr>
                <w:rFonts w:ascii="Cambria Math" w:hAnsi="Cambria Math"/>
              </w:rPr>
              <m:t>l</m:t>
            </m:r>
          </m:sup>
        </m:sSubSup>
      </m:oMath>
      <w:r>
        <w:t xml:space="preserve"> be the </w:t>
      </w:r>
      <w:r w:rsidR="008C40D0">
        <w:t xml:space="preserve">cost of accrual for an individual aged </w:t>
      </w:r>
      <m:oMath>
        <m:r>
          <w:rPr>
            <w:rFonts w:ascii="Cambria Math" w:hAnsi="Cambria Math"/>
          </w:rPr>
          <m:t>x</m:t>
        </m:r>
      </m:oMath>
      <w:r w:rsidR="008C40D0">
        <w:t xml:space="preserve"> evaluated at time </w:t>
      </w:r>
      <m:oMath>
        <m:r>
          <w:rPr>
            <w:rFonts w:ascii="Cambria Math" w:hAnsi="Cambria Math"/>
          </w:rPr>
          <m:t>t</m:t>
        </m:r>
      </m:oMath>
      <w:r w:rsidR="008C40D0">
        <w:t xml:space="preserve">, but using the longevity data from </w:t>
      </w:r>
      <m:oMath>
        <m:r>
          <w:rPr>
            <w:rFonts w:ascii="Cambria Math" w:hAnsi="Cambria Math"/>
          </w:rPr>
          <m:t>t-1</m:t>
        </m:r>
      </m:oMath>
      <w:r w:rsidR="008C40D0">
        <w:t xml:space="preserve">.  The element of the change relating to longevity, </w:t>
      </w:r>
      <m:oMath>
        <m:sSubSup>
          <m:sSubSupPr>
            <m:ctrlPr>
              <w:rPr>
                <w:rFonts w:ascii="Cambria Math" w:hAnsi="Cambria Math"/>
                <w:i/>
              </w:rPr>
            </m:ctrlPr>
          </m:sSubSupPr>
          <m:e>
            <m:r>
              <m:rPr>
                <m:sty m:val="p"/>
              </m:rPr>
              <w:rPr>
                <w:rFonts w:ascii="Cambria Math" w:hAnsi="Cambria Math"/>
              </w:rPr>
              <m:t>Δ</m:t>
            </m:r>
            <m:r>
              <w:rPr>
                <w:rFonts w:ascii="Cambria Math" w:hAnsi="Cambria Math"/>
              </w:rPr>
              <m:t>C</m:t>
            </m:r>
          </m:e>
          <m:sub>
            <m:r>
              <w:rPr>
                <w:rFonts w:ascii="Cambria Math" w:hAnsi="Cambria Math"/>
              </w:rPr>
              <m:t>x,t</m:t>
            </m:r>
          </m:sub>
          <m:sup>
            <m:r>
              <w:rPr>
                <w:rFonts w:ascii="Cambria Math" w:hAnsi="Cambria Math"/>
              </w:rPr>
              <m:t>l</m:t>
            </m:r>
          </m:sup>
        </m:sSubSup>
      </m:oMath>
      <w:r w:rsidR="008C40D0">
        <w:t>, is therefore:</w:t>
      </w:r>
    </w:p>
    <w:p w:rsidR="008C40D0" w:rsidRPr="00A83016" w:rsidRDefault="0045743B" w:rsidP="008C40D0">
      <m:oMathPara>
        <m:oMath>
          <m:sSubSup>
            <m:sSubSupPr>
              <m:ctrlPr>
                <w:rPr>
                  <w:rFonts w:ascii="Cambria Math" w:hAnsi="Cambria Math"/>
                  <w:i/>
                </w:rPr>
              </m:ctrlPr>
            </m:sSubSupPr>
            <m:e>
              <m:r>
                <m:rPr>
                  <m:sty m:val="p"/>
                </m:rPr>
                <w:rPr>
                  <w:rFonts w:ascii="Cambria Math" w:hAnsi="Cambria Math"/>
                </w:rPr>
                <m:t>Δ</m:t>
              </m:r>
              <m:r>
                <w:rPr>
                  <w:rFonts w:ascii="Cambria Math" w:hAnsi="Cambria Math"/>
                </w:rPr>
                <m:t>C</m:t>
              </m:r>
            </m:e>
            <m:sub>
              <m:r>
                <w:rPr>
                  <w:rFonts w:ascii="Cambria Math" w:hAnsi="Cambria Math"/>
                </w:rPr>
                <m:t>x,t</m:t>
              </m:r>
            </m:sub>
            <m:sup>
              <m:r>
                <w:rPr>
                  <w:rFonts w:ascii="Cambria Math" w:hAnsi="Cambria Math"/>
                </w:rPr>
                <m:t>l</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x,t</m:t>
                  </m:r>
                </m:sub>
              </m:sSub>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x,t</m:t>
                  </m:r>
                </m:sub>
                <m:sup>
                  <m:r>
                    <w:rPr>
                      <w:rFonts w:ascii="Cambria Math" w:hAnsi="Cambria Math"/>
                    </w:rPr>
                    <m:t>l</m:t>
                  </m:r>
                </m:sup>
              </m:sSubSup>
            </m:num>
            <m:den>
              <m:sSub>
                <m:sSubPr>
                  <m:ctrlPr>
                    <w:rPr>
                      <w:rFonts w:ascii="Cambria Math" w:hAnsi="Cambria Math"/>
                      <w:i/>
                    </w:rPr>
                  </m:ctrlPr>
                </m:sSubPr>
                <m:e>
                  <m:r>
                    <w:rPr>
                      <w:rFonts w:ascii="Cambria Math" w:hAnsi="Cambria Math"/>
                    </w:rPr>
                    <m:t>C</m:t>
                  </m:r>
                </m:e>
                <m:sub>
                  <m:r>
                    <w:rPr>
                      <w:rFonts w:ascii="Cambria Math" w:hAnsi="Cambria Math"/>
                    </w:rPr>
                    <m:t>x,t-1</m:t>
                  </m:r>
                </m:sub>
              </m:sSub>
            </m:den>
          </m:f>
        </m:oMath>
      </m:oMathPara>
    </w:p>
    <w:p w:rsidR="008C40D0" w:rsidRDefault="008C40D0" w:rsidP="008C40D0">
      <w:pPr>
        <w:jc w:val="right"/>
      </w:pPr>
      <w:r>
        <w:rPr>
          <w:i/>
        </w:rPr>
        <w:t>(</w:t>
      </w:r>
      <w:r w:rsidR="003423B2">
        <w:rPr>
          <w:i/>
        </w:rPr>
        <w:t>4</w:t>
      </w:r>
      <w:r>
        <w:rPr>
          <w:i/>
        </w:rPr>
        <w:t>)</w:t>
      </w:r>
    </w:p>
    <w:p w:rsidR="005F1EA1" w:rsidRDefault="003423B2" w:rsidP="005F1EA1">
      <w:r>
        <w:t>Equivalent expressions can be derived for the impact of benefit changes and interest rates.</w:t>
      </w:r>
    </w:p>
    <w:p w:rsidR="005F1EA1" w:rsidRPr="00F44EF4" w:rsidRDefault="005F1EA1" w:rsidP="005F1EA1">
      <w:pPr>
        <w:pStyle w:val="Heading2"/>
        <w:numPr>
          <w:ilvl w:val="1"/>
          <w:numId w:val="14"/>
        </w:numPr>
      </w:pPr>
      <w:r>
        <w:t>The longevity model</w:t>
      </w:r>
    </w:p>
    <w:p w:rsidR="00260108" w:rsidRDefault="005F1EA1" w:rsidP="005F1EA1">
      <w:r>
        <w:t xml:space="preserve">Improving life expectancy clearly has an impact on the cost of future pension accrual.  There are two components of longevity that are of interest here.  The first is the expected change in longevity.  When moving from time </w:t>
      </w:r>
      <m:oMath>
        <m:r>
          <w:rPr>
            <w:rFonts w:ascii="Cambria Math" w:hAnsi="Cambria Math"/>
          </w:rPr>
          <m:t>t</m:t>
        </m:r>
      </m:oMath>
      <w:r>
        <w:t xml:space="preserve"> to time </w:t>
      </w:r>
      <m:oMath>
        <m:r>
          <w:rPr>
            <w:rFonts w:ascii="Cambria Math" w:hAnsi="Cambria Math"/>
          </w:rPr>
          <m:t>t+1</m:t>
        </m:r>
      </m:oMath>
      <w:r>
        <w:t xml:space="preserve">, one would expect the </w:t>
      </w:r>
      <w:r w:rsidR="00DF19A3">
        <w:t xml:space="preserve">cost of accrual to increase because of </w:t>
      </w:r>
      <w:r w:rsidR="00DF19A3">
        <w:lastRenderedPageBreak/>
        <w:t>anticipated improvements in life expectancy.  However, if the change in longevity is different from than anticipated, then this will clearly have an additional impact on the cost of pension accrual.</w:t>
      </w:r>
    </w:p>
    <w:p w:rsidR="00EE2260" w:rsidRDefault="00DF19A3" w:rsidP="00A45265">
      <w:r>
        <w:t xml:space="preserve">In modelling life expectancy, I assume that at any time </w:t>
      </w:r>
      <m:oMath>
        <m:r>
          <w:rPr>
            <w:rFonts w:ascii="Cambria Math" w:hAnsi="Cambria Math"/>
          </w:rPr>
          <m:t>t</m:t>
        </m:r>
      </m:oMath>
      <w:r>
        <w:t xml:space="preserve">, information on mortality rates will be available only up to time </w:t>
      </w:r>
      <m:oMath>
        <m:r>
          <w:rPr>
            <w:rFonts w:ascii="Cambria Math" w:hAnsi="Cambria Math"/>
          </w:rPr>
          <m:t>t-2</m:t>
        </m:r>
      </m:oMath>
      <w:r>
        <w:t xml:space="preserve">.  The mortality data </w:t>
      </w:r>
      <w:r w:rsidR="002726E9">
        <w:t xml:space="preserve">used </w:t>
      </w:r>
      <w:r>
        <w:t xml:space="preserve">is </w:t>
      </w:r>
      <w:r w:rsidR="002726E9">
        <w:t xml:space="preserve">central rate of mortality for England and Wales males aged 20 to 100, from the Human Mortality Database (2016).  The natural logarithm of mortality rates is extrapolated linearly from age 101 to 120, based on data from ages 81 to 100.  </w:t>
      </w:r>
      <w:r>
        <w:t xml:space="preserve">I </w:t>
      </w:r>
      <w:r w:rsidR="002726E9">
        <w:t xml:space="preserve">then take data from </w:t>
      </w:r>
      <m:oMath>
        <m:r>
          <w:rPr>
            <w:rFonts w:ascii="Cambria Math" w:hAnsi="Cambria Math"/>
          </w:rPr>
          <m:t>t-21</m:t>
        </m:r>
      </m:oMath>
      <w:r w:rsidR="002726E9">
        <w:t xml:space="preserve"> to </w:t>
      </w:r>
      <m:oMath>
        <m:r>
          <w:rPr>
            <w:rFonts w:ascii="Cambria Math" w:hAnsi="Cambria Math"/>
          </w:rPr>
          <m:t>t-2</m:t>
        </m:r>
      </m:oMath>
      <w:r w:rsidR="00B76FFF">
        <w:t xml:space="preserve"> and ages 20 to 120, and apply singular value decomposition to the data, as described by Lee and Carter (1992).  I then fit a linear function to the time component, and project this forward.  Applying this to the age components gives projected central mortality rates for times </w:t>
      </w:r>
      <m:oMath>
        <m:r>
          <w:rPr>
            <w:rFonts w:ascii="Cambria Math" w:hAnsi="Cambria Math"/>
          </w:rPr>
          <m:t>t-1</m:t>
        </m:r>
      </m:oMath>
      <w:r w:rsidR="00B76FFF">
        <w:t xml:space="preserve"> onward.</w:t>
      </w:r>
      <w:r w:rsidR="00A17594">
        <w:t xml:space="preserve">  Each central mortality rate </w:t>
      </w:r>
      <m:oMath>
        <m:sSub>
          <m:sSubPr>
            <m:ctrlPr>
              <w:rPr>
                <w:rFonts w:ascii="Cambria Math" w:hAnsi="Cambria Math"/>
                <w:i/>
              </w:rPr>
            </m:ctrlPr>
          </m:sSubPr>
          <m:e>
            <m:r>
              <w:rPr>
                <w:rFonts w:ascii="Cambria Math" w:hAnsi="Cambria Math"/>
              </w:rPr>
              <m:t>m</m:t>
            </m:r>
          </m:e>
          <m:sub>
            <m:r>
              <w:rPr>
                <w:rFonts w:ascii="Cambria Math" w:hAnsi="Cambria Math"/>
              </w:rPr>
              <m:t>x,t</m:t>
            </m:r>
          </m:sub>
        </m:sSub>
      </m:oMath>
      <w:r w:rsidR="00A17594">
        <w:t xml:space="preserve"> is converted to an initial mortality rate, </w:t>
      </w:r>
      <m:oMath>
        <m:sSub>
          <m:sSubPr>
            <m:ctrlPr>
              <w:rPr>
                <w:rFonts w:ascii="Cambria Math" w:hAnsi="Cambria Math"/>
                <w:i/>
              </w:rPr>
            </m:ctrlPr>
          </m:sSubPr>
          <m:e>
            <m:r>
              <w:rPr>
                <w:rFonts w:ascii="Cambria Math" w:hAnsi="Cambria Math"/>
              </w:rPr>
              <m:t>q</m:t>
            </m:r>
          </m:e>
          <m:sub>
            <m:r>
              <w:rPr>
                <w:rFonts w:ascii="Cambria Math" w:hAnsi="Cambria Math"/>
              </w:rPr>
              <m:t>x,t</m:t>
            </m:r>
          </m:sub>
        </m:sSub>
      </m:oMath>
      <w:r w:rsidR="00EF0AEE">
        <w:t>.  For age 20, the following formula is used:</w:t>
      </w:r>
    </w:p>
    <w:p w:rsidR="00EF0AEE" w:rsidRDefault="0045743B" w:rsidP="00A45265">
      <m:oMathPara>
        <m:oMath>
          <m:sSub>
            <m:sSubPr>
              <m:ctrlPr>
                <w:rPr>
                  <w:rFonts w:ascii="Cambria Math" w:hAnsi="Cambria Math"/>
                  <w:i/>
                </w:rPr>
              </m:ctrlPr>
            </m:sSubPr>
            <m:e>
              <m:r>
                <w:rPr>
                  <w:rFonts w:ascii="Cambria Math" w:hAnsi="Cambria Math"/>
                </w:rPr>
                <m:t>q</m:t>
              </m:r>
            </m:e>
            <m:sub>
              <m:r>
                <w:rPr>
                  <w:rFonts w:ascii="Cambria Math" w:hAnsi="Cambria Math"/>
                </w:rPr>
                <m:t>20,t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20,t</m:t>
              </m:r>
            </m:sub>
          </m:sSub>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d>
                    <m:dPr>
                      <m:ctrlPr>
                        <w:rPr>
                          <w:rFonts w:ascii="Cambria Math"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2</m:t>
                          </m:r>
                        </m:den>
                      </m:f>
                    </m:e>
                  </m:d>
                  <m:sSub>
                    <m:sSubPr>
                      <m:ctrlPr>
                        <w:rPr>
                          <w:rFonts w:ascii="Cambria Math" w:hAnsi="Cambria Math"/>
                          <w:i/>
                        </w:rPr>
                      </m:ctrlPr>
                    </m:sSubPr>
                    <m:e>
                      <m:r>
                        <w:rPr>
                          <w:rFonts w:ascii="Cambria Math" w:hAnsi="Cambria Math"/>
                        </w:rPr>
                        <m:t>m</m:t>
                      </m:r>
                    </m:e>
                    <m:sub>
                      <m:r>
                        <w:rPr>
                          <w:rFonts w:ascii="Cambria Math" w:hAnsi="Cambria Math"/>
                        </w:rPr>
                        <m:t>21,t</m:t>
                      </m:r>
                    </m:sub>
                  </m:sSub>
                </m:num>
                <m:den>
                  <m:r>
                    <w:rPr>
                      <w:rFonts w:ascii="Cambria Math" w:hAnsi="Cambria Math"/>
                    </w:rPr>
                    <m:t>1+</m:t>
                  </m:r>
                  <m:d>
                    <m:dPr>
                      <m:ctrlPr>
                        <w:rPr>
                          <w:rFonts w:ascii="Cambria Math"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12</m:t>
                          </m:r>
                        </m:den>
                      </m:f>
                    </m:e>
                  </m:d>
                  <m:d>
                    <m:dPr>
                      <m:ctrlPr>
                        <w:rPr>
                          <w:rFonts w:ascii="Cambria Math" w:hAnsi="Cambria Math"/>
                          <w:i/>
                        </w:rPr>
                      </m:ctrlPr>
                    </m:dPr>
                    <m:e>
                      <m:r>
                        <w:rPr>
                          <w:rFonts w:ascii="Cambria Math" w:hAnsi="Cambria Math"/>
                        </w:rPr>
                        <m:t>7</m:t>
                      </m:r>
                      <m:sSub>
                        <m:sSubPr>
                          <m:ctrlPr>
                            <w:rPr>
                              <w:rFonts w:ascii="Cambria Math" w:hAnsi="Cambria Math"/>
                              <w:i/>
                            </w:rPr>
                          </m:ctrlPr>
                        </m:sSubPr>
                        <m:e>
                          <m:r>
                            <w:rPr>
                              <w:rFonts w:ascii="Cambria Math" w:hAnsi="Cambria Math"/>
                            </w:rPr>
                            <m:t>m</m:t>
                          </m:r>
                        </m:e>
                        <m:sub>
                          <m:r>
                            <w:rPr>
                              <w:rFonts w:ascii="Cambria Math" w:hAnsi="Cambria Math"/>
                            </w:rPr>
                            <m:t>20,t</m:t>
                          </m:r>
                        </m:sub>
                      </m:sSub>
                      <m:r>
                        <w:rPr>
                          <w:rFonts w:ascii="Cambria Math" w:hAnsi="Cambria Math"/>
                        </w:rPr>
                        <m:t>+5</m:t>
                      </m:r>
                      <m:sSub>
                        <m:sSubPr>
                          <m:ctrlPr>
                            <w:rPr>
                              <w:rFonts w:ascii="Cambria Math" w:hAnsi="Cambria Math"/>
                              <w:i/>
                            </w:rPr>
                          </m:ctrlPr>
                        </m:sSubPr>
                        <m:e>
                          <m:r>
                            <w:rPr>
                              <w:rFonts w:ascii="Cambria Math" w:hAnsi="Cambria Math"/>
                            </w:rPr>
                            <m:t>m</m:t>
                          </m:r>
                        </m:e>
                        <m:sub>
                          <m:r>
                            <w:rPr>
                              <w:rFonts w:ascii="Cambria Math" w:hAnsi="Cambria Math"/>
                            </w:rPr>
                            <m:t>21,t</m:t>
                          </m:r>
                        </m:sub>
                      </m:sSub>
                    </m:e>
                  </m:d>
                  <m:r>
                    <w:rPr>
                      <w:rFonts w:ascii="Cambria Math" w:hAnsi="Cambria Math"/>
                    </w:rPr>
                    <m:t>+</m:t>
                  </m:r>
                  <m:d>
                    <m:dPr>
                      <m:ctrlPr>
                        <w:rPr>
                          <w:rFonts w:ascii="Cambria Math"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3</m:t>
                          </m:r>
                        </m:den>
                      </m:f>
                    </m:e>
                  </m:d>
                  <m:sSub>
                    <m:sSubPr>
                      <m:ctrlPr>
                        <w:rPr>
                          <w:rFonts w:ascii="Cambria Math" w:hAnsi="Cambria Math"/>
                          <w:i/>
                        </w:rPr>
                      </m:ctrlPr>
                    </m:sSubPr>
                    <m:e>
                      <m:r>
                        <w:rPr>
                          <w:rFonts w:ascii="Cambria Math" w:hAnsi="Cambria Math"/>
                        </w:rPr>
                        <m:t>m</m:t>
                      </m:r>
                    </m:e>
                    <m:sub>
                      <m:r>
                        <w:rPr>
                          <w:rFonts w:ascii="Cambria Math" w:hAnsi="Cambria Math"/>
                        </w:rPr>
                        <m:t>20,t</m:t>
                      </m:r>
                    </m:sub>
                  </m:sSub>
                  <m:sSub>
                    <m:sSubPr>
                      <m:ctrlPr>
                        <w:rPr>
                          <w:rFonts w:ascii="Cambria Math" w:hAnsi="Cambria Math"/>
                          <w:i/>
                        </w:rPr>
                      </m:ctrlPr>
                    </m:sSubPr>
                    <m:e>
                      <m:r>
                        <w:rPr>
                          <w:rFonts w:ascii="Cambria Math" w:hAnsi="Cambria Math"/>
                        </w:rPr>
                        <m:t>m</m:t>
                      </m:r>
                    </m:e>
                    <m:sub>
                      <m:r>
                        <w:rPr>
                          <w:rFonts w:ascii="Cambria Math" w:hAnsi="Cambria Math"/>
                        </w:rPr>
                        <m:t>21,t</m:t>
                      </m:r>
                    </m:sub>
                  </m:sSub>
                </m:den>
              </m:f>
            </m:e>
          </m:d>
        </m:oMath>
      </m:oMathPara>
    </w:p>
    <w:p w:rsidR="00EF0AEE" w:rsidRPr="00EF0AEE" w:rsidRDefault="00F5072C" w:rsidP="00EF0AEE">
      <w:pPr>
        <w:jc w:val="right"/>
        <w:rPr>
          <w:i/>
        </w:rPr>
      </w:pPr>
      <w:r>
        <w:rPr>
          <w:i/>
        </w:rPr>
        <w:t>(</w:t>
      </w:r>
      <w:r w:rsidR="003423B2">
        <w:rPr>
          <w:i/>
        </w:rPr>
        <w:t>5</w:t>
      </w:r>
      <w:r>
        <w:rPr>
          <w:i/>
        </w:rPr>
        <w:t>)</w:t>
      </w:r>
    </w:p>
    <w:p w:rsidR="00EF0AEE" w:rsidRDefault="00EF0AEE" w:rsidP="00A45265">
      <w:r>
        <w:t>for ages 21 to 100, the following approximation is used:</w:t>
      </w:r>
    </w:p>
    <w:p w:rsidR="00EF0AEE" w:rsidRPr="00EF0AEE" w:rsidRDefault="0045743B" w:rsidP="00A45265">
      <m:oMathPara>
        <m:oMath>
          <m:sSub>
            <m:sSubPr>
              <m:ctrlPr>
                <w:rPr>
                  <w:rFonts w:ascii="Cambria Math" w:hAnsi="Cambria Math"/>
                  <w:i/>
                </w:rPr>
              </m:ctrlPr>
            </m:sSubPr>
            <m:e>
              <m:r>
                <w:rPr>
                  <w:rFonts w:ascii="Cambria Math" w:hAnsi="Cambria Math"/>
                </w:rPr>
                <m:t>q</m:t>
              </m:r>
            </m:e>
            <m:sub>
              <m:r>
                <w:rPr>
                  <w:rFonts w:ascii="Cambria Math" w:hAnsi="Cambria Math"/>
                </w:rPr>
                <m:t>x,t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x,t</m:t>
              </m:r>
            </m:sub>
          </m:sSub>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d>
                    <m:dPr>
                      <m:ctrlPr>
                        <w:rPr>
                          <w:rFonts w:ascii="Cambria Math"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2</m:t>
                          </m:r>
                        </m:den>
                      </m:f>
                    </m:e>
                  </m:d>
                  <m:sSub>
                    <m:sSubPr>
                      <m:ctrlPr>
                        <w:rPr>
                          <w:rFonts w:ascii="Cambria Math" w:hAnsi="Cambria Math"/>
                          <w:i/>
                        </w:rPr>
                      </m:ctrlPr>
                    </m:sSubPr>
                    <m:e>
                      <m:r>
                        <w:rPr>
                          <w:rFonts w:ascii="Cambria Math" w:hAnsi="Cambria Math"/>
                        </w:rPr>
                        <m:t>m</m:t>
                      </m:r>
                    </m:e>
                    <m:sub>
                      <m:r>
                        <w:rPr>
                          <w:rFonts w:ascii="Cambria Math" w:hAnsi="Cambria Math"/>
                        </w:rPr>
                        <m:t>x-1,t</m:t>
                      </m:r>
                    </m:sub>
                  </m:sSub>
                </m:num>
                <m:den>
                  <m:r>
                    <w:rPr>
                      <w:rFonts w:ascii="Cambria Math" w:hAnsi="Cambria Math"/>
                    </w:rPr>
                    <m:t>1+</m:t>
                  </m:r>
                  <m:d>
                    <m:dPr>
                      <m:ctrlPr>
                        <w:rPr>
                          <w:rFonts w:ascii="Cambria Math" w:hAnsi="Cambria Math"/>
                          <w:i/>
                        </w:rPr>
                      </m:ctrlPr>
                    </m:dPr>
                    <m:e>
                      <m:f>
                        <m:fPr>
                          <m:type m:val="lin"/>
                          <m:ctrlPr>
                            <w:rPr>
                              <w:rFonts w:ascii="Cambria Math" w:hAnsi="Cambria Math"/>
                              <w:i/>
                            </w:rPr>
                          </m:ctrlPr>
                        </m:fPr>
                        <m:num>
                          <m:r>
                            <w:rPr>
                              <w:rFonts w:ascii="Cambria Math" w:hAnsi="Cambria Math"/>
                            </w:rPr>
                            <m:t>5</m:t>
                          </m:r>
                        </m:num>
                        <m:den>
                          <m:r>
                            <w:rPr>
                              <w:rFonts w:ascii="Cambria Math" w:hAnsi="Cambria Math"/>
                            </w:rPr>
                            <m:t>12</m:t>
                          </m:r>
                        </m:den>
                      </m:f>
                    </m:e>
                  </m:d>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x,t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x-1,t</m:t>
                          </m:r>
                        </m:sub>
                      </m:sSub>
                    </m:e>
                  </m:d>
                  <m:r>
                    <w:rPr>
                      <w:rFonts w:ascii="Cambria Math" w:hAnsi="Cambria Math"/>
                    </w:rPr>
                    <m:t>-</m:t>
                  </m:r>
                  <m:d>
                    <m:dPr>
                      <m:ctrlPr>
                        <w:rPr>
                          <w:rFonts w:ascii="Cambria Math" w:hAnsi="Cambria Math"/>
                          <w:i/>
                        </w:rPr>
                      </m:ctrlPr>
                    </m:dPr>
                    <m:e>
                      <m:f>
                        <m:fPr>
                          <m:type m:val="lin"/>
                          <m:ctrlPr>
                            <w:rPr>
                              <w:rFonts w:ascii="Cambria Math" w:hAnsi="Cambria Math"/>
                              <w:i/>
                            </w:rPr>
                          </m:ctrlPr>
                        </m:fPr>
                        <m:num>
                          <m:r>
                            <w:rPr>
                              <w:rFonts w:ascii="Cambria Math" w:hAnsi="Cambria Math"/>
                            </w:rPr>
                            <m:t>1</m:t>
                          </m:r>
                        </m:num>
                        <m:den>
                          <m:r>
                            <w:rPr>
                              <w:rFonts w:ascii="Cambria Math" w:hAnsi="Cambria Math"/>
                            </w:rPr>
                            <m:t>6</m:t>
                          </m:r>
                        </m:den>
                      </m:f>
                    </m:e>
                  </m:d>
                  <m:sSub>
                    <m:sSubPr>
                      <m:ctrlPr>
                        <w:rPr>
                          <w:rFonts w:ascii="Cambria Math" w:hAnsi="Cambria Math"/>
                          <w:i/>
                        </w:rPr>
                      </m:ctrlPr>
                    </m:sSubPr>
                    <m:e>
                      <m:r>
                        <w:rPr>
                          <w:rFonts w:ascii="Cambria Math" w:hAnsi="Cambria Math"/>
                        </w:rPr>
                        <m:t>m</m:t>
                      </m:r>
                    </m:e>
                    <m:sub>
                      <m:r>
                        <w:rPr>
                          <w:rFonts w:ascii="Cambria Math" w:hAnsi="Cambria Math"/>
                        </w:rPr>
                        <m:t>x,t</m:t>
                      </m:r>
                    </m:sub>
                  </m:sSub>
                  <m:sSub>
                    <m:sSubPr>
                      <m:ctrlPr>
                        <w:rPr>
                          <w:rFonts w:ascii="Cambria Math" w:hAnsi="Cambria Math"/>
                          <w:i/>
                        </w:rPr>
                      </m:ctrlPr>
                    </m:sSubPr>
                    <m:e>
                      <m:r>
                        <w:rPr>
                          <w:rFonts w:ascii="Cambria Math" w:hAnsi="Cambria Math"/>
                        </w:rPr>
                        <m:t>m</m:t>
                      </m:r>
                    </m:e>
                    <m:sub>
                      <m:r>
                        <w:rPr>
                          <w:rFonts w:ascii="Cambria Math" w:hAnsi="Cambria Math"/>
                        </w:rPr>
                        <m:t>x-1,t</m:t>
                      </m:r>
                    </m:sub>
                  </m:sSub>
                </m:den>
              </m:f>
            </m:e>
          </m:d>
        </m:oMath>
      </m:oMathPara>
    </w:p>
    <w:p w:rsidR="00EF0AEE" w:rsidRDefault="00F5072C" w:rsidP="00EF0AEE">
      <w:pPr>
        <w:jc w:val="right"/>
      </w:pPr>
      <w:r>
        <w:rPr>
          <w:i/>
        </w:rPr>
        <w:t>(</w:t>
      </w:r>
      <w:r w:rsidR="003423B2">
        <w:rPr>
          <w:i/>
        </w:rPr>
        <w:t>6</w:t>
      </w:r>
      <w:r>
        <w:rPr>
          <w:i/>
        </w:rPr>
        <w:t>)</w:t>
      </w:r>
    </w:p>
    <w:p w:rsidR="00EF0AEE" w:rsidRDefault="00EF0AEE" w:rsidP="00EF0AEE">
      <w:r>
        <w:t>and for ages over 100, the f</w:t>
      </w:r>
      <w:r w:rsidR="006D1CAF">
        <w:t>ollowing approximation is used:</w:t>
      </w:r>
    </w:p>
    <w:p w:rsidR="00EF0AEE" w:rsidRDefault="0045743B" w:rsidP="00EF0AEE">
      <m:oMathPara>
        <m:oMath>
          <m:sSub>
            <m:sSubPr>
              <m:ctrlPr>
                <w:rPr>
                  <w:rFonts w:ascii="Cambria Math" w:hAnsi="Cambria Math"/>
                  <w:i/>
                </w:rPr>
              </m:ctrlPr>
            </m:sSubPr>
            <m:e>
              <m:r>
                <w:rPr>
                  <w:rFonts w:ascii="Cambria Math" w:hAnsi="Cambria Math"/>
                </w:rPr>
                <m:t>q</m:t>
              </m:r>
            </m:e>
            <m:sub>
              <m:r>
                <w:rPr>
                  <w:rFonts w:ascii="Cambria Math" w:hAnsi="Cambria Math"/>
                </w:rPr>
                <m:t>x,t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x,t</m:t>
                  </m:r>
                </m:sub>
              </m:sSub>
            </m:num>
            <m:den>
              <m:r>
                <w:rPr>
                  <w:rFonts w:ascii="Cambria Math" w:hAnsi="Cambria Math"/>
                </w:rPr>
                <m:t>1+</m:t>
              </m:r>
              <m:sSub>
                <m:sSubPr>
                  <m:ctrlPr>
                    <w:rPr>
                      <w:rFonts w:ascii="Cambria Math" w:hAnsi="Cambria Math"/>
                      <w:i/>
                    </w:rPr>
                  </m:ctrlPr>
                </m:sSubPr>
                <m:e>
                  <m:r>
                    <w:rPr>
                      <w:rFonts w:ascii="Cambria Math" w:hAnsi="Cambria Math"/>
                    </w:rPr>
                    <m:t>m</m:t>
                  </m:r>
                </m:e>
                <m:sub>
                  <m:r>
                    <w:rPr>
                      <w:rFonts w:ascii="Cambria Math" w:hAnsi="Cambria Math"/>
                    </w:rPr>
                    <m:t>x,t</m:t>
                  </m:r>
                </m:sub>
              </m:sSub>
            </m:den>
          </m:f>
        </m:oMath>
      </m:oMathPara>
    </w:p>
    <w:p w:rsidR="006D1CAF" w:rsidRDefault="00F5072C" w:rsidP="006D1CAF">
      <w:pPr>
        <w:jc w:val="right"/>
      </w:pPr>
      <w:r>
        <w:rPr>
          <w:i/>
        </w:rPr>
        <w:t>(</w:t>
      </w:r>
      <w:r w:rsidR="003423B2">
        <w:rPr>
          <w:i/>
        </w:rPr>
        <w:t>7</w:t>
      </w:r>
      <w:r>
        <w:rPr>
          <w:i/>
        </w:rPr>
        <w:t>)</w:t>
      </w:r>
    </w:p>
    <w:p w:rsidR="00EF0AEE" w:rsidRDefault="00934FBC" w:rsidP="00A45265">
      <w:r>
        <w:t>Each year, a new year of mortality information is assumed to become available, so the projected mortality is recalculated.</w:t>
      </w:r>
    </w:p>
    <w:p w:rsidR="00BD03DB" w:rsidRDefault="00BD03DB" w:rsidP="00A45265">
      <w:r>
        <w:t>As well as allowing the cost of the defined benefit accrual to be calculated, I am also able to isolate the impact on the cost of changes in longevity.</w:t>
      </w:r>
    </w:p>
    <w:p w:rsidR="00A45265" w:rsidRPr="00F44EF4" w:rsidRDefault="00A45265" w:rsidP="005F1EA1">
      <w:pPr>
        <w:pStyle w:val="Heading2"/>
        <w:numPr>
          <w:ilvl w:val="1"/>
          <w:numId w:val="14"/>
        </w:numPr>
      </w:pPr>
      <w:r>
        <w:t>Benefit changes</w:t>
      </w:r>
    </w:p>
    <w:p w:rsidR="00164788" w:rsidRDefault="00A45265" w:rsidP="00A45265">
      <w:r>
        <w:t xml:space="preserve">A key </w:t>
      </w:r>
      <w:r w:rsidR="003C2323">
        <w:t>part of the analysis is the impact o</w:t>
      </w:r>
      <w:r w:rsidR="00BD03DB">
        <w:t>n the cost of pension accrual o</w:t>
      </w:r>
      <w:r w:rsidR="003C2323">
        <w:t xml:space="preserve">f </w:t>
      </w:r>
      <w:r w:rsidR="00BD03DB">
        <w:t xml:space="preserve">the </w:t>
      </w:r>
      <w:r w:rsidR="003C2323">
        <w:t>benefit changes that have occurred due to legislation.  The first of these was the requirement to provide increases to pensions in payment in line with the Retail Prices Index (RPI), subject to a maximum of 5% per annum, from 5 April 1997.  This is known as 5% Limited Price Indexation, or 5% LPI.  Prior to 5 April 1997, no increases to pensions in payment were required unless a scheme was contracted out from the State Earnings-Related Pension Scheme.  From April 2005, this minimum requirement was reduced, with the cap being cut to 2.</w:t>
      </w:r>
      <w:r w:rsidR="00164788">
        <w:t xml:space="preserve">5% per annum, giving 2.5% LPI.  In terms of </w:t>
      </w:r>
      <m:oMath>
        <m:sSubSup>
          <m:sSubSupPr>
            <m:ctrlPr>
              <w:rPr>
                <w:rFonts w:ascii="Cambria Math" w:hAnsi="Cambria Math"/>
                <w:i/>
              </w:rPr>
            </m:ctrlPr>
          </m:sSubSupPr>
          <m:e>
            <m:r>
              <w:rPr>
                <w:rFonts w:ascii="Cambria Math" w:hAnsi="Cambria Math"/>
              </w:rPr>
              <m:t>i</m:t>
            </m:r>
          </m:e>
          <m:sub>
            <m:r>
              <w:rPr>
                <w:rFonts w:ascii="Cambria Math" w:hAnsi="Cambria Math"/>
              </w:rPr>
              <m:t>t</m:t>
            </m:r>
          </m:sub>
          <m:sup>
            <m:r>
              <w:rPr>
                <w:rFonts w:ascii="Cambria Math" w:hAnsi="Cambria Math"/>
              </w:rPr>
              <m:t>c</m:t>
            </m:r>
          </m:sup>
        </m:sSubSup>
      </m:oMath>
      <w:r w:rsidR="00164788">
        <w:t xml:space="preserve">, this means that if, for example, the index is being considered at a time when 2.5% LPI is in force, the annual change in </w:t>
      </w:r>
      <m:oMath>
        <m:sSubSup>
          <m:sSubSupPr>
            <m:ctrlPr>
              <w:rPr>
                <w:rFonts w:ascii="Cambria Math" w:hAnsi="Cambria Math"/>
                <w:i/>
              </w:rPr>
            </m:ctrlPr>
          </m:sSubSupPr>
          <m:e>
            <m:r>
              <w:rPr>
                <w:rFonts w:ascii="Cambria Math" w:hAnsi="Cambria Math"/>
              </w:rPr>
              <m:t>i</m:t>
            </m:r>
          </m:e>
          <m:sub>
            <m:r>
              <w:rPr>
                <w:rFonts w:ascii="Cambria Math" w:hAnsi="Cambria Math"/>
              </w:rPr>
              <m:t>t</m:t>
            </m:r>
          </m:sub>
          <m:sup>
            <m:r>
              <w:rPr>
                <w:rFonts w:ascii="Cambria Math" w:hAnsi="Cambria Math"/>
              </w:rPr>
              <m:t>c</m:t>
            </m:r>
          </m:sup>
        </m:sSubSup>
      </m:oMath>
      <w:r w:rsidR="00164788">
        <w:t xml:space="preserve"> cannot exceed 2.5% even if the change in RPI is greater than 2.5%.</w:t>
      </w:r>
    </w:p>
    <w:p w:rsidR="00F44EF4" w:rsidRDefault="003C2323" w:rsidP="00A45265">
      <w:r>
        <w:t>From 5 April 2011 the rate of inflation used in the calculation of benefits was changed from the Retail Prices Index to the Consumer Prices Index</w:t>
      </w:r>
      <w:r w:rsidR="007A018A">
        <w:t xml:space="preserve"> (CPI)</w:t>
      </w:r>
      <w:r>
        <w:t xml:space="preserve">.  This applies to </w:t>
      </w:r>
      <w:r w:rsidR="007A018A">
        <w:t>both the rate underlying the 5% LPI increases to pensions in payment, and also to the increases to pensions in the period before retirement.  As stated in the section</w:t>
      </w:r>
      <w:r w:rsidR="005F67D5">
        <w:t xml:space="preserve"> 3.1</w:t>
      </w:r>
      <w:r w:rsidR="007A018A">
        <w:t xml:space="preserve">, the pension accrued in any year is revalued to retirement in </w:t>
      </w:r>
      <w:r w:rsidR="007A018A">
        <w:lastRenderedPageBreak/>
        <w:t>line with price inflation, subject to a maximum of 5% per annum over the period.  Before 5 April 2011, this measure of inflation was RPI; after this date it was CPI.</w:t>
      </w:r>
    </w:p>
    <w:p w:rsidR="005F67D5" w:rsidRDefault="005F67D5" w:rsidP="005F67D5">
      <w:r>
        <w:t>As with the longevity cost, the change in the minimum benefits allows me not only to calculate the change in the cost of benefit accrual, but also to isolate the impact on benefit accrual of the change in the minimum benefits payable.</w:t>
      </w:r>
    </w:p>
    <w:p w:rsidR="00645470" w:rsidRDefault="007A018A" w:rsidP="00645470">
      <w:r>
        <w:t xml:space="preserve">In practice, </w:t>
      </w:r>
      <w:r w:rsidR="00645470">
        <w:t xml:space="preserve">an individual </w:t>
      </w:r>
      <w:r>
        <w:t xml:space="preserve">may have </w:t>
      </w:r>
      <w:r w:rsidR="00645470">
        <w:t xml:space="preserve">experienced </w:t>
      </w:r>
      <w:r>
        <w:t>benefit changes over the last two decades</w:t>
      </w:r>
      <w:r w:rsidR="00645470">
        <w:t xml:space="preserve"> other than those dictated by legislation</w:t>
      </w:r>
      <w:r>
        <w:t>.  Key amongst these is the change to a CARE basis from a final salary arrangement.  Whilst the former allows for pensions to increase up to retirement in line with prices, the latter allows for an increase in line with salaries.  The impact of this change depends on the difference between</w:t>
      </w:r>
      <w:r w:rsidR="00645470">
        <w:t xml:space="preserve"> future salary and price inflation, and the age at which any change occurs.  Another potential change is a change to the retirement age, which again could take many forms.  As such, I look at the order of magnitude that such changes might bring but they do not form part of the central analysis.</w:t>
      </w:r>
    </w:p>
    <w:p w:rsidR="00645470" w:rsidRPr="00F44EF4" w:rsidRDefault="00645470" w:rsidP="00645470">
      <w:pPr>
        <w:pStyle w:val="Heading2"/>
        <w:numPr>
          <w:ilvl w:val="1"/>
          <w:numId w:val="14"/>
        </w:numPr>
      </w:pPr>
      <w:r>
        <w:t>Interest rate changes</w:t>
      </w:r>
    </w:p>
    <w:p w:rsidR="00164788" w:rsidRDefault="00FA4CD5" w:rsidP="00FA4CD5">
      <w:r>
        <w:t xml:space="preserve">Cribb and Emmerson </w:t>
      </w:r>
      <w:r w:rsidR="00645470">
        <w:t>(2016)</w:t>
      </w:r>
      <w:r>
        <w:t xml:space="preserve"> make a key simplification in their model of pension costs, in that they assume a real discount rate of 3% per annum.  This simplification is appropriate for single-period cross-sectional analysis.  However, as I show in this paper, the change in discount rate has been an important factor in the changing value of defin</w:t>
      </w:r>
      <w:r w:rsidR="00164788">
        <w:t>ed benefit pensions.</w:t>
      </w:r>
    </w:p>
    <w:p w:rsidR="00FA4CD5" w:rsidRDefault="00164788" w:rsidP="00FA4CD5">
      <w:r>
        <w:t xml:space="preserve">The discount rate has more than one component.  First, there are the inflation rates used to project benefits.  Even if the benefit structure is not changing, the assumed rate of inflation by whatever measure is appropriate will develop over time.  For RPI, the assumed rate of inflation is taken from the Bank of England’s </w:t>
      </w:r>
      <w:r w:rsidR="0066695A">
        <w:t xml:space="preserve">implied </w:t>
      </w:r>
      <w:r>
        <w:t>inflation spot</w:t>
      </w:r>
      <w:r w:rsidR="0066695A">
        <w:t xml:space="preserve"> curve.  This is calculated from the Bank of England’s nominal and real government bond spot curves.</w:t>
      </w:r>
    </w:p>
    <w:p w:rsidR="00FA4CD5" w:rsidRDefault="0066695A" w:rsidP="009F3968">
      <w:r>
        <w:t>All index-linked UK government bonds pay coupons based on RPI.  As such, information on the CPI spot curve is harder to find.  I therefore approximate it by deducting the average difference between historical RPI and CPI for the ten years before the calculation date from the implied inflation spot curve.</w:t>
      </w:r>
    </w:p>
    <w:p w:rsidR="00164788" w:rsidRDefault="00164788" w:rsidP="009F3968">
      <w:r>
        <w:t xml:space="preserve">The </w:t>
      </w:r>
      <w:r w:rsidR="0066695A">
        <w:t>projected cash flows are discounted using</w:t>
      </w:r>
      <w:r>
        <w:t xml:space="preserve"> the spot rate on the UK nominal government bond yield curve at the appropriate term, as calculated by the Bank of England, plus a risk premium.  The risk premium is 1% per annum, which is consistent with the difference between the median single effective discount rate (SEDR) and the Bank of England 20-year nominal spot rate observed by the Pensions Regulator (2016) from 2005 to 2014</w:t>
      </w:r>
      <w:r w:rsidR="0066695A">
        <w:t>.</w:t>
      </w:r>
    </w:p>
    <w:p w:rsidR="00FA4CD5" w:rsidRDefault="006C6877" w:rsidP="006C6877">
      <w:pPr>
        <w:pStyle w:val="Heading1"/>
        <w:numPr>
          <w:ilvl w:val="0"/>
          <w:numId w:val="14"/>
        </w:numPr>
      </w:pPr>
      <w:r>
        <w:t>Calculating the change in earnings</w:t>
      </w:r>
    </w:p>
    <w:p w:rsidR="00F411AE" w:rsidRDefault="00F411AE" w:rsidP="00F411AE">
      <w:r>
        <w:t>It is interesting to look at how the cost of defined benefit pensions has changed as a proportion of an individual’s earnings.  However, it is also instructive to combine this information with the changes in earnings themselves – both from the employer’s and the employee’s point of view.  From the employer’s point of view, I compare</w:t>
      </w:r>
    </w:p>
    <w:p w:rsidR="00F411AE" w:rsidRDefault="00F411AE" w:rsidP="00F411AE">
      <w:pPr>
        <w:pStyle w:val="ListParagraph"/>
        <w:numPr>
          <w:ilvl w:val="0"/>
          <w:numId w:val="21"/>
        </w:numPr>
      </w:pPr>
      <w:r>
        <w:t>gross earnings excluding pensions;</w:t>
      </w:r>
    </w:p>
    <w:p w:rsidR="00F411AE" w:rsidRDefault="00F411AE" w:rsidP="00F411AE">
      <w:pPr>
        <w:pStyle w:val="ListParagraph"/>
        <w:numPr>
          <w:ilvl w:val="0"/>
          <w:numId w:val="21"/>
        </w:numPr>
      </w:pPr>
      <w:r>
        <w:t xml:space="preserve">gross earnings </w:t>
      </w:r>
      <w:r w:rsidRPr="00F411AE">
        <w:rPr>
          <w:i/>
        </w:rPr>
        <w:t xml:space="preserve">plus </w:t>
      </w:r>
      <w:r>
        <w:t>employer National Insurance Contributions (NICs); and</w:t>
      </w:r>
    </w:p>
    <w:p w:rsidR="00F411AE" w:rsidRDefault="00F411AE" w:rsidP="00F411AE">
      <w:pPr>
        <w:pStyle w:val="ListParagraph"/>
        <w:numPr>
          <w:ilvl w:val="0"/>
          <w:numId w:val="21"/>
        </w:numPr>
      </w:pPr>
      <w:r>
        <w:t xml:space="preserve">gross earnings </w:t>
      </w:r>
      <w:r w:rsidRPr="00F411AE">
        <w:rPr>
          <w:i/>
        </w:rPr>
        <w:t xml:space="preserve">plus </w:t>
      </w:r>
      <w:r>
        <w:t xml:space="preserve">employer National Insurance Contributions (NICs) </w:t>
      </w:r>
      <w:r w:rsidRPr="00F411AE">
        <w:rPr>
          <w:i/>
        </w:rPr>
        <w:t>plus</w:t>
      </w:r>
      <w:r>
        <w:t xml:space="preserve"> defined benefit pension accrual.</w:t>
      </w:r>
    </w:p>
    <w:p w:rsidR="00F411AE" w:rsidRDefault="00F411AE" w:rsidP="00F411AE">
      <w:r>
        <w:t>From the employee’s point of view, I compare</w:t>
      </w:r>
    </w:p>
    <w:p w:rsidR="00F411AE" w:rsidRDefault="00F411AE" w:rsidP="00F411AE">
      <w:pPr>
        <w:pStyle w:val="ListParagraph"/>
        <w:numPr>
          <w:ilvl w:val="0"/>
          <w:numId w:val="21"/>
        </w:numPr>
      </w:pPr>
      <w:r>
        <w:lastRenderedPageBreak/>
        <w:t>gross earnings excluding pensions;</w:t>
      </w:r>
    </w:p>
    <w:p w:rsidR="00F411AE" w:rsidRDefault="00F411AE" w:rsidP="00F411AE">
      <w:pPr>
        <w:pStyle w:val="ListParagraph"/>
        <w:numPr>
          <w:ilvl w:val="0"/>
          <w:numId w:val="21"/>
        </w:numPr>
      </w:pPr>
      <w:r>
        <w:t xml:space="preserve">gross earnings </w:t>
      </w:r>
      <w:r w:rsidRPr="00F411AE">
        <w:rPr>
          <w:i/>
        </w:rPr>
        <w:t>l</w:t>
      </w:r>
      <w:r>
        <w:rPr>
          <w:i/>
        </w:rPr>
        <w:t>ess</w:t>
      </w:r>
      <w:r w:rsidRPr="00F411AE">
        <w:rPr>
          <w:i/>
        </w:rPr>
        <w:t xml:space="preserve"> </w:t>
      </w:r>
      <w:r>
        <w:t>employee National Insurance Contributions (NICs) and income tax; and</w:t>
      </w:r>
    </w:p>
    <w:p w:rsidR="00F411AE" w:rsidRDefault="00F411AE" w:rsidP="00F411AE">
      <w:pPr>
        <w:pStyle w:val="ListParagraph"/>
        <w:numPr>
          <w:ilvl w:val="0"/>
          <w:numId w:val="21"/>
        </w:numPr>
      </w:pPr>
      <w:r>
        <w:t xml:space="preserve">gross earnings </w:t>
      </w:r>
      <w:r w:rsidRPr="00F411AE">
        <w:rPr>
          <w:i/>
        </w:rPr>
        <w:t>l</w:t>
      </w:r>
      <w:r>
        <w:rPr>
          <w:i/>
        </w:rPr>
        <w:t>ess</w:t>
      </w:r>
      <w:r w:rsidRPr="00F411AE">
        <w:rPr>
          <w:i/>
        </w:rPr>
        <w:t xml:space="preserve"> </w:t>
      </w:r>
      <w:r>
        <w:t xml:space="preserve">employee National Insurance Contributions (NICs) and income tax </w:t>
      </w:r>
      <w:r w:rsidRPr="00F411AE">
        <w:rPr>
          <w:i/>
        </w:rPr>
        <w:t>plus</w:t>
      </w:r>
      <w:r>
        <w:t xml:space="preserve"> defined benefit pension accrual.</w:t>
      </w:r>
    </w:p>
    <w:p w:rsidR="00F12560" w:rsidRDefault="008505E9" w:rsidP="009F3968">
      <w:r>
        <w:t>Initially, I define gross earnings as</w:t>
      </w:r>
      <w:r w:rsidR="00F12560">
        <w:t xml:space="preserve"> UK </w:t>
      </w:r>
      <w:r w:rsidR="003C07B7">
        <w:t xml:space="preserve">Private Sector </w:t>
      </w:r>
      <w:r w:rsidR="00F12560">
        <w:t xml:space="preserve">Average Weekly Earnings from January 2000, and the UK </w:t>
      </w:r>
      <w:r w:rsidR="003C07B7">
        <w:t xml:space="preserve">Private Sector </w:t>
      </w:r>
      <w:r w:rsidR="00F12560">
        <w:t>Average Earnings Index before this</w:t>
      </w:r>
      <w:r w:rsidR="003C07B7">
        <w:t>, both on a seasonally adjusted basis and including bonuses</w:t>
      </w:r>
      <w:r w:rsidR="00F12560">
        <w:t>.  As these series overlap, I am able to construct a continuous series of annual earnings for the full period of analysis</w:t>
      </w:r>
      <w:r w:rsidR="004E20AA">
        <w:t xml:space="preserve">.  Annual figures for each twelve-month period running from April to the following March </w:t>
      </w:r>
      <w:r w:rsidR="003C07B7">
        <w:t>are</w:t>
      </w:r>
      <w:r w:rsidR="004E20AA">
        <w:t xml:space="preserve"> calculated by converting the weekly earnings figure for each month to a monthly figure, and then aggregating over the twelve months.  </w:t>
      </w:r>
      <w:r w:rsidR="00F12560">
        <w:t xml:space="preserve">The gross earnings series for </w:t>
      </w:r>
      <w:r w:rsidR="004E20AA">
        <w:t>the twelve-month period</w:t>
      </w:r>
      <w:r w:rsidR="00F12560">
        <w:t xml:space="preserve"> </w:t>
      </w:r>
      <m:oMath>
        <m:r>
          <w:rPr>
            <w:rFonts w:ascii="Cambria Math" w:hAnsi="Cambria Math"/>
          </w:rPr>
          <m:t>t</m:t>
        </m:r>
      </m:oMath>
      <w:r w:rsidR="00F12560">
        <w:t xml:space="preserve"> is </w:t>
      </w:r>
      <m:oMath>
        <m:sSub>
          <m:sSubPr>
            <m:ctrlPr>
              <w:rPr>
                <w:rFonts w:ascii="Cambria Math" w:hAnsi="Cambria Math"/>
                <w:i/>
              </w:rPr>
            </m:ctrlPr>
          </m:sSubPr>
          <m:e>
            <m:r>
              <w:rPr>
                <w:rFonts w:ascii="Cambria Math" w:hAnsi="Cambria Math"/>
              </w:rPr>
              <m:t>G</m:t>
            </m:r>
          </m:e>
          <m:sub>
            <m:r>
              <w:rPr>
                <w:rFonts w:ascii="Cambria Math" w:hAnsi="Cambria Math"/>
              </w:rPr>
              <m:t>t</m:t>
            </m:r>
          </m:sub>
        </m:sSub>
      </m:oMath>
      <w:r w:rsidR="00F12560">
        <w:t xml:space="preserve">.  The percentage change in </w:t>
      </w:r>
      <m:oMath>
        <m:sSub>
          <m:sSubPr>
            <m:ctrlPr>
              <w:rPr>
                <w:rFonts w:ascii="Cambria Math" w:hAnsi="Cambria Math"/>
                <w:i/>
              </w:rPr>
            </m:ctrlPr>
          </m:sSubPr>
          <m:e>
            <m:r>
              <w:rPr>
                <w:rFonts w:ascii="Cambria Math" w:hAnsi="Cambria Math"/>
              </w:rPr>
              <m:t>G</m:t>
            </m:r>
          </m:e>
          <m:sub>
            <m:r>
              <w:rPr>
                <w:rFonts w:ascii="Cambria Math" w:hAnsi="Cambria Math"/>
              </w:rPr>
              <m:t>t</m:t>
            </m:r>
          </m:sub>
        </m:sSub>
      </m:oMath>
      <w:r w:rsidR="00F12560">
        <w:t xml:space="preserve"> is then defined as:</w:t>
      </w:r>
    </w:p>
    <w:p w:rsidR="00F12560" w:rsidRDefault="00F12560" w:rsidP="009F3968">
      <m:oMathPara>
        <m:oMath>
          <m:r>
            <m:rPr>
              <m:sty m:val="p"/>
            </m:rPr>
            <w:rPr>
              <w:rFonts w:ascii="Cambria Math" w:hAnsi="Cambria Math"/>
            </w:rPr>
            <m:t>Δ</m:t>
          </m:r>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t</m:t>
                  </m:r>
                </m:sub>
              </m:sSub>
            </m:num>
            <m:den>
              <m:sSub>
                <m:sSubPr>
                  <m:ctrlPr>
                    <w:rPr>
                      <w:rFonts w:ascii="Cambria Math" w:hAnsi="Cambria Math"/>
                      <w:i/>
                    </w:rPr>
                  </m:ctrlPr>
                </m:sSubPr>
                <m:e>
                  <m:r>
                    <w:rPr>
                      <w:rFonts w:ascii="Cambria Math" w:hAnsi="Cambria Math"/>
                    </w:rPr>
                    <m:t>G</m:t>
                  </m:r>
                </m:e>
                <m:sub>
                  <m:r>
                    <w:rPr>
                      <w:rFonts w:ascii="Cambria Math" w:hAnsi="Cambria Math"/>
                    </w:rPr>
                    <m:t>t-1</m:t>
                  </m:r>
                </m:sub>
              </m:sSub>
            </m:den>
          </m:f>
          <m:r>
            <w:rPr>
              <w:rFonts w:ascii="Cambria Math" w:hAnsi="Cambria Math"/>
            </w:rPr>
            <m:t>-1</m:t>
          </m:r>
        </m:oMath>
      </m:oMathPara>
    </w:p>
    <w:p w:rsidR="00F411AE" w:rsidRPr="00F5072C" w:rsidRDefault="00F5072C" w:rsidP="00F5072C">
      <w:pPr>
        <w:jc w:val="right"/>
        <w:rPr>
          <w:i/>
        </w:rPr>
      </w:pPr>
      <w:r w:rsidRPr="00F5072C">
        <w:rPr>
          <w:i/>
        </w:rPr>
        <w:t>(</w:t>
      </w:r>
      <w:r w:rsidR="003423B2">
        <w:rPr>
          <w:i/>
        </w:rPr>
        <w:t>8</w:t>
      </w:r>
      <w:r w:rsidRPr="00F5072C">
        <w:rPr>
          <w:i/>
        </w:rPr>
        <w:t>)</w:t>
      </w:r>
    </w:p>
    <w:p w:rsidR="00F12560" w:rsidRDefault="00F5072C" w:rsidP="009F3968">
      <w:r>
        <w:t xml:space="preserve">To determine the </w:t>
      </w:r>
      <w:r w:rsidR="00502335">
        <w:t xml:space="preserve">change in the </w:t>
      </w:r>
      <w:r>
        <w:t>total cost to the employer before pensions</w:t>
      </w:r>
      <w:r w:rsidR="00502335">
        <w:t xml:space="preserve">, which I denote </w:t>
      </w:r>
      <m:oMath>
        <m:r>
          <m:rPr>
            <m:sty m:val="p"/>
          </m:rPr>
          <w:rPr>
            <w:rFonts w:ascii="Cambria Math" w:hAnsi="Cambria Math"/>
          </w:rPr>
          <m:t>Δ</m:t>
        </m:r>
        <m:sSubSup>
          <m:sSubSupPr>
            <m:ctrlPr>
              <w:rPr>
                <w:rFonts w:ascii="Cambria Math" w:hAnsi="Cambria Math"/>
                <w:i/>
              </w:rPr>
            </m:ctrlPr>
          </m:sSubSupPr>
          <m:e>
            <m:r>
              <w:rPr>
                <w:rFonts w:ascii="Cambria Math" w:hAnsi="Cambria Math"/>
              </w:rPr>
              <m:t>N</m:t>
            </m:r>
          </m:e>
          <m:sub>
            <m:r>
              <w:rPr>
                <w:rFonts w:ascii="Cambria Math" w:hAnsi="Cambria Math"/>
              </w:rPr>
              <m:t>t</m:t>
            </m:r>
          </m:sub>
          <m:sup>
            <m:r>
              <w:rPr>
                <w:rFonts w:ascii="Cambria Math" w:hAnsi="Cambria Math"/>
              </w:rPr>
              <m:t>er</m:t>
            </m:r>
          </m:sup>
        </m:sSubSup>
      </m:oMath>
      <w:r>
        <w:t xml:space="preserve">, </w:t>
      </w:r>
      <w:r w:rsidR="00502335">
        <w:t>employer national insurance contributions,</w:t>
      </w:r>
      <w:r w:rsidR="00F41CCF">
        <w:t xml:space="preserve"> </w:t>
      </w:r>
      <m:oMath>
        <m:sSubSup>
          <m:sSubSupPr>
            <m:ctrlPr>
              <w:rPr>
                <w:rFonts w:ascii="Cambria Math" w:hAnsi="Cambria Math"/>
                <w:i/>
              </w:rPr>
            </m:ctrlPr>
          </m:sSubSupPr>
          <m:e>
            <m:r>
              <w:rPr>
                <w:rFonts w:ascii="Cambria Math" w:hAnsi="Cambria Math"/>
              </w:rPr>
              <m:t>NIC</m:t>
            </m:r>
          </m:e>
          <m:sub>
            <m:r>
              <w:rPr>
                <w:rFonts w:ascii="Cambria Math" w:hAnsi="Cambria Math"/>
              </w:rPr>
              <m:t>t</m:t>
            </m:r>
          </m:sub>
          <m:sup>
            <m:r>
              <w:rPr>
                <w:rFonts w:ascii="Cambria Math" w:hAnsi="Cambria Math"/>
              </w:rPr>
              <m:t>er</m:t>
            </m:r>
          </m:sup>
        </m:sSubSup>
      </m:oMath>
      <w:r w:rsidR="00502335">
        <w:t xml:space="preserve"> , must be added to the</w:t>
      </w:r>
      <w:r w:rsidR="003423B2">
        <w:t xml:space="preserve"> numerator and denominator of (8</w:t>
      </w:r>
      <w:r w:rsidR="00502335">
        <w:t>):</w:t>
      </w:r>
      <w:r>
        <w:t xml:space="preserve"> </w:t>
      </w:r>
    </w:p>
    <w:p w:rsidR="008505E9" w:rsidRDefault="00502335" w:rsidP="009F3968">
      <m:oMathPara>
        <m:oMath>
          <m:r>
            <m:rPr>
              <m:sty m:val="p"/>
            </m:rPr>
            <w:rPr>
              <w:rFonts w:ascii="Cambria Math" w:hAnsi="Cambria Math"/>
            </w:rPr>
            <m:t>Δ</m:t>
          </m:r>
          <m:sSubSup>
            <m:sSubSupPr>
              <m:ctrlPr>
                <w:rPr>
                  <w:rFonts w:ascii="Cambria Math" w:hAnsi="Cambria Math"/>
                  <w:i/>
                </w:rPr>
              </m:ctrlPr>
            </m:sSubSupPr>
            <m:e>
              <m:r>
                <w:rPr>
                  <w:rFonts w:ascii="Cambria Math" w:hAnsi="Cambria Math"/>
                </w:rPr>
                <m:t>N</m:t>
              </m:r>
            </m:e>
            <m:sub>
              <m:r>
                <w:rPr>
                  <w:rFonts w:ascii="Cambria Math" w:hAnsi="Cambria Math"/>
                </w:rPr>
                <m:t>t</m:t>
              </m:r>
            </m:sub>
            <m:sup>
              <m:r>
                <w:rPr>
                  <w:rFonts w:ascii="Cambria Math" w:hAnsi="Cambria Math"/>
                </w:rPr>
                <m:t>er</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NIC</m:t>
                  </m:r>
                </m:e>
                <m:sub>
                  <m:r>
                    <w:rPr>
                      <w:rFonts w:ascii="Cambria Math" w:hAnsi="Cambria Math"/>
                    </w:rPr>
                    <m:t>t</m:t>
                  </m:r>
                </m:sub>
                <m:sup>
                  <m:r>
                    <w:rPr>
                      <w:rFonts w:ascii="Cambria Math" w:hAnsi="Cambria Math"/>
                    </w:rPr>
                    <m:t>er</m:t>
                  </m:r>
                </m:sup>
              </m:sSubSup>
            </m:num>
            <m:den>
              <m:sSub>
                <m:sSubPr>
                  <m:ctrlPr>
                    <w:rPr>
                      <w:rFonts w:ascii="Cambria Math" w:hAnsi="Cambria Math"/>
                      <w:i/>
                    </w:rPr>
                  </m:ctrlPr>
                </m:sSubPr>
                <m:e>
                  <m:r>
                    <w:rPr>
                      <w:rFonts w:ascii="Cambria Math" w:hAnsi="Cambria Math"/>
                    </w:rPr>
                    <m:t>G</m:t>
                  </m:r>
                </m:e>
                <m:sub>
                  <m:r>
                    <w:rPr>
                      <w:rFonts w:ascii="Cambria Math" w:hAnsi="Cambria Math"/>
                    </w:rPr>
                    <m:t>t-1</m:t>
                  </m:r>
                </m:sub>
              </m:sSub>
              <m:r>
                <w:rPr>
                  <w:rFonts w:ascii="Cambria Math" w:hAnsi="Cambria Math"/>
                </w:rPr>
                <m:t>+</m:t>
              </m:r>
              <m:sSubSup>
                <m:sSubSupPr>
                  <m:ctrlPr>
                    <w:rPr>
                      <w:rFonts w:ascii="Cambria Math" w:hAnsi="Cambria Math"/>
                      <w:i/>
                    </w:rPr>
                  </m:ctrlPr>
                </m:sSubSupPr>
                <m:e>
                  <m:r>
                    <w:rPr>
                      <w:rFonts w:ascii="Cambria Math" w:hAnsi="Cambria Math"/>
                    </w:rPr>
                    <m:t>NIC</m:t>
                  </m:r>
                </m:e>
                <m:sub>
                  <m:r>
                    <w:rPr>
                      <w:rFonts w:ascii="Cambria Math" w:hAnsi="Cambria Math"/>
                    </w:rPr>
                    <m:t>t-1</m:t>
                  </m:r>
                </m:sub>
                <m:sup>
                  <m:r>
                    <w:rPr>
                      <w:rFonts w:ascii="Cambria Math" w:hAnsi="Cambria Math"/>
                    </w:rPr>
                    <m:t>er</m:t>
                  </m:r>
                </m:sup>
              </m:sSubSup>
            </m:den>
          </m:f>
          <m:r>
            <w:rPr>
              <w:rFonts w:ascii="Cambria Math" w:hAnsi="Cambria Math"/>
            </w:rPr>
            <m:t>-1</m:t>
          </m:r>
        </m:oMath>
      </m:oMathPara>
    </w:p>
    <w:p w:rsidR="008505E9" w:rsidRPr="00502335" w:rsidRDefault="00502335" w:rsidP="00502335">
      <w:pPr>
        <w:jc w:val="right"/>
        <w:rPr>
          <w:i/>
        </w:rPr>
      </w:pPr>
      <w:r w:rsidRPr="00502335">
        <w:rPr>
          <w:i/>
        </w:rPr>
        <w:t>(</w:t>
      </w:r>
      <w:r w:rsidR="003423B2">
        <w:rPr>
          <w:i/>
        </w:rPr>
        <w:t>9</w:t>
      </w:r>
      <w:r w:rsidRPr="00502335">
        <w:rPr>
          <w:i/>
        </w:rPr>
        <w:t>)</w:t>
      </w:r>
    </w:p>
    <w:p w:rsidR="00F41CCF" w:rsidRDefault="00C439A7" w:rsidP="00F41CCF">
      <w:r>
        <w:t xml:space="preserve">The change in net earnings including the cost of pension accrual from the employer’s point of view </w:t>
      </w:r>
      <w:r w:rsidR="003C6AD9">
        <w:t xml:space="preserve">for an individual aged </w:t>
      </w:r>
      <m:oMath>
        <m:r>
          <w:rPr>
            <w:rFonts w:ascii="Cambria Math" w:hAnsi="Cambria Math"/>
          </w:rPr>
          <m:t>x</m:t>
        </m:r>
      </m:oMath>
      <w:r w:rsidR="003C6AD9">
        <w:t xml:space="preserve"> for the year to time </w:t>
      </w:r>
      <m:oMath>
        <m:r>
          <w:rPr>
            <w:rFonts w:ascii="Cambria Math" w:hAnsi="Cambria Math"/>
          </w:rPr>
          <m:t>t</m:t>
        </m:r>
      </m:oMath>
      <w:r w:rsidR="003C6AD9">
        <w:t xml:space="preserve"> </w:t>
      </w:r>
      <w:r>
        <w:t xml:space="preserve">is </w:t>
      </w:r>
      <m:oMath>
        <m:r>
          <m:rPr>
            <m:sty m:val="p"/>
          </m:rPr>
          <w:rPr>
            <w:rFonts w:ascii="Cambria Math" w:hAnsi="Cambria Math"/>
          </w:rPr>
          <m:t>Δ</m:t>
        </m:r>
        <m:sSubSup>
          <m:sSubSupPr>
            <m:ctrlPr>
              <w:rPr>
                <w:rFonts w:ascii="Cambria Math" w:hAnsi="Cambria Math"/>
                <w:i/>
              </w:rPr>
            </m:ctrlPr>
          </m:sSubSupPr>
          <m:e>
            <m:r>
              <w:rPr>
                <w:rFonts w:ascii="Cambria Math" w:hAnsi="Cambria Math"/>
              </w:rPr>
              <m:t>T</m:t>
            </m:r>
          </m:e>
          <m:sub>
            <m:r>
              <w:rPr>
                <w:rFonts w:ascii="Cambria Math" w:hAnsi="Cambria Math"/>
              </w:rPr>
              <m:t>x,t</m:t>
            </m:r>
          </m:sub>
          <m:sup>
            <m:r>
              <w:rPr>
                <w:rFonts w:ascii="Cambria Math" w:hAnsi="Cambria Math"/>
              </w:rPr>
              <m:t>er</m:t>
            </m:r>
          </m:sup>
        </m:sSubSup>
      </m:oMath>
      <w:r>
        <w:t>, defined as</w:t>
      </w:r>
      <w:r w:rsidR="00F41CCF">
        <w:t xml:space="preserve">: </w:t>
      </w:r>
    </w:p>
    <w:p w:rsidR="00F41CCF" w:rsidRDefault="00F41CCF" w:rsidP="00F41CCF">
      <m:oMathPara>
        <m:oMath>
          <m:r>
            <m:rPr>
              <m:sty m:val="p"/>
            </m:rPr>
            <w:rPr>
              <w:rFonts w:ascii="Cambria Math" w:hAnsi="Cambria Math"/>
            </w:rPr>
            <m:t>Δ</m:t>
          </m:r>
          <m:sSubSup>
            <m:sSubSupPr>
              <m:ctrlPr>
                <w:rPr>
                  <w:rFonts w:ascii="Cambria Math" w:hAnsi="Cambria Math"/>
                  <w:i/>
                </w:rPr>
              </m:ctrlPr>
            </m:sSubSupPr>
            <m:e>
              <m:r>
                <w:rPr>
                  <w:rFonts w:ascii="Cambria Math" w:hAnsi="Cambria Math"/>
                </w:rPr>
                <m:t>T</m:t>
              </m:r>
            </m:e>
            <m:sub>
              <m:r>
                <w:rPr>
                  <w:rFonts w:ascii="Cambria Math" w:hAnsi="Cambria Math"/>
                </w:rPr>
                <m:t>x,t</m:t>
              </m:r>
            </m:sub>
            <m:sup>
              <m:r>
                <w:rPr>
                  <w:rFonts w:ascii="Cambria Math" w:hAnsi="Cambria Math"/>
                </w:rPr>
                <m:t>er</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NIC</m:t>
                  </m:r>
                </m:e>
                <m:sub>
                  <m:r>
                    <w:rPr>
                      <w:rFonts w:ascii="Cambria Math" w:hAnsi="Cambria Math"/>
                    </w:rPr>
                    <m:t>t</m:t>
                  </m:r>
                </m:sub>
                <m:sup>
                  <m:r>
                    <w:rPr>
                      <w:rFonts w:ascii="Cambria Math" w:hAnsi="Cambria Math"/>
                    </w:rPr>
                    <m:t>er</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x,t</m:t>
                      </m:r>
                    </m:sub>
                  </m:sSub>
                </m:e>
              </m:d>
            </m:num>
            <m:den>
              <m:sSub>
                <m:sSubPr>
                  <m:ctrlPr>
                    <w:rPr>
                      <w:rFonts w:ascii="Cambria Math" w:hAnsi="Cambria Math"/>
                      <w:i/>
                    </w:rPr>
                  </m:ctrlPr>
                </m:sSubPr>
                <m:e>
                  <m:r>
                    <w:rPr>
                      <w:rFonts w:ascii="Cambria Math" w:hAnsi="Cambria Math"/>
                    </w:rPr>
                    <m:t>G</m:t>
                  </m:r>
                </m:e>
                <m:sub>
                  <m:r>
                    <w:rPr>
                      <w:rFonts w:ascii="Cambria Math" w:hAnsi="Cambria Math"/>
                    </w:rPr>
                    <m:t>t-1</m:t>
                  </m:r>
                </m:sub>
              </m:sSub>
              <m:r>
                <w:rPr>
                  <w:rFonts w:ascii="Cambria Math" w:hAnsi="Cambria Math"/>
                </w:rPr>
                <m:t>+</m:t>
              </m:r>
              <m:sSubSup>
                <m:sSubSupPr>
                  <m:ctrlPr>
                    <w:rPr>
                      <w:rFonts w:ascii="Cambria Math" w:hAnsi="Cambria Math"/>
                      <w:i/>
                    </w:rPr>
                  </m:ctrlPr>
                </m:sSubSupPr>
                <m:e>
                  <m:r>
                    <w:rPr>
                      <w:rFonts w:ascii="Cambria Math" w:hAnsi="Cambria Math"/>
                    </w:rPr>
                    <m:t>NIC</m:t>
                  </m:r>
                </m:e>
                <m:sub>
                  <m:r>
                    <w:rPr>
                      <w:rFonts w:ascii="Cambria Math" w:hAnsi="Cambria Math"/>
                    </w:rPr>
                    <m:t>t-1</m:t>
                  </m:r>
                </m:sub>
                <m:sup>
                  <m:r>
                    <w:rPr>
                      <w:rFonts w:ascii="Cambria Math" w:hAnsi="Cambria Math"/>
                    </w:rPr>
                    <m:t>er</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x,t-1</m:t>
                      </m:r>
                    </m:sub>
                  </m:sSub>
                </m:e>
              </m:d>
            </m:den>
          </m:f>
          <m:r>
            <w:rPr>
              <w:rFonts w:ascii="Cambria Math" w:hAnsi="Cambria Math"/>
            </w:rPr>
            <m:t>-1</m:t>
          </m:r>
        </m:oMath>
      </m:oMathPara>
    </w:p>
    <w:p w:rsidR="00F41CCF" w:rsidRPr="00502335" w:rsidRDefault="00F41CCF" w:rsidP="00F41CCF">
      <w:pPr>
        <w:jc w:val="right"/>
        <w:rPr>
          <w:i/>
        </w:rPr>
      </w:pPr>
      <w:r w:rsidRPr="00502335">
        <w:rPr>
          <w:i/>
        </w:rPr>
        <w:t>(</w:t>
      </w:r>
      <w:r w:rsidR="003423B2">
        <w:rPr>
          <w:i/>
        </w:rPr>
        <w:t>10</w:t>
      </w:r>
      <w:r w:rsidRPr="00502335">
        <w:rPr>
          <w:i/>
        </w:rPr>
        <w:t>)</w:t>
      </w:r>
    </w:p>
    <w:p w:rsidR="00F41CCF" w:rsidRDefault="00C439A7" w:rsidP="00F41CCF">
      <w:r>
        <w:t xml:space="preserve">where </w:t>
      </w:r>
      <m:oMath>
        <m:sSub>
          <m:sSubPr>
            <m:ctrlPr>
              <w:rPr>
                <w:rFonts w:ascii="Cambria Math" w:hAnsi="Cambria Math"/>
                <w:i/>
              </w:rPr>
            </m:ctrlPr>
          </m:sSubPr>
          <m:e>
            <m:r>
              <w:rPr>
                <w:rFonts w:ascii="Cambria Math" w:hAnsi="Cambria Math"/>
              </w:rPr>
              <m:t>C</m:t>
            </m:r>
          </m:e>
          <m:sub>
            <m:r>
              <w:rPr>
                <w:rFonts w:ascii="Cambria Math" w:hAnsi="Cambria Math"/>
              </w:rPr>
              <m:t>x,t</m:t>
            </m:r>
          </m:sub>
        </m:sSub>
      </m:oMath>
      <w:r>
        <w:t xml:space="preserve"> is the cost of accruing an extra year’s pension per £1 of gross earnings for in individual aged </w:t>
      </w:r>
      <m:oMath>
        <m:r>
          <w:rPr>
            <w:rFonts w:ascii="Cambria Math" w:hAnsi="Cambria Math"/>
          </w:rPr>
          <m:t>x</m:t>
        </m:r>
      </m:oMath>
      <w:r>
        <w:t xml:space="preserve"> at time </w:t>
      </w:r>
      <m:oMath>
        <m:r>
          <w:rPr>
            <w:rFonts w:ascii="Cambria Math" w:hAnsi="Cambria Math"/>
          </w:rPr>
          <m:t>t</m:t>
        </m:r>
      </m:oMath>
      <w:r w:rsidR="00444746">
        <w:t>.</w:t>
      </w:r>
      <w:r w:rsidR="003C6AD9">
        <w:t xml:space="preserve">  Note that this is the only earnings measure where age is relevant – in other words, I do not allow for any change in gross earnings by age.</w:t>
      </w:r>
    </w:p>
    <w:p w:rsidR="00444746" w:rsidRDefault="00444746" w:rsidP="00444746">
      <w:r>
        <w:t xml:space="preserve">From an employee’s point of view, the calculation is similar, except that NICs are a deduction rather than an addition, and that they are deducted along with income tax.  Here, the change in net earnings excluding pension accrual is </w:t>
      </w:r>
      <m:oMath>
        <m:r>
          <m:rPr>
            <m:sty m:val="p"/>
          </m:rPr>
          <w:rPr>
            <w:rFonts w:ascii="Cambria Math" w:hAnsi="Cambria Math"/>
          </w:rPr>
          <m:t>Δ</m:t>
        </m:r>
        <m:sSubSup>
          <m:sSubSupPr>
            <m:ctrlPr>
              <w:rPr>
                <w:rFonts w:ascii="Cambria Math" w:hAnsi="Cambria Math"/>
                <w:i/>
              </w:rPr>
            </m:ctrlPr>
          </m:sSubSupPr>
          <m:e>
            <m:r>
              <w:rPr>
                <w:rFonts w:ascii="Cambria Math" w:hAnsi="Cambria Math"/>
              </w:rPr>
              <m:t>N</m:t>
            </m:r>
          </m:e>
          <m:sub>
            <m:r>
              <w:rPr>
                <w:rFonts w:ascii="Cambria Math" w:hAnsi="Cambria Math"/>
              </w:rPr>
              <m:t>t</m:t>
            </m:r>
          </m:sub>
          <m:sup>
            <m:r>
              <w:rPr>
                <w:rFonts w:ascii="Cambria Math" w:hAnsi="Cambria Math"/>
              </w:rPr>
              <m:t>ee</m:t>
            </m:r>
          </m:sup>
        </m:sSubSup>
      </m:oMath>
      <w:r>
        <w:t xml:space="preserve">, defined as: </w:t>
      </w:r>
    </w:p>
    <w:p w:rsidR="00444746" w:rsidRDefault="00444746" w:rsidP="00444746">
      <m:oMathPara>
        <m:oMath>
          <m:r>
            <m:rPr>
              <m:sty m:val="p"/>
            </m:rPr>
            <w:rPr>
              <w:rFonts w:ascii="Cambria Math" w:hAnsi="Cambria Math"/>
            </w:rPr>
            <m:t>Δ</m:t>
          </m:r>
          <m:sSubSup>
            <m:sSubSupPr>
              <m:ctrlPr>
                <w:rPr>
                  <w:rFonts w:ascii="Cambria Math" w:hAnsi="Cambria Math"/>
                  <w:i/>
                </w:rPr>
              </m:ctrlPr>
            </m:sSubSupPr>
            <m:e>
              <m:r>
                <w:rPr>
                  <w:rFonts w:ascii="Cambria Math" w:hAnsi="Cambria Math"/>
                </w:rPr>
                <m:t>N</m:t>
              </m:r>
            </m:e>
            <m:sub>
              <m:r>
                <w:rPr>
                  <w:rFonts w:ascii="Cambria Math" w:hAnsi="Cambria Math"/>
                </w:rPr>
                <m:t>t</m:t>
              </m:r>
            </m:sub>
            <m:sup>
              <m:r>
                <w:rPr>
                  <w:rFonts w:ascii="Cambria Math" w:hAnsi="Cambria Math"/>
                </w:rPr>
                <m:t>ee</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NIC</m:t>
                  </m:r>
                </m:e>
                <m:sub>
                  <m:r>
                    <w:rPr>
                      <w:rFonts w:ascii="Cambria Math" w:hAnsi="Cambria Math"/>
                    </w:rPr>
                    <m:t>t</m:t>
                  </m:r>
                </m:sub>
                <m:sup>
                  <m:r>
                    <w:rPr>
                      <w:rFonts w:ascii="Cambria Math" w:hAnsi="Cambria Math"/>
                    </w:rPr>
                    <m:t>ee</m:t>
                  </m:r>
                </m:sup>
              </m:sSubSup>
              <m:r>
                <w:rPr>
                  <w:rFonts w:ascii="Cambria Math" w:hAnsi="Cambria Math"/>
                </w:rPr>
                <m:t>-</m:t>
              </m:r>
              <m:sSubSup>
                <m:sSubSupPr>
                  <m:ctrlPr>
                    <w:rPr>
                      <w:rFonts w:ascii="Cambria Math" w:hAnsi="Cambria Math"/>
                      <w:i/>
                    </w:rPr>
                  </m:ctrlPr>
                </m:sSubSupPr>
                <m:e>
                  <m:r>
                    <w:rPr>
                      <w:rFonts w:ascii="Cambria Math" w:hAnsi="Cambria Math"/>
                    </w:rPr>
                    <m:t>IT</m:t>
                  </m:r>
                </m:e>
                <m:sub>
                  <m:r>
                    <w:rPr>
                      <w:rFonts w:ascii="Cambria Math" w:hAnsi="Cambria Math"/>
                    </w:rPr>
                    <m:t>t</m:t>
                  </m:r>
                </m:sub>
                <m:sup>
                  <m:r>
                    <w:rPr>
                      <w:rFonts w:ascii="Cambria Math" w:hAnsi="Cambria Math"/>
                    </w:rPr>
                    <m:t>ee</m:t>
                  </m:r>
                </m:sup>
              </m:sSubSup>
            </m:num>
            <m:den>
              <m:sSub>
                <m:sSubPr>
                  <m:ctrlPr>
                    <w:rPr>
                      <w:rFonts w:ascii="Cambria Math" w:hAnsi="Cambria Math"/>
                      <w:i/>
                    </w:rPr>
                  </m:ctrlPr>
                </m:sSubPr>
                <m:e>
                  <m:r>
                    <w:rPr>
                      <w:rFonts w:ascii="Cambria Math" w:hAnsi="Cambria Math"/>
                    </w:rPr>
                    <m:t>G</m:t>
                  </m:r>
                </m:e>
                <m:sub>
                  <m:r>
                    <w:rPr>
                      <w:rFonts w:ascii="Cambria Math" w:hAnsi="Cambria Math"/>
                    </w:rPr>
                    <m:t>t-1</m:t>
                  </m:r>
                </m:sub>
              </m:sSub>
              <m:r>
                <w:rPr>
                  <w:rFonts w:ascii="Cambria Math" w:hAnsi="Cambria Math"/>
                </w:rPr>
                <m:t>-</m:t>
              </m:r>
              <m:sSubSup>
                <m:sSubSupPr>
                  <m:ctrlPr>
                    <w:rPr>
                      <w:rFonts w:ascii="Cambria Math" w:hAnsi="Cambria Math"/>
                      <w:i/>
                    </w:rPr>
                  </m:ctrlPr>
                </m:sSubSupPr>
                <m:e>
                  <m:r>
                    <w:rPr>
                      <w:rFonts w:ascii="Cambria Math" w:hAnsi="Cambria Math"/>
                    </w:rPr>
                    <m:t>NIC</m:t>
                  </m:r>
                </m:e>
                <m:sub>
                  <m:r>
                    <w:rPr>
                      <w:rFonts w:ascii="Cambria Math" w:hAnsi="Cambria Math"/>
                    </w:rPr>
                    <m:t>t-1</m:t>
                  </m:r>
                </m:sub>
                <m:sup>
                  <m:r>
                    <w:rPr>
                      <w:rFonts w:ascii="Cambria Math" w:hAnsi="Cambria Math"/>
                    </w:rPr>
                    <m:t>ee</m:t>
                  </m:r>
                </m:sup>
              </m:sSubSup>
              <m:r>
                <w:rPr>
                  <w:rFonts w:ascii="Cambria Math" w:hAnsi="Cambria Math"/>
                </w:rPr>
                <m:t>-</m:t>
              </m:r>
              <m:sSubSup>
                <m:sSubSupPr>
                  <m:ctrlPr>
                    <w:rPr>
                      <w:rFonts w:ascii="Cambria Math" w:hAnsi="Cambria Math"/>
                      <w:i/>
                    </w:rPr>
                  </m:ctrlPr>
                </m:sSubSupPr>
                <m:e>
                  <m:r>
                    <w:rPr>
                      <w:rFonts w:ascii="Cambria Math" w:hAnsi="Cambria Math"/>
                    </w:rPr>
                    <m:t>IT</m:t>
                  </m:r>
                </m:e>
                <m:sub>
                  <m:r>
                    <w:rPr>
                      <w:rFonts w:ascii="Cambria Math" w:hAnsi="Cambria Math"/>
                    </w:rPr>
                    <m:t>t-1</m:t>
                  </m:r>
                </m:sub>
                <m:sup>
                  <m:r>
                    <w:rPr>
                      <w:rFonts w:ascii="Cambria Math" w:hAnsi="Cambria Math"/>
                    </w:rPr>
                    <m:t>ee</m:t>
                  </m:r>
                </m:sup>
              </m:sSubSup>
            </m:den>
          </m:f>
          <m:r>
            <w:rPr>
              <w:rFonts w:ascii="Cambria Math" w:hAnsi="Cambria Math"/>
            </w:rPr>
            <m:t>-1</m:t>
          </m:r>
        </m:oMath>
      </m:oMathPara>
    </w:p>
    <w:p w:rsidR="00444746" w:rsidRPr="00502335" w:rsidRDefault="00444746" w:rsidP="00444746">
      <w:pPr>
        <w:jc w:val="right"/>
        <w:rPr>
          <w:i/>
        </w:rPr>
      </w:pPr>
      <w:r w:rsidRPr="00502335">
        <w:rPr>
          <w:i/>
        </w:rPr>
        <w:t>(</w:t>
      </w:r>
      <w:r w:rsidR="003423B2">
        <w:rPr>
          <w:i/>
        </w:rPr>
        <w:t>11</w:t>
      </w:r>
      <w:r w:rsidRPr="00502335">
        <w:rPr>
          <w:i/>
        </w:rPr>
        <w:t>)</w:t>
      </w:r>
    </w:p>
    <w:p w:rsidR="00444746" w:rsidRDefault="00444746" w:rsidP="00444746">
      <w:r>
        <w:t>where</w:t>
      </w:r>
      <w:r w:rsidR="003C6AD9">
        <w:t xml:space="preserve"> </w:t>
      </w:r>
      <m:oMath>
        <m:sSubSup>
          <m:sSubSupPr>
            <m:ctrlPr>
              <w:rPr>
                <w:rFonts w:ascii="Cambria Math" w:hAnsi="Cambria Math"/>
                <w:i/>
              </w:rPr>
            </m:ctrlPr>
          </m:sSubSupPr>
          <m:e>
            <m:r>
              <w:rPr>
                <w:rFonts w:ascii="Cambria Math" w:hAnsi="Cambria Math"/>
              </w:rPr>
              <m:t>NIC</m:t>
            </m:r>
          </m:e>
          <m:sub>
            <m:r>
              <w:rPr>
                <w:rFonts w:ascii="Cambria Math" w:hAnsi="Cambria Math"/>
              </w:rPr>
              <m:t>t</m:t>
            </m:r>
          </m:sub>
          <m:sup>
            <m:r>
              <w:rPr>
                <w:rFonts w:ascii="Cambria Math" w:hAnsi="Cambria Math"/>
              </w:rPr>
              <m:t>ee</m:t>
            </m:r>
          </m:sup>
        </m:sSubSup>
      </m:oMath>
      <w:r w:rsidR="003C6AD9">
        <w:t>represents employee NICs, and</w:t>
      </w:r>
      <w:r>
        <w:t xml:space="preserve"> </w:t>
      </w:r>
      <m:oMath>
        <m:sSubSup>
          <m:sSubSupPr>
            <m:ctrlPr>
              <w:rPr>
                <w:rFonts w:ascii="Cambria Math" w:hAnsi="Cambria Math"/>
                <w:i/>
              </w:rPr>
            </m:ctrlPr>
          </m:sSubSupPr>
          <m:e>
            <m:r>
              <w:rPr>
                <w:rFonts w:ascii="Cambria Math" w:hAnsi="Cambria Math"/>
              </w:rPr>
              <m:t>IT</m:t>
            </m:r>
          </m:e>
          <m:sub>
            <m:r>
              <w:rPr>
                <w:rFonts w:ascii="Cambria Math" w:hAnsi="Cambria Math"/>
              </w:rPr>
              <m:t>t</m:t>
            </m:r>
          </m:sub>
          <m:sup>
            <m:r>
              <w:rPr>
                <w:rFonts w:ascii="Cambria Math" w:hAnsi="Cambria Math"/>
              </w:rPr>
              <m:t>ee</m:t>
            </m:r>
          </m:sup>
        </m:sSubSup>
      </m:oMath>
      <w:r w:rsidR="003C6AD9">
        <w:t xml:space="preserve">the income tax payable in year </w:t>
      </w:r>
      <m:oMath>
        <m:r>
          <w:rPr>
            <w:rFonts w:ascii="Cambria Math" w:hAnsi="Cambria Math"/>
          </w:rPr>
          <m:t>t</m:t>
        </m:r>
      </m:oMath>
      <w:r w:rsidR="003C6AD9">
        <w:t xml:space="preserve">.  </w:t>
      </w:r>
      <w:r>
        <w:t>The change in net earnings including the cost of pension accrual from the employe</w:t>
      </w:r>
      <w:r w:rsidR="003C6AD9">
        <w:t>e</w:t>
      </w:r>
      <w:r>
        <w:t xml:space="preserve">’s point of view is </w:t>
      </w:r>
      <m:oMath>
        <m:r>
          <m:rPr>
            <m:sty m:val="p"/>
          </m:rPr>
          <w:rPr>
            <w:rFonts w:ascii="Cambria Math" w:hAnsi="Cambria Math"/>
          </w:rPr>
          <m:t>Δ</m:t>
        </m:r>
        <m:sSubSup>
          <m:sSubSupPr>
            <m:ctrlPr>
              <w:rPr>
                <w:rFonts w:ascii="Cambria Math" w:hAnsi="Cambria Math"/>
                <w:i/>
              </w:rPr>
            </m:ctrlPr>
          </m:sSubSupPr>
          <m:e>
            <m:r>
              <w:rPr>
                <w:rFonts w:ascii="Cambria Math" w:hAnsi="Cambria Math"/>
              </w:rPr>
              <m:t>T</m:t>
            </m:r>
          </m:e>
          <m:sub>
            <m:r>
              <w:rPr>
                <w:rFonts w:ascii="Cambria Math" w:hAnsi="Cambria Math"/>
              </w:rPr>
              <m:t>x,t</m:t>
            </m:r>
          </m:sub>
          <m:sup>
            <m:r>
              <w:rPr>
                <w:rFonts w:ascii="Cambria Math" w:hAnsi="Cambria Math"/>
              </w:rPr>
              <m:t>ee</m:t>
            </m:r>
          </m:sup>
        </m:sSubSup>
      </m:oMath>
      <w:r>
        <w:t xml:space="preserve">, defined as: </w:t>
      </w:r>
    </w:p>
    <w:p w:rsidR="00444746" w:rsidRDefault="00444746" w:rsidP="00444746">
      <m:oMathPara>
        <m:oMath>
          <m:r>
            <m:rPr>
              <m:sty m:val="p"/>
            </m:rPr>
            <w:rPr>
              <w:rFonts w:ascii="Cambria Math" w:hAnsi="Cambria Math"/>
            </w:rPr>
            <m:t>Δ</m:t>
          </m:r>
          <m:sSubSup>
            <m:sSubSupPr>
              <m:ctrlPr>
                <w:rPr>
                  <w:rFonts w:ascii="Cambria Math" w:hAnsi="Cambria Math"/>
                  <w:i/>
                </w:rPr>
              </m:ctrlPr>
            </m:sSubSupPr>
            <m:e>
              <m:r>
                <w:rPr>
                  <w:rFonts w:ascii="Cambria Math" w:hAnsi="Cambria Math"/>
                </w:rPr>
                <m:t>T</m:t>
              </m:r>
            </m:e>
            <m:sub>
              <m:r>
                <w:rPr>
                  <w:rFonts w:ascii="Cambria Math" w:hAnsi="Cambria Math"/>
                </w:rPr>
                <m:t>x,t</m:t>
              </m:r>
            </m:sub>
            <m:sup>
              <m:r>
                <w:rPr>
                  <w:rFonts w:ascii="Cambria Math" w:hAnsi="Cambria Math"/>
                </w:rPr>
                <m:t>ee</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NIC</m:t>
                  </m:r>
                </m:e>
                <m:sub>
                  <m:r>
                    <w:rPr>
                      <w:rFonts w:ascii="Cambria Math" w:hAnsi="Cambria Math"/>
                    </w:rPr>
                    <m:t>t</m:t>
                  </m:r>
                </m:sub>
                <m:sup>
                  <m:r>
                    <w:rPr>
                      <w:rFonts w:ascii="Cambria Math" w:hAnsi="Cambria Math"/>
                    </w:rPr>
                    <m:t>ee</m:t>
                  </m:r>
                </m:sup>
              </m:sSubSup>
              <m:r>
                <w:rPr>
                  <w:rFonts w:ascii="Cambria Math" w:hAnsi="Cambria Math"/>
                </w:rPr>
                <m:t>-</m:t>
              </m:r>
              <m:sSubSup>
                <m:sSubSupPr>
                  <m:ctrlPr>
                    <w:rPr>
                      <w:rFonts w:ascii="Cambria Math" w:hAnsi="Cambria Math"/>
                      <w:i/>
                    </w:rPr>
                  </m:ctrlPr>
                </m:sSubSupPr>
                <m:e>
                  <m:r>
                    <w:rPr>
                      <w:rFonts w:ascii="Cambria Math" w:hAnsi="Cambria Math"/>
                    </w:rPr>
                    <m:t>IT</m:t>
                  </m:r>
                </m:e>
                <m:sub>
                  <m:r>
                    <w:rPr>
                      <w:rFonts w:ascii="Cambria Math" w:hAnsi="Cambria Math"/>
                    </w:rPr>
                    <m:t>t</m:t>
                  </m:r>
                </m:sub>
                <m:sup>
                  <m:r>
                    <w:rPr>
                      <w:rFonts w:ascii="Cambria Math" w:hAnsi="Cambria Math"/>
                    </w:rPr>
                    <m:t>ee</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x,t</m:t>
                      </m:r>
                    </m:sub>
                  </m:sSub>
                </m:e>
              </m:d>
            </m:num>
            <m:den>
              <m:sSub>
                <m:sSubPr>
                  <m:ctrlPr>
                    <w:rPr>
                      <w:rFonts w:ascii="Cambria Math" w:hAnsi="Cambria Math"/>
                      <w:i/>
                    </w:rPr>
                  </m:ctrlPr>
                </m:sSubPr>
                <m:e>
                  <m:r>
                    <w:rPr>
                      <w:rFonts w:ascii="Cambria Math" w:hAnsi="Cambria Math"/>
                    </w:rPr>
                    <m:t>G</m:t>
                  </m:r>
                </m:e>
                <m:sub>
                  <m:r>
                    <w:rPr>
                      <w:rFonts w:ascii="Cambria Math" w:hAnsi="Cambria Math"/>
                    </w:rPr>
                    <m:t>t-1</m:t>
                  </m:r>
                </m:sub>
              </m:sSub>
              <m:r>
                <w:rPr>
                  <w:rFonts w:ascii="Cambria Math" w:hAnsi="Cambria Math"/>
                </w:rPr>
                <m:t>-</m:t>
              </m:r>
              <m:sSubSup>
                <m:sSubSupPr>
                  <m:ctrlPr>
                    <w:rPr>
                      <w:rFonts w:ascii="Cambria Math" w:hAnsi="Cambria Math"/>
                      <w:i/>
                    </w:rPr>
                  </m:ctrlPr>
                </m:sSubSupPr>
                <m:e>
                  <m:r>
                    <w:rPr>
                      <w:rFonts w:ascii="Cambria Math" w:hAnsi="Cambria Math"/>
                    </w:rPr>
                    <m:t>NIC</m:t>
                  </m:r>
                </m:e>
                <m:sub>
                  <m:r>
                    <w:rPr>
                      <w:rFonts w:ascii="Cambria Math" w:hAnsi="Cambria Math"/>
                    </w:rPr>
                    <m:t>t-1</m:t>
                  </m:r>
                </m:sub>
                <m:sup>
                  <m:r>
                    <w:rPr>
                      <w:rFonts w:ascii="Cambria Math" w:hAnsi="Cambria Math"/>
                    </w:rPr>
                    <m:t>ee</m:t>
                  </m:r>
                </m:sup>
              </m:sSubSup>
              <m:r>
                <w:rPr>
                  <w:rFonts w:ascii="Cambria Math" w:hAnsi="Cambria Math"/>
                </w:rPr>
                <m:t>-</m:t>
              </m:r>
              <m:sSubSup>
                <m:sSubSupPr>
                  <m:ctrlPr>
                    <w:rPr>
                      <w:rFonts w:ascii="Cambria Math" w:hAnsi="Cambria Math"/>
                      <w:i/>
                    </w:rPr>
                  </m:ctrlPr>
                </m:sSubSupPr>
                <m:e>
                  <m:r>
                    <w:rPr>
                      <w:rFonts w:ascii="Cambria Math" w:hAnsi="Cambria Math"/>
                    </w:rPr>
                    <m:t>IT</m:t>
                  </m:r>
                </m:e>
                <m:sub>
                  <m:r>
                    <w:rPr>
                      <w:rFonts w:ascii="Cambria Math" w:hAnsi="Cambria Math"/>
                    </w:rPr>
                    <m:t>t-1</m:t>
                  </m:r>
                </m:sub>
                <m:sup>
                  <m:r>
                    <w:rPr>
                      <w:rFonts w:ascii="Cambria Math" w:hAnsi="Cambria Math"/>
                    </w:rPr>
                    <m:t>ee</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x,t-1</m:t>
                      </m:r>
                    </m:sub>
                  </m:sSub>
                </m:e>
              </m:d>
            </m:den>
          </m:f>
          <m:r>
            <w:rPr>
              <w:rFonts w:ascii="Cambria Math" w:hAnsi="Cambria Math"/>
            </w:rPr>
            <m:t>-1</m:t>
          </m:r>
        </m:oMath>
      </m:oMathPara>
    </w:p>
    <w:p w:rsidR="00444746" w:rsidRPr="00502335" w:rsidRDefault="00444746" w:rsidP="00444746">
      <w:pPr>
        <w:jc w:val="right"/>
        <w:rPr>
          <w:i/>
        </w:rPr>
      </w:pPr>
      <w:r w:rsidRPr="00502335">
        <w:rPr>
          <w:i/>
        </w:rPr>
        <w:lastRenderedPageBreak/>
        <w:t>(</w:t>
      </w:r>
      <w:r w:rsidR="003423B2">
        <w:rPr>
          <w:i/>
        </w:rPr>
        <w:t>12</w:t>
      </w:r>
      <w:r w:rsidRPr="00502335">
        <w:rPr>
          <w:i/>
        </w:rPr>
        <w:t>)</w:t>
      </w:r>
    </w:p>
    <w:p w:rsidR="00364A7D" w:rsidRDefault="00364A7D" w:rsidP="00364A7D">
      <w:pPr>
        <w:pStyle w:val="Heading1"/>
        <w:numPr>
          <w:ilvl w:val="0"/>
          <w:numId w:val="14"/>
        </w:numPr>
      </w:pPr>
      <w:r>
        <w:t>Results</w:t>
      </w:r>
    </w:p>
    <w:p w:rsidR="00547CA9" w:rsidRPr="00547CA9" w:rsidRDefault="00547CA9" w:rsidP="00547CA9">
      <w:pPr>
        <w:pStyle w:val="Heading2"/>
        <w:numPr>
          <w:ilvl w:val="1"/>
          <w:numId w:val="14"/>
        </w:numPr>
      </w:pPr>
      <w:r>
        <w:t>Total cost of accrual</w:t>
      </w:r>
    </w:p>
    <w:p w:rsidR="00E06827" w:rsidRDefault="00C5196A" w:rsidP="00EB464A">
      <w:r>
        <w:t>First, I look at the change in the cost of pension accrual</w:t>
      </w:r>
      <w:r w:rsidR="00EB464A">
        <w:t xml:space="preserve">.  As discussed in section 3.1, I consider the 12-month period starting 31 March 1995 to the twelve-month period starting 31 March 2015, but also look at the cost of accrual calculated on the 31 March 2015 basis, using bond yields and expected inflation as at 31 March 2016 and 30 September 2016.  These results are given in Figure </w:t>
      </w:r>
      <w:r w:rsidR="007A6EDC">
        <w:t>5.</w:t>
      </w:r>
      <w:r w:rsidR="00EB464A">
        <w:t>1 for a 40 year-old male with a retirement age of 65, assuming a discount rate of UK government bonds plus 1% per annum</w:t>
      </w:r>
      <w:r w:rsidR="00303050">
        <w:t>.</w:t>
      </w:r>
    </w:p>
    <w:p w:rsidR="00303050" w:rsidRDefault="00303050" w:rsidP="007A6EDC">
      <w:pPr>
        <w:pStyle w:val="Caption"/>
      </w:pPr>
      <w:r>
        <w:t>Figure 1 – Accrual rate for a 40 year-old male</w:t>
      </w:r>
      <w:r w:rsidR="00302137">
        <w:t xml:space="preserve"> pension scheme member</w:t>
      </w:r>
    </w:p>
    <w:p w:rsidR="00303050" w:rsidRDefault="0097543E" w:rsidP="00EB464A">
      <w:r>
        <w:rPr>
          <w:noProof/>
          <w:lang w:eastAsia="en-GB"/>
        </w:rPr>
        <w:drawing>
          <wp:inline distT="0" distB="0" distL="0" distR="0" wp14:anchorId="5C249FB3" wp14:editId="0EA102A0">
            <wp:extent cx="5731510" cy="3745230"/>
            <wp:effectExtent l="0" t="0" r="254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3050" w:rsidRDefault="00303050" w:rsidP="007A6EDC">
      <w:pPr>
        <w:pStyle w:val="Caption"/>
      </w:pPr>
      <w:r>
        <w:t xml:space="preserve">Source: Bank of England, Office for National Statistics, </w:t>
      </w:r>
      <w:r w:rsidR="007A6EDC">
        <w:t>author’s calculations</w:t>
      </w:r>
    </w:p>
    <w:p w:rsidR="00547CA9" w:rsidRDefault="00C54036" w:rsidP="00547CA9">
      <w:r>
        <w:t>This shows that</w:t>
      </w:r>
      <w:r w:rsidR="00547CA9">
        <w:t xml:space="preserve"> in March 1995, the cost of accrual was only 4.</w:t>
      </w:r>
      <w:r w:rsidR="00ED2E9A">
        <w:t>2</w:t>
      </w:r>
      <w:r w:rsidR="00547CA9">
        <w:t>% of earnings, dropping slightly the following year to 4.0% of earnings.  The</w:t>
      </w:r>
      <w:r>
        <w:t xml:space="preserve"> cost of accrual </w:t>
      </w:r>
      <w:r w:rsidR="00547CA9">
        <w:t>then grew steadily</w:t>
      </w:r>
      <w:r>
        <w:t xml:space="preserve"> to the period commencing 31 March 2000</w:t>
      </w:r>
      <w:r w:rsidR="00547CA9">
        <w:t>, peaking at 12.4%.  It then fell back slightly</w:t>
      </w:r>
      <w:r>
        <w:t xml:space="preserve">, before rising steadily up until </w:t>
      </w:r>
      <w:r w:rsidR="00547CA9">
        <w:t xml:space="preserve">16.6% for the period commencing 31 March </w:t>
      </w:r>
      <w:r>
        <w:t xml:space="preserve">2008.  </w:t>
      </w:r>
      <w:r w:rsidR="00547CA9">
        <w:t>March</w:t>
      </w:r>
      <w:r>
        <w:t xml:space="preserve"> 2009</w:t>
      </w:r>
      <w:r w:rsidR="00547CA9">
        <w:t xml:space="preserve"> saw a sharp drop back to 10.7%.  T</w:t>
      </w:r>
      <w:r>
        <w:t xml:space="preserve">he cost of accrual </w:t>
      </w:r>
      <w:r w:rsidR="00547CA9">
        <w:t xml:space="preserve">then </w:t>
      </w:r>
      <w:r>
        <w:t>rose gradually until March 2014</w:t>
      </w:r>
      <w:r w:rsidR="00547CA9">
        <w:t>, reaching 18.</w:t>
      </w:r>
      <w:r w:rsidR="00ED2E9A">
        <w:t>4</w:t>
      </w:r>
      <w:r w:rsidR="00547CA9">
        <w:t>%</w:t>
      </w:r>
      <w:r>
        <w:t>.  However, it then rose significantly in March 2015</w:t>
      </w:r>
      <w:r w:rsidR="00547CA9">
        <w:t xml:space="preserve"> to 25.</w:t>
      </w:r>
      <w:r w:rsidR="00ED2E9A">
        <w:t>4</w:t>
      </w:r>
      <w:r w:rsidR="00547CA9">
        <w:t>% of earnings,</w:t>
      </w:r>
      <w:r>
        <w:t xml:space="preserve"> and again in September 2016</w:t>
      </w:r>
      <w:r w:rsidR="00547CA9">
        <w:t xml:space="preserve"> to 36.</w:t>
      </w:r>
      <w:r w:rsidR="00ED2E9A">
        <w:t>7</w:t>
      </w:r>
      <w:r w:rsidR="00547CA9">
        <w:t>% of earnings</w:t>
      </w:r>
      <w:r>
        <w:t xml:space="preserve">. </w:t>
      </w:r>
      <w:r w:rsidR="00EA3A87">
        <w:t xml:space="preserve"> </w:t>
      </w:r>
      <w:r>
        <w:t>Interestingly, whilst conditional indexation would cut the cost of accrual significantly, it would still leave it at its highest ever level</w:t>
      </w:r>
      <w:r w:rsidR="00547CA9">
        <w:t xml:space="preserve"> – 27.0% of earnings for the period commencing 30 September 2016</w:t>
      </w:r>
      <w:r>
        <w:t>.</w:t>
      </w:r>
    </w:p>
    <w:p w:rsidR="00547CA9" w:rsidRPr="00547CA9" w:rsidRDefault="00547CA9" w:rsidP="00547CA9">
      <w:pPr>
        <w:pStyle w:val="Heading2"/>
        <w:numPr>
          <w:ilvl w:val="1"/>
          <w:numId w:val="14"/>
        </w:numPr>
      </w:pPr>
      <w:r>
        <w:t>Components of accrual cost</w:t>
      </w:r>
    </w:p>
    <w:p w:rsidR="00E21550" w:rsidRDefault="00E21550" w:rsidP="00E21550">
      <w:r>
        <w:t xml:space="preserve">The three components of the change in the cost of accrual – benefits, longevity and interest rates – are described above, as is their calculation.  Because the sum of each of the three components </w:t>
      </w:r>
      <w:r>
        <w:lastRenderedPageBreak/>
        <w:t>leaves a rounding error, I allocate the error to each of the three components in proportion to the size of each component.  The results are shown in Figure 2</w:t>
      </w:r>
      <w:r w:rsidR="001A0F25">
        <w:t>.</w:t>
      </w:r>
    </w:p>
    <w:p w:rsidR="00E21550" w:rsidRDefault="00E21550" w:rsidP="00E21550">
      <w:pPr>
        <w:pStyle w:val="Caption"/>
      </w:pPr>
      <w:r>
        <w:t>Figure 2 – Components of the change in the accrual rate for a 40 year-old male</w:t>
      </w:r>
      <w:r w:rsidR="00D8298D">
        <w:t xml:space="preserve"> pension scheme member</w:t>
      </w:r>
    </w:p>
    <w:p w:rsidR="00E21550" w:rsidRDefault="0097543E" w:rsidP="00E21550">
      <w:r>
        <w:rPr>
          <w:noProof/>
          <w:lang w:eastAsia="en-GB"/>
        </w:rPr>
        <w:drawing>
          <wp:inline distT="0" distB="0" distL="0" distR="0" wp14:anchorId="65D9C249" wp14:editId="476AE488">
            <wp:extent cx="5731510" cy="3745865"/>
            <wp:effectExtent l="0" t="0" r="2540" b="69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1550" w:rsidRDefault="00E21550" w:rsidP="00E21550">
      <w:pPr>
        <w:pStyle w:val="Caption"/>
      </w:pPr>
      <w:r>
        <w:t>Source: Bank of England, Office for National Statistics, author’s calculations</w:t>
      </w:r>
    </w:p>
    <w:p w:rsidR="009458CB" w:rsidRDefault="009458CB" w:rsidP="00E21550">
      <w:r>
        <w:t>Longevity increases have been a reasonably constant source of increasing pension costs.  Some years have been worse than others: 2006 and 2013 both saw longevity contributing to more than a 0.3% of earnings increase in the cost of accrual, whilst the average was only 0.2% per annum.  This variation largely reflects unexpected increases, rather than the variation arising from a population whose longevity is expected to improve.  Overall, though, this 0.2% increase is small compared to the 0.9% increase arising from interest rates, which I discuss later.</w:t>
      </w:r>
    </w:p>
    <w:p w:rsidR="007A6EDC" w:rsidRDefault="00E306D4" w:rsidP="00E21550">
      <w:r>
        <w:t>The impact of the change in benefits has been, on average, small: it accounts for an increase in the cost of accrual of 1.5% of earnings from 1996 to 1997, when 5% LPI was introduced, and then a drop of 0.3% of earnings when 5% LPI was replaced by 2.5% LPI in 2005.  The drop here was small because expected RPI inflation was not significantly higher than 2.5%.  A larger fall occurs in 2011 when RPI is replaced with CPI.  This is partly because increases in both payment and deferment are affected.</w:t>
      </w:r>
    </w:p>
    <w:p w:rsidR="0026477C" w:rsidRDefault="00E306D4" w:rsidP="0026477C">
      <w:r>
        <w:t>However, the suggested move to conditional indexation for pensions in payment would cause a much bigger drop in the cost of accrual: 9.6% of earnings.  This assumes that conditional indexation would mean that there would be no guaranteed increases in benefits in payment.  The change in cost is so high compared to the introduction of 5% LPI because long-term interest rates are so low now compared with 20 years ago.  Figure 3, which shows the 20-year spot rate for nominal UK government bonds and for implied RPI inflation, demonstrates this clearly.  This means that the present value of a change in future increases is correspondingly higher.</w:t>
      </w:r>
    </w:p>
    <w:p w:rsidR="0026477C" w:rsidRDefault="0026477C" w:rsidP="0026477C">
      <w:pPr>
        <w:pStyle w:val="Caption"/>
      </w:pPr>
      <w:r>
        <w:t>Figure 3 – 20-year government bond yield and implied RPI inflation rate</w:t>
      </w:r>
    </w:p>
    <w:p w:rsidR="0026477C" w:rsidRDefault="0097543E" w:rsidP="0026477C">
      <w:r>
        <w:rPr>
          <w:noProof/>
          <w:lang w:eastAsia="en-GB"/>
        </w:rPr>
        <w:lastRenderedPageBreak/>
        <w:drawing>
          <wp:inline distT="0" distB="0" distL="0" distR="0" wp14:anchorId="03D36E4E" wp14:editId="045739DF">
            <wp:extent cx="5731510" cy="3745230"/>
            <wp:effectExtent l="0" t="0" r="254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477C" w:rsidRDefault="0026477C" w:rsidP="0026477C">
      <w:pPr>
        <w:pStyle w:val="Caption"/>
      </w:pPr>
      <w:r>
        <w:t>Source: Bank of England</w:t>
      </w:r>
    </w:p>
    <w:p w:rsidR="007A6EDC" w:rsidRDefault="00031FD8" w:rsidP="0026477C">
      <w:r>
        <w:t>Figure 3 also helps to explain the change in the cost of accrual due to nominal government bond yields and implied inflation, which I refer to together as interest rates.  Both of these fell sharply from 1996 to 1999, with nominal rates falling more than implied inflation.  This did lead to some noticeable increases in the cost of accrual, contributing to an increase of 2.0% of earnings in 1998 and 2.</w:t>
      </w:r>
      <w:r w:rsidR="00ED2E9A">
        <w:t>9</w:t>
      </w:r>
      <w:r>
        <w:t>% in 1999. However, because the 20-year bond yield in 1999 was still relatively high – at least when compared with the current yield – the impact was not catastrophic.</w:t>
      </w:r>
    </w:p>
    <w:p w:rsidR="0000775E" w:rsidRDefault="00031FD8" w:rsidP="0000775E">
      <w:r>
        <w:t>The combination of a rise in bond yields and a fall in implied inflation in 2001 led to a fall in the cost of accrual attributable to interest rates of 2.</w:t>
      </w:r>
      <w:r w:rsidR="00ED2E9A">
        <w:t>4</w:t>
      </w:r>
      <w:r>
        <w:t xml:space="preserve">% of earnings.  Changes were smaller for a few years until interest rates contributed to a rise in the cost of accrual of 2.6% of earnings in 2006 – this time, a fall in bond yields coincided with a rise in implied inflation.  The next big change was in 2009.  Although bond yields fell, </w:t>
      </w:r>
      <w:r w:rsidR="0000775E">
        <w:t>implied inflation fell further, leading to a fall in the cost of accrual of 6.1% of earnings.  A significant part of this fall was reversed the following year, when a bounce in implied inflation resulted in the cost of accrual rising by 4.0% of earnings thanks to interest rate changes alone.  The next significant change happened in 2015, when falling bond yields added 6.9% of earnings to the cost of accrual, but even this was dwarfed by the fall in yields following the Brexit referendum: between March and September 2016, the fall in government bond yields added a further 10.9% of earnings to the cost of accrual on an annualised basis.</w:t>
      </w:r>
    </w:p>
    <w:p w:rsidR="0000775E" w:rsidRPr="00547CA9" w:rsidRDefault="0000775E" w:rsidP="0000775E">
      <w:pPr>
        <w:pStyle w:val="Heading2"/>
        <w:numPr>
          <w:ilvl w:val="1"/>
          <w:numId w:val="14"/>
        </w:numPr>
      </w:pPr>
      <w:r>
        <w:t>The cost of defined benefit pensions</w:t>
      </w:r>
      <w:r w:rsidR="000D5488">
        <w:t xml:space="preserve"> to employers</w:t>
      </w:r>
    </w:p>
    <w:p w:rsidR="00A41F0D" w:rsidRDefault="00551ACB">
      <w:pPr>
        <w:rPr>
          <w:i/>
          <w:iCs/>
          <w:color w:val="44546A" w:themeColor="text2"/>
          <w:sz w:val="18"/>
          <w:szCs w:val="18"/>
        </w:rPr>
      </w:pPr>
      <w:r>
        <w:t>Having analysed not only the changes in the cost of accrual but also the drivers of these changes, I can now consider the impact of this cost on remuneration.  First, however, it is worth looking at how remuneration has changed</w:t>
      </w:r>
      <w:r w:rsidR="0097543E">
        <w:t xml:space="preserve"> before allowing for pensions</w:t>
      </w:r>
      <w:r w:rsidR="000D5488">
        <w:t xml:space="preserve">. </w:t>
      </w:r>
      <w:r w:rsidR="00CD55B4">
        <w:t xml:space="preserve"> If we concentrate on private sector earnings, we can easily see the impact of adding National Insurance contributions</w:t>
      </w:r>
      <w:r w:rsidR="00A41F0D">
        <w:t xml:space="preserve"> to employer costs, as indicated in Figure </w:t>
      </w:r>
      <w:r w:rsidR="000D5488">
        <w:t>4</w:t>
      </w:r>
      <w:r w:rsidR="00A41F0D">
        <w:t xml:space="preserve">.  This shows the growth in earnings cost for individual earning 1, 2, 4 and 8 times average earnings.  The differences arise because of the differences in NIC rates and bands.  It is </w:t>
      </w:r>
      <w:r w:rsidR="00A41F0D">
        <w:lastRenderedPageBreak/>
        <w:t>clear here that after 1999, the cost of employing people o</w:t>
      </w:r>
      <w:r w:rsidR="000D5488">
        <w:t>f all earnings levels increased as a proportion of gross earnings.</w:t>
      </w:r>
    </w:p>
    <w:p w:rsidR="00A41F0D" w:rsidRDefault="00A41F0D" w:rsidP="00A41F0D">
      <w:pPr>
        <w:pStyle w:val="Caption"/>
      </w:pPr>
      <w:r>
        <w:t xml:space="preserve">Figure </w:t>
      </w:r>
      <w:r w:rsidR="000D5488">
        <w:t>4</w:t>
      </w:r>
      <w:r>
        <w:t xml:space="preserve"> – Annualised net and gross </w:t>
      </w:r>
      <w:r w:rsidR="00BE19B6">
        <w:t xml:space="preserve">cost of </w:t>
      </w:r>
      <w:r>
        <w:t xml:space="preserve">earnings, </w:t>
      </w:r>
      <w:r w:rsidR="00650675">
        <w:t xml:space="preserve">private sector </w:t>
      </w:r>
      <w:r>
        <w:t>including bonuses, seasonally adjusted, rebased to 100</w:t>
      </w:r>
    </w:p>
    <w:p w:rsidR="00A41F0D" w:rsidRDefault="00A41F0D" w:rsidP="00A41F0D">
      <w:r>
        <w:rPr>
          <w:noProof/>
          <w:lang w:eastAsia="en-GB"/>
        </w:rPr>
        <w:drawing>
          <wp:inline distT="0" distB="0" distL="0" distR="0" wp14:anchorId="0DFE8516" wp14:editId="72B16478">
            <wp:extent cx="5731510" cy="3745865"/>
            <wp:effectExtent l="0" t="0" r="2540" b="69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41F0D" w:rsidRDefault="00A41F0D" w:rsidP="00A41F0D">
      <w:pPr>
        <w:pStyle w:val="Caption"/>
      </w:pPr>
      <w:r>
        <w:t>Source: Office for National Statistics (Average Weekly Earnings from January 2000; constructed series using the Average Earnings Index before this), HMRC, author’s calculations</w:t>
      </w:r>
    </w:p>
    <w:p w:rsidR="00551ACB" w:rsidRDefault="005668E8" w:rsidP="0000775E">
      <w:r>
        <w:t xml:space="preserve">Focussing on the net earnings at the average level, I then consider the difference between the cost of employing an individual in a defined contribution scheme and a defined benefit scheme.  </w:t>
      </w:r>
      <w:r w:rsidR="00551ACB">
        <w:t xml:space="preserve">According to the Office for National Statistics (2015), members contribute on average 5% of earnings to private sector defined benefit pension schemes.  </w:t>
      </w:r>
      <w:r>
        <w:t xml:space="preserve">The Office for National Statistics (2003) also indicate that employee contributions to contributory defined benefit schemes have been at or around this level since at least 2000.  </w:t>
      </w:r>
      <w:r w:rsidR="00551ACB">
        <w:t>This amount must therefore be deducted from the cost of accrual, as it is a cost borne by the employee rather than the employer.</w:t>
      </w:r>
    </w:p>
    <w:p w:rsidR="00360254" w:rsidRDefault="00CC7FAF">
      <w:pPr>
        <w:rPr>
          <w:i/>
          <w:iCs/>
          <w:color w:val="44546A" w:themeColor="text2"/>
          <w:sz w:val="18"/>
          <w:szCs w:val="18"/>
        </w:rPr>
      </w:pPr>
      <w:r>
        <w:t>Until 2014, employer contributions to defined contribution schemes had also remained relatively stable, at around 6% of earnings.</w:t>
      </w:r>
      <w:r w:rsidR="001A7C16">
        <w:t xml:space="preserve">  As outlined in section 1.3, employer contribution rates dropped considerably at this point, following the introduction of auto-enrolment.  Since this drop in the average contribution rate is </w:t>
      </w:r>
      <w:r w:rsidR="00A74EED">
        <w:t xml:space="preserve">due to the addition of a heterogeneous population, and because the analysis is intended to be about the cost of defined benefit accrual rather than defined contribution provision, I assume a constant employer contribution of 6% of earnings for members of defined contribution schemes.  In Figure </w:t>
      </w:r>
      <w:r w:rsidR="000D5488">
        <w:t>5</w:t>
      </w:r>
      <w:r w:rsidR="00A74EED">
        <w:t>, I therefore show three series for a 40 year-old individual on average earnings: the total cost of employment excluding pensions; the total cost of employment including a 6% contribution to a defined contribution scheme; and the total cost of employment including the cost of accrual for a defined benefit scheme, net of a 5% employee contribution.</w:t>
      </w:r>
    </w:p>
    <w:p w:rsidR="00360254" w:rsidRDefault="00360254" w:rsidP="00360254">
      <w:pPr>
        <w:pStyle w:val="Caption"/>
      </w:pPr>
      <w:r>
        <w:t xml:space="preserve">Figure </w:t>
      </w:r>
      <w:r w:rsidR="000D5488">
        <w:t>5</w:t>
      </w:r>
      <w:r w:rsidR="00670030">
        <w:t xml:space="preserve"> – Annualised</w:t>
      </w:r>
      <w:r>
        <w:t xml:space="preserve"> </w:t>
      </w:r>
      <w:r w:rsidR="00B92F58">
        <w:t xml:space="preserve">cost of </w:t>
      </w:r>
      <w:r w:rsidR="00670030">
        <w:t>average</w:t>
      </w:r>
      <w:r>
        <w:t xml:space="preserve"> earnings, </w:t>
      </w:r>
      <w:r w:rsidR="00650675">
        <w:t xml:space="preserve">private sector </w:t>
      </w:r>
      <w:r>
        <w:t>including bonuses, seasonally adjusted, allowing for pensions</w:t>
      </w:r>
    </w:p>
    <w:p w:rsidR="00360254" w:rsidRDefault="00691389" w:rsidP="00360254">
      <w:r>
        <w:rPr>
          <w:noProof/>
          <w:lang w:eastAsia="en-GB"/>
        </w:rPr>
        <w:lastRenderedPageBreak/>
        <w:drawing>
          <wp:inline distT="0" distB="0" distL="0" distR="0" wp14:anchorId="1FCC5784" wp14:editId="3FAE2C02">
            <wp:extent cx="5731510" cy="3742690"/>
            <wp:effectExtent l="0" t="0" r="2540"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0254" w:rsidRDefault="00360254" w:rsidP="00360254">
      <w:pPr>
        <w:pStyle w:val="Caption"/>
      </w:pPr>
      <w:r>
        <w:t>Source: Office for National Statistics (Average Weekly Earnings from January 2000; constructed series using the Average Earnings Index before this), HMRC, author’s calculations</w:t>
      </w:r>
    </w:p>
    <w:p w:rsidR="007A6EDC" w:rsidRDefault="00360254" w:rsidP="00360254">
      <w:r>
        <w:t xml:space="preserve">There are two key features in Figure </w:t>
      </w:r>
      <w:r w:rsidR="000D5488">
        <w:t>5</w:t>
      </w:r>
      <w:r>
        <w:t>.  First, the cost of employing a worker and providing a defined benefit pension has grown consistently more quickly than the cost of employing someone in a defined contribution scheme.  To be precise, the average increase for a defined benefit employee was 4.8% per annum over the last twenty years, compared with 3.7% per annum for a defined contribution employee</w:t>
      </w:r>
      <w:r w:rsidR="00BF10B0">
        <w:t xml:space="preserve"> – a difference of 1.1% per annum</w:t>
      </w:r>
      <w:r>
        <w:t xml:space="preserve">.  </w:t>
      </w:r>
      <w:r w:rsidR="00314ADE">
        <w:t>However, it is also interesting to note that until 1999-2000, it was actually more expensive to have an employee in a defined contribution scheme than to provide membership of a defined benefit scheme.</w:t>
      </w:r>
    </w:p>
    <w:p w:rsidR="00574ED0" w:rsidRDefault="00314ADE" w:rsidP="00360254">
      <w:r>
        <w:t xml:space="preserve">The key reason for this is that the analysis here is of a CARE scheme.  </w:t>
      </w:r>
      <w:r w:rsidR="00DB0017">
        <w:t>Whilst these are increasingly popular in the private sector (Vaughan, 2016), and near ubiquitous in the public sector (Cribb and Emmerson, 2015)</w:t>
      </w:r>
      <w:r w:rsidR="001D1D50">
        <w:t xml:space="preserve">, this was not the case 20 years ago.  The change in the value of pension accrual moving from final salary to CARE is equivalent to the projected difference between salary </w:t>
      </w:r>
      <w:r w:rsidR="00AA6F78">
        <w:t xml:space="preserve">inflation and price inflation.  </w:t>
      </w:r>
      <w:r w:rsidR="00CE5FD7">
        <w:t xml:space="preserve">However, the cost of such a change depends on when the cost is evaluated.  For example, if </w:t>
      </w:r>
      <w:r w:rsidR="00B218E0">
        <w:t xml:space="preserve">I use the </w:t>
      </w:r>
      <w:r w:rsidR="00AA6F78">
        <w:t>difference between CP</w:t>
      </w:r>
      <w:r w:rsidR="00B218E0">
        <w:t>I inflation and private sector earnings</w:t>
      </w:r>
      <w:r w:rsidR="00AA6F78">
        <w:t xml:space="preserve"> inflation from </w:t>
      </w:r>
      <w:r w:rsidR="00BC1260">
        <w:t>April</w:t>
      </w:r>
      <w:r w:rsidR="00AA6F78">
        <w:t xml:space="preserve"> 1995 to </w:t>
      </w:r>
      <w:r w:rsidR="00BC1260">
        <w:t>April</w:t>
      </w:r>
      <w:r w:rsidR="00AA6F78">
        <w:t xml:space="preserve"> 2015</w:t>
      </w:r>
      <w:r w:rsidR="00B218E0">
        <w:t xml:space="preserve"> to derive an assumption for the forward-looking difference, </w:t>
      </w:r>
      <w:r w:rsidR="00CE5FD7">
        <w:t xml:space="preserve">I arrive at a figure for real earnings of 1.4% per annum.  On this basis, </w:t>
      </w:r>
      <w:r w:rsidR="00B218E0">
        <w:t xml:space="preserve">a move from a final salary scheme to a CARE arrangement as at March 2016 would be equivalent to a drop in the value of benefits of </w:t>
      </w:r>
      <w:r w:rsidR="00AA6F78">
        <w:t>4</w:t>
      </w:r>
      <w:r w:rsidR="00CE5FD7">
        <w:t>2</w:t>
      </w:r>
      <w:r w:rsidR="00AA6F78">
        <w:t>.</w:t>
      </w:r>
      <w:r w:rsidR="00CE5FD7">
        <w:t>9</w:t>
      </w:r>
      <w:r w:rsidR="00AA6F78">
        <w:t>%</w:t>
      </w:r>
      <w:r w:rsidR="00B218E0">
        <w:t xml:space="preserve"> for a 40 year-old with a retirement age of 65.</w:t>
      </w:r>
      <w:r w:rsidR="00BF10B0">
        <w:t xml:space="preserve">  This would mean that the cost of employment for a member of a defined benefit pension member would be </w:t>
      </w:r>
      <w:r w:rsidR="00BF10B0" w:rsidRPr="00BF10B0">
        <w:t>24.1%</w:t>
      </w:r>
      <w:r w:rsidR="00BF10B0">
        <w:t xml:space="preserve"> higher than that of employing a defined contribution scheme member rather than 13.5% higher – in other words, moving from final salary to CARE would cut the cost of earnings by </w:t>
      </w:r>
      <w:r w:rsidR="004D078E">
        <w:t xml:space="preserve">some </w:t>
      </w:r>
      <w:r w:rsidR="00BF10B0">
        <w:t>10% for a working population of 40 year-olds</w:t>
      </w:r>
      <w:r w:rsidR="00670030">
        <w:t xml:space="preserve"> if no other changes were made</w:t>
      </w:r>
      <w:r w:rsidR="00BF10B0">
        <w:t>.</w:t>
      </w:r>
    </w:p>
    <w:p w:rsidR="000D5488" w:rsidRDefault="00BC1260" w:rsidP="000D5488">
      <w:r>
        <w:t xml:space="preserve">However, </w:t>
      </w:r>
      <w:r w:rsidR="00CE5FD7">
        <w:t xml:space="preserve">using more </w:t>
      </w:r>
      <w:r>
        <w:t xml:space="preserve">real earnings </w:t>
      </w:r>
      <w:r w:rsidR="00CE5FD7">
        <w:t xml:space="preserve">data gives a different answer.  </w:t>
      </w:r>
      <w:r>
        <w:t xml:space="preserve">If </w:t>
      </w:r>
      <w:r w:rsidR="00CE5FD7">
        <w:t xml:space="preserve">instead </w:t>
      </w:r>
      <w:r>
        <w:t xml:space="preserve">I use the difference between CPI inflation and private sector earnings inflation from April 2005 to April 2015 to derive an </w:t>
      </w:r>
      <w:r>
        <w:lastRenderedPageBreak/>
        <w:t>assumption for the forw</w:t>
      </w:r>
      <w:r w:rsidR="00CE5FD7">
        <w:t xml:space="preserve">ard-looking difference, then real earnings appear to have fallen by 0.2% per annum.  On this basis, </w:t>
      </w:r>
      <w:r>
        <w:t xml:space="preserve">CARE actually appears more valuable than a final salary scheme by some </w:t>
      </w:r>
      <w:r w:rsidR="00B23B55">
        <w:t>4</w:t>
      </w:r>
      <w:r>
        <w:t>%</w:t>
      </w:r>
      <w:r w:rsidR="00CE5FD7">
        <w:t xml:space="preserve"> for the individual described above</w:t>
      </w:r>
      <w:r w:rsidR="000D5488">
        <w:t>.</w:t>
      </w:r>
    </w:p>
    <w:p w:rsidR="00EF3757" w:rsidRDefault="00EF3757" w:rsidP="00EF3757">
      <w:pPr>
        <w:pStyle w:val="Heading2"/>
        <w:numPr>
          <w:ilvl w:val="1"/>
          <w:numId w:val="14"/>
        </w:numPr>
      </w:pPr>
      <w:r>
        <w:t>The value of defined benefit pensions to emplo</w:t>
      </w:r>
      <w:r w:rsidR="00BE19B6">
        <w:t>y</w:t>
      </w:r>
      <w:r>
        <w:t>ees</w:t>
      </w:r>
    </w:p>
    <w:p w:rsidR="00BE19B6" w:rsidRDefault="00BE19B6" w:rsidP="00BE19B6">
      <w:pPr>
        <w:rPr>
          <w:i/>
          <w:iCs/>
          <w:color w:val="44546A" w:themeColor="text2"/>
          <w:sz w:val="18"/>
          <w:szCs w:val="18"/>
        </w:rPr>
      </w:pPr>
      <w:r>
        <w:t xml:space="preserve">Moving onto the value of defined benefit pensions for employees, I first look at earnings net of employee NICs and income tax.  It is clear from Figure 6 that after 2010, there was a significant move to increase redistribution, with net pay for the least well paid increasing relative to gross earnings, and the opposite happening for the most well-off.  Clearly, there is no guarantee that the net income for </w:t>
      </w:r>
      <w:r>
        <w:rPr>
          <w:i/>
        </w:rPr>
        <w:t>an individual</w:t>
      </w:r>
      <w:r>
        <w:t xml:space="preserve"> would have increased by more or less than the average, but this does at least indicate an increasingly redistributive policy.</w:t>
      </w:r>
    </w:p>
    <w:p w:rsidR="00BE19B6" w:rsidRDefault="00BE19B6" w:rsidP="00BE19B6">
      <w:pPr>
        <w:pStyle w:val="Caption"/>
      </w:pPr>
      <w:r>
        <w:t>Figure 6 – Annualised net and gross value of private sector earnings, including bonuses, seasonally adjusted, rebased to 100</w:t>
      </w:r>
    </w:p>
    <w:p w:rsidR="00BE19B6" w:rsidRDefault="00BE19B6" w:rsidP="00BE19B6">
      <w:r>
        <w:rPr>
          <w:noProof/>
          <w:lang w:eastAsia="en-GB"/>
        </w:rPr>
        <w:drawing>
          <wp:inline distT="0" distB="0" distL="0" distR="0" wp14:anchorId="11A2FC7D" wp14:editId="3CB4566C">
            <wp:extent cx="5731510" cy="3742690"/>
            <wp:effectExtent l="0" t="0" r="2540"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19B6" w:rsidRDefault="00BE19B6" w:rsidP="00BE19B6">
      <w:pPr>
        <w:pStyle w:val="Caption"/>
      </w:pPr>
      <w:r>
        <w:t>Source: Office for National Statistics (Average Weekly Earnings from January 2000; constructed series using the Average Earnings Index before this), HMRC, author’s calculations</w:t>
      </w:r>
    </w:p>
    <w:p w:rsidR="00B92F58" w:rsidRDefault="00BE19B6" w:rsidP="00B92F58">
      <w:pPr>
        <w:rPr>
          <w:i/>
          <w:iCs/>
          <w:color w:val="44546A" w:themeColor="text2"/>
          <w:sz w:val="18"/>
          <w:szCs w:val="18"/>
        </w:rPr>
      </w:pPr>
      <w:r>
        <w:t>When looking at the value of accrual</w:t>
      </w:r>
      <w:r w:rsidR="00B92F58">
        <w:t xml:space="preserve"> in Figure 7</w:t>
      </w:r>
      <w:r>
        <w:t>, I again concentrate on a 40 year-old individual on average earnings with a retirement age of 65.</w:t>
      </w:r>
      <w:r w:rsidR="00B92F58">
        <w:t xml:space="preserve">  The result, unsurprisingly, has a similar profile to employer costs.  The results are similar numerically as well – the average increase in earnings for a defined benefit employee was 4.8% per annum over the last twenty years, compared with 3.8% per annum for a defined contribution employee – a difference of 1.0% per annum</w:t>
      </w:r>
    </w:p>
    <w:p w:rsidR="00B92F58" w:rsidRDefault="00B92F58" w:rsidP="00B92F58">
      <w:pPr>
        <w:pStyle w:val="Caption"/>
      </w:pPr>
      <w:r>
        <w:t>Figure 7 – Annualised value of average private sector earnings, including bonuses, seasonally adjusted, allowing for pensions</w:t>
      </w:r>
    </w:p>
    <w:p w:rsidR="00B92F58" w:rsidRDefault="00B92F58" w:rsidP="00B92F58">
      <w:r>
        <w:rPr>
          <w:noProof/>
          <w:lang w:eastAsia="en-GB"/>
        </w:rPr>
        <w:lastRenderedPageBreak/>
        <w:drawing>
          <wp:inline distT="0" distB="0" distL="0" distR="0" wp14:anchorId="088BCA8A" wp14:editId="578737AC">
            <wp:extent cx="5731510" cy="3742690"/>
            <wp:effectExtent l="0" t="0" r="2540"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F3757" w:rsidRDefault="00B92F58" w:rsidP="00EF3757">
      <w:pPr>
        <w:pStyle w:val="Caption"/>
      </w:pPr>
      <w:r>
        <w:t>Source: Office for National Statistics (Average Weekly Earnings from January 2000; constructed series using the Average Earnings Index before this), HMRC, author’s calculations</w:t>
      </w:r>
    </w:p>
    <w:p w:rsidR="00EF3757" w:rsidRDefault="00A33491" w:rsidP="00A33491">
      <w:pPr>
        <w:pStyle w:val="Heading1"/>
        <w:numPr>
          <w:ilvl w:val="0"/>
          <w:numId w:val="14"/>
        </w:numPr>
      </w:pPr>
      <w:r>
        <w:t>Conclusion</w:t>
      </w:r>
    </w:p>
    <w:p w:rsidR="004E31C7" w:rsidRDefault="00A33491" w:rsidP="007A6EDC">
      <w:r>
        <w:t xml:space="preserve">The cost of employing a member of defined benefit pension scheme has outpaced the cost of employing someone in a defined contribution arrangement over the last twenty years.  From 1995 to 2015, the difference in the total cost has been some 1.1% of earnings per annum.  When looking instead from an employee’s point of view, the difference in change in the value of a defined benefit scheme relative to a defined contribution arrangement is similar – around 1.0% of earnings per annum.  This means that allowing for an employee contribution of 5% of earnings, the cost of accrual grew from -0.8% of earnings in </w:t>
      </w:r>
      <w:r w:rsidR="004E31C7">
        <w:t>March</w:t>
      </w:r>
      <w:r>
        <w:t xml:space="preserve"> 1995 (when the total cost was only 4.8% of earnings) to 20.4% of earnings in </w:t>
      </w:r>
      <w:r w:rsidR="004E31C7">
        <w:t>March</w:t>
      </w:r>
      <w:r>
        <w:t xml:space="preserve"> 20</w:t>
      </w:r>
      <w:r w:rsidR="004E31C7">
        <w:t>15.</w:t>
      </w:r>
    </w:p>
    <w:p w:rsidR="004E31C7" w:rsidRDefault="004E31C7" w:rsidP="007A6EDC">
      <w:r>
        <w:t>The average impact of interest rate changes on the change in the cost of accrual is 0.9% per annum.  This is significantly more than the average impact of longevity improvements, which is 0.2% per annum.  Both of these have added to the total cost.  However, benefit changes marginally offset these increases, by around 0.05% per annum on average.</w:t>
      </w:r>
    </w:p>
    <w:p w:rsidR="004E31C7" w:rsidRDefault="004E31C7" w:rsidP="007A6EDC">
      <w:r>
        <w:t>Looking only at changes in interest rates, the change in cost from March 2015 to March 2016 was small, with the estimated cost of accrual to the employer rising only slightly, to 20.6%.  However, following the Brexit vote and the subsequent reintroduction of quantitative easing, the estimated cost of accrual has risen to 31.7% as at September 2016.</w:t>
      </w:r>
    </w:p>
    <w:p w:rsidR="004E31C7" w:rsidRDefault="004E31C7" w:rsidP="007A6EDC">
      <w:r>
        <w:t>If the current 2.5% LPI increases to pensions in payment were removed and replaced with conditional indexation, the cost of accrual for the employer would fall back to 22.0%.</w:t>
      </w:r>
    </w:p>
    <w:p w:rsidR="001705FA" w:rsidRDefault="001705FA" w:rsidP="007A6EDC">
      <w:r>
        <w:t xml:space="preserve">The total cost of defined benefit accrual – including employee contributions – is therefore 36.6% of earnings as at September 2016, a number that would fall to 27.0% of earnings 2.5% LPI increases were removed.  Contrast this with current payments to defined contribution schemes, which in 2015 </w:t>
      </w:r>
      <w:r>
        <w:lastRenderedPageBreak/>
        <w:t>stood at 4.0% of earnings, of which employers contributed 2.5%.  It is likely that these figures are depressed by the large number of newly-auto-enrolled members.  But even before auto-enrolment, the total contribution rate to defined contribution schemes was only 8.5%, with employers paying 6.0%.  This is marginally above the maximum auto-enrolment level that will be reached in April 2019, of 8% of earnings, with employers paying at least 3% – less than a third of the amount needed to match even a non-increasing defined benefit pension.</w:t>
      </w:r>
    </w:p>
    <w:p w:rsidR="001705FA" w:rsidRDefault="001705FA" w:rsidP="007A6EDC">
      <w:r>
        <w:t>If we remain in a low growth, low interest rate environment, contributions to defined contribution schemes will need to rise sharply.  If they do not, individuals relying on these schemes will reach retirement with inadequate assets and very uncertain futures – and the only group able to support them will be taxpayers.</w:t>
      </w:r>
    </w:p>
    <w:p w:rsidR="00725874" w:rsidRDefault="00725874" w:rsidP="00725874">
      <w:pPr>
        <w:pStyle w:val="Heading1"/>
      </w:pPr>
      <w:r>
        <w:t>References</w:t>
      </w:r>
    </w:p>
    <w:p w:rsidR="003D79D3" w:rsidRDefault="003D79D3" w:rsidP="003D79D3">
      <w:r>
        <w:t>Alexander Danzer and Dolton, Peter (2012), “</w:t>
      </w:r>
      <w:r w:rsidR="00F532D3">
        <w:t>Total r</w:t>
      </w:r>
      <w:r>
        <w:t xml:space="preserve">eward and pensions in the UK in the public and private sectors”, </w:t>
      </w:r>
      <w:r w:rsidRPr="003D79D3">
        <w:t>Labour Economics</w:t>
      </w:r>
      <w:r>
        <w:t>,</w:t>
      </w:r>
      <w:r w:rsidRPr="003D79D3">
        <w:t xml:space="preserve"> 19</w:t>
      </w:r>
      <w:r>
        <w:t>, 584-</w:t>
      </w:r>
      <w:r w:rsidRPr="003D79D3">
        <w:t>594</w:t>
      </w:r>
      <w:r>
        <w:t>.</w:t>
      </w:r>
    </w:p>
    <w:p w:rsidR="00ED7201" w:rsidRDefault="00ED7201" w:rsidP="003D79D3">
      <w:r>
        <w:t>Bank of England (4 August 2016), “Monetary policy summary”.</w:t>
      </w:r>
    </w:p>
    <w:p w:rsidR="00ED7201" w:rsidRDefault="00ED7201" w:rsidP="009903BA">
      <w:r>
        <w:t>Breedon, F., J.S. Chadha and A. Water (2012), “The financial market impact of UK quantitative easing”, BIS Paper No 65</w:t>
      </w:r>
    </w:p>
    <w:p w:rsidR="00ED7201" w:rsidRDefault="00ED7201" w:rsidP="009903BA">
      <w:r>
        <w:t>Bridges J. and R. Thomas (January 2012), “The impact of QE on the UK economy – some supportive monetarist arithmetic”, Bank of England Working Paper 442</w:t>
      </w:r>
    </w:p>
    <w:p w:rsidR="00ED7201" w:rsidRDefault="00ED7201" w:rsidP="009903BA">
      <w:r>
        <w:t>Christensen, J.H.E. and G.D Rudebusch (May 2012), “The Response of Interest Rates to U.S. and U.K Quantitative Easing”, Federal Reserve Bank of San Francisco Working Paper 2012-06</w:t>
      </w:r>
    </w:p>
    <w:p w:rsidR="009903BA" w:rsidRDefault="009903BA" w:rsidP="009903BA">
      <w:r>
        <w:t xml:space="preserve">Cribb, Jonathan and </w:t>
      </w:r>
      <w:r w:rsidR="00C27939">
        <w:t xml:space="preserve">Carl </w:t>
      </w:r>
      <w:r>
        <w:t xml:space="preserve">Emmeron (2016), “Workplace </w:t>
      </w:r>
      <w:r w:rsidR="00C27939">
        <w:t>p</w:t>
      </w:r>
      <w:r>
        <w:t>ensions</w:t>
      </w:r>
      <w:r w:rsidR="00C27939">
        <w:t xml:space="preserve"> and remuneration in the p</w:t>
      </w:r>
      <w:r>
        <w:t xml:space="preserve">ublic and </w:t>
      </w:r>
      <w:r w:rsidR="00C27939">
        <w:t>p</w:t>
      </w:r>
      <w:r>
        <w:t xml:space="preserve">rivate </w:t>
      </w:r>
      <w:r w:rsidR="00C27939">
        <w:t>s</w:t>
      </w:r>
      <w:r>
        <w:t>ectors in the UK”, National Institute Economic Review, 237</w:t>
      </w:r>
      <w:r w:rsidR="00C27939">
        <w:t xml:space="preserve"> (</w:t>
      </w:r>
      <w:r>
        <w:t>August</w:t>
      </w:r>
      <w:r w:rsidR="00C27939">
        <w:t>)</w:t>
      </w:r>
      <w:r w:rsidR="00FC1C90">
        <w:t>, 30</w:t>
      </w:r>
      <w:r>
        <w:t>-37.</w:t>
      </w:r>
    </w:p>
    <w:p w:rsidR="001D1D50" w:rsidRDefault="001D1D50" w:rsidP="009903BA">
      <w:r>
        <w:t>Cribb, Jonathan and Carl Emmeron (2015), “New public service pensions remain relatively generous despite cuts”, Institute for Fiscal Studies Observations, 31 March 2015.</w:t>
      </w:r>
    </w:p>
    <w:p w:rsidR="0045279A" w:rsidRDefault="0045279A" w:rsidP="009903BA">
      <w:r>
        <w:t>Cumbo, J. (2016), “</w:t>
      </w:r>
      <w:r w:rsidR="00AF70BD">
        <w:t>MPs to consider allowing pension schemes to break inflation promises”, Financial Times, 30 September 2016.</w:t>
      </w:r>
    </w:p>
    <w:p w:rsidR="00C27939" w:rsidRDefault="00C27939" w:rsidP="009F3968">
      <w:r>
        <w:t>Disney, Richard, Carl Emmerson and Gemma Tetlow (2009) “What is a public sector pension worth?”, Economic Journal, 119 (November), 517-535.</w:t>
      </w:r>
    </w:p>
    <w:p w:rsidR="000D0A97" w:rsidRDefault="000D0A97" w:rsidP="009F3968">
      <w:r>
        <w:t>HMRC (2015), “</w:t>
      </w:r>
      <w:r w:rsidRPr="000D0A97">
        <w:t>Personal pensions: estimated number of individuals contributing and average contribution by status</w:t>
      </w:r>
      <w:r>
        <w:t>”</w:t>
      </w:r>
    </w:p>
    <w:p w:rsidR="002726E9" w:rsidRDefault="002726E9" w:rsidP="009F3968">
      <w:r w:rsidRPr="002726E9">
        <w:t>Human Mortality Database</w:t>
      </w:r>
      <w:r>
        <w:t xml:space="preserve"> (2016),</w:t>
      </w:r>
      <w:r w:rsidRPr="002726E9">
        <w:t xml:space="preserve"> University of California, Berkeley (USA), and Max Planck Institute for Demographic Research (Germany). Available at www.mortality.org or www.humanmortality.de (data downloaded on </w:t>
      </w:r>
      <w:r>
        <w:t>13 June 2016</w:t>
      </w:r>
      <w:r w:rsidRPr="002726E9">
        <w:t>)</w:t>
      </w:r>
    </w:p>
    <w:p w:rsidR="00ED7201" w:rsidRDefault="00ED7201" w:rsidP="009F3968">
      <w:r>
        <w:t>Joyce, M.A.S., A. Lasaosa, I. Stevens and M. Tong (September 2011), “The Financial Market Impact of Quantitative Easing in the United Kindgom”, International Journal of Central Banking</w:t>
      </w:r>
    </w:p>
    <w:p w:rsidR="00ED7201" w:rsidRDefault="00ED7201" w:rsidP="009F3968">
      <w:r>
        <w:t>Kapetanios, G., H. Mumtaz, I. Stevens and K.Theodoridis (January 2012), “Assessing the Economy-Wide Effects of Quantitative Easing”, Bank of England Working Paper 443</w:t>
      </w:r>
    </w:p>
    <w:p w:rsidR="00512533" w:rsidRDefault="00512533" w:rsidP="009F3968">
      <w:r>
        <w:t>Lane, Clark and Peacock (2016), “Accounting for Pensions</w:t>
      </w:r>
      <w:r w:rsidR="00531B28">
        <w:t>, 2016</w:t>
      </w:r>
      <w:r>
        <w:t>”</w:t>
      </w:r>
    </w:p>
    <w:p w:rsidR="00B76FFF" w:rsidRDefault="00B76FFF" w:rsidP="009F3968">
      <w:r w:rsidRPr="00B76FFF">
        <w:lastRenderedPageBreak/>
        <w:t>Lee, Ronald and Lawrence Carter</w:t>
      </w:r>
      <w:r>
        <w:t xml:space="preserve"> (1992)</w:t>
      </w:r>
      <w:r w:rsidRPr="00B76FFF">
        <w:t xml:space="preserve"> </w:t>
      </w:r>
      <w:r>
        <w:t>“</w:t>
      </w:r>
      <w:r w:rsidRPr="00B76FFF">
        <w:t>Modeling and forecasting US mortality</w:t>
      </w:r>
      <w:r>
        <w:t>”,</w:t>
      </w:r>
      <w:r w:rsidRPr="00B76FFF">
        <w:t xml:space="preserve"> Journal of the American statistical association</w:t>
      </w:r>
      <w:r>
        <w:t>,</w:t>
      </w:r>
      <w:r w:rsidRPr="00B76FFF">
        <w:t xml:space="preserve"> 87</w:t>
      </w:r>
      <w:r>
        <w:t xml:space="preserve"> (</w:t>
      </w:r>
      <w:r w:rsidRPr="00B76FFF">
        <w:t>419</w:t>
      </w:r>
      <w:r>
        <w:t>),</w:t>
      </w:r>
      <w:r w:rsidRPr="00B76FFF">
        <w:t xml:space="preserve"> 659</w:t>
      </w:r>
      <w:r>
        <w:t>-</w:t>
      </w:r>
      <w:r w:rsidRPr="00B76FFF">
        <w:t>671.</w:t>
      </w:r>
    </w:p>
    <w:p w:rsidR="00ED7201" w:rsidRDefault="00ED7201" w:rsidP="009F3968">
      <w:r>
        <w:t>Meier, A. (August 2009) “Panacea, Curse or Nonevent? Unconventional Monetary Policy in the United Kingdom”, International Monetary Fund Working Paper 09/163.</w:t>
      </w:r>
    </w:p>
    <w:p w:rsidR="001116CD" w:rsidRDefault="001116CD" w:rsidP="009F3968">
      <w:r>
        <w:t>Office for National Statistics (201</w:t>
      </w:r>
      <w:r w:rsidR="00620FC3">
        <w:t>5</w:t>
      </w:r>
      <w:r>
        <w:t>), “Occupational Pension Schemes Survey, 201</w:t>
      </w:r>
      <w:r w:rsidR="00620FC3">
        <w:t>4</w:t>
      </w:r>
      <w:r>
        <w:t>”</w:t>
      </w:r>
    </w:p>
    <w:p w:rsidR="00531B28" w:rsidRDefault="00531B28" w:rsidP="009F3968">
      <w:r>
        <w:t>Office for National Statistics (201</w:t>
      </w:r>
      <w:r w:rsidR="001116CD">
        <w:t>6</w:t>
      </w:r>
      <w:r>
        <w:t>), “Occupational Pension Schemes Survey, 201</w:t>
      </w:r>
      <w:r w:rsidR="001116CD">
        <w:t>5</w:t>
      </w:r>
      <w:r>
        <w:t>”</w:t>
      </w:r>
    </w:p>
    <w:p w:rsidR="00725874" w:rsidRDefault="00725874" w:rsidP="009F3968">
      <w:r>
        <w:t>Pension Protection Fund (2015), “The Purple Book</w:t>
      </w:r>
      <w:r w:rsidR="00531B28">
        <w:t>, 2015</w:t>
      </w:r>
      <w:r>
        <w:t>”</w:t>
      </w:r>
    </w:p>
    <w:p w:rsidR="00F532D3" w:rsidRDefault="00F532D3" w:rsidP="009F3968">
      <w:r>
        <w:t>Pensions Regulator, The (2016), “Scheme funding statistics: valuations and recovery plans of UK defined benefit and hybrid pension schemes”</w:t>
      </w:r>
    </w:p>
    <w:p w:rsidR="005A20CB" w:rsidRDefault="005A20CB" w:rsidP="005A20CB">
      <w:r>
        <w:t xml:space="preserve">Sweeting, Paul (2008), “The cost and value of UK defined benefit provision”, Journal of Pension Economics and Finance, </w:t>
      </w:r>
      <w:r w:rsidRPr="005A20CB">
        <w:t>7 (2</w:t>
      </w:r>
      <w:r>
        <w:t>:</w:t>
      </w:r>
      <w:r w:rsidRPr="005A20CB">
        <w:t xml:space="preserve"> July</w:t>
      </w:r>
      <w:r>
        <w:t xml:space="preserve">), </w:t>
      </w:r>
      <w:r w:rsidRPr="005A20CB">
        <w:t>1</w:t>
      </w:r>
      <w:r>
        <w:t>-</w:t>
      </w:r>
      <w:r w:rsidRPr="005A20CB">
        <w:t>34</w:t>
      </w:r>
      <w:r>
        <w:t>.</w:t>
      </w:r>
    </w:p>
    <w:p w:rsidR="002D607B" w:rsidRDefault="00ED7201" w:rsidP="002D607B">
      <w:r>
        <w:t>Sweeting, Paul, Alexandre Christie and Edward Gladwyn (2013), “Not drowning but waving? Quantitative easing and UK pension schemes”, J.P Morgan Asset Management Insight Paper.</w:t>
      </w:r>
    </w:p>
    <w:p w:rsidR="00DB0017" w:rsidRPr="009F3968" w:rsidRDefault="00DB0017" w:rsidP="002D607B">
      <w:r>
        <w:t>Vaughan, Andrew (2016), “Big schemes survey: £1bn+”, Barnett Waddingham Research</w:t>
      </w:r>
    </w:p>
    <w:sectPr w:rsidR="00DB0017" w:rsidRPr="009F396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413" w:rsidRDefault="00A61413" w:rsidP="005A4EE3">
      <w:pPr>
        <w:spacing w:after="0" w:line="240" w:lineRule="auto"/>
      </w:pPr>
      <w:r>
        <w:separator/>
      </w:r>
    </w:p>
  </w:endnote>
  <w:endnote w:type="continuationSeparator" w:id="0">
    <w:p w:rsidR="00A61413" w:rsidRDefault="00A61413" w:rsidP="005A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487043"/>
      <w:docPartObj>
        <w:docPartGallery w:val="Page Numbers (Bottom of Page)"/>
        <w:docPartUnique/>
      </w:docPartObj>
    </w:sdtPr>
    <w:sdtEndPr>
      <w:rPr>
        <w:noProof/>
      </w:rPr>
    </w:sdtEndPr>
    <w:sdtContent>
      <w:p w:rsidR="0045743B" w:rsidRDefault="0045743B">
        <w:pPr>
          <w:pStyle w:val="Footer"/>
          <w:jc w:val="center"/>
        </w:pPr>
        <w:r>
          <w:fldChar w:fldCharType="begin"/>
        </w:r>
        <w:r>
          <w:instrText xml:space="preserve"> PAGE   \* MERGEFORMAT </w:instrText>
        </w:r>
        <w:r>
          <w:fldChar w:fldCharType="separate"/>
        </w:r>
        <w:r w:rsidR="001457D7">
          <w:rPr>
            <w:noProof/>
          </w:rPr>
          <w:t>1</w:t>
        </w:r>
        <w:r>
          <w:rPr>
            <w:noProof/>
          </w:rPr>
          <w:fldChar w:fldCharType="end"/>
        </w:r>
      </w:p>
    </w:sdtContent>
  </w:sdt>
  <w:p w:rsidR="0045743B" w:rsidRDefault="00457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413" w:rsidRDefault="00A61413" w:rsidP="005A4EE3">
      <w:pPr>
        <w:spacing w:after="0" w:line="240" w:lineRule="auto"/>
      </w:pPr>
      <w:r>
        <w:separator/>
      </w:r>
    </w:p>
  </w:footnote>
  <w:footnote w:type="continuationSeparator" w:id="0">
    <w:p w:rsidR="00A61413" w:rsidRDefault="00A61413" w:rsidP="005A4EE3">
      <w:pPr>
        <w:spacing w:after="0" w:line="240" w:lineRule="auto"/>
      </w:pPr>
      <w:r>
        <w:continuationSeparator/>
      </w:r>
    </w:p>
  </w:footnote>
  <w:footnote w:id="1">
    <w:p w:rsidR="0045743B" w:rsidRDefault="0045743B" w:rsidP="00645470">
      <w:pPr>
        <w:pStyle w:val="FootnoteText"/>
      </w:pPr>
      <w:r>
        <w:rPr>
          <w:rStyle w:val="FootnoteReference"/>
        </w:rPr>
        <w:footnoteRef/>
      </w:r>
      <w:r>
        <w:t xml:space="preserve"> A partial exception is the Universities Superannuation Scheme, which has introduced a defined contribution section in addition to the main defined benefit scheme, whose benefits are now capped.</w:t>
      </w:r>
    </w:p>
  </w:footnote>
  <w:footnote w:id="2">
    <w:p w:rsidR="0045743B" w:rsidRDefault="0045743B">
      <w:pPr>
        <w:pStyle w:val="FootnoteText"/>
      </w:pPr>
      <w:r>
        <w:rPr>
          <w:rStyle w:val="FootnoteReference"/>
        </w:rPr>
        <w:footnoteRef/>
      </w:r>
      <w:r>
        <w:t xml:space="preserve"> The number of defined contribution members does not appear to have been added to through personal pension membership: according to HMRC (2015), the number of employees contributing to personal pension schemes – or having contributions made on their behalf – has stayed constant at 6.0 million.</w:t>
      </w:r>
    </w:p>
  </w:footnote>
  <w:footnote w:id="3">
    <w:p w:rsidR="0045743B" w:rsidRDefault="0045743B">
      <w:pPr>
        <w:pStyle w:val="FootnoteText"/>
      </w:pPr>
      <w:r>
        <w:rPr>
          <w:rStyle w:val="FootnoteReference"/>
        </w:rPr>
        <w:footnoteRef/>
      </w:r>
      <w:r>
        <w:t xml:space="preserve"> The Pensions Regulator, www.thepensionsregulator.gov.uk</w:t>
      </w:r>
    </w:p>
  </w:footnote>
  <w:footnote w:id="4">
    <w:p w:rsidR="0045743B" w:rsidRDefault="0045743B">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84FF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1C87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E880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025D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AE6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AC74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94AD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E2C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506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120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E1B89"/>
    <w:multiLevelType w:val="hybridMultilevel"/>
    <w:tmpl w:val="3B823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21060F"/>
    <w:multiLevelType w:val="hybridMultilevel"/>
    <w:tmpl w:val="8DEE7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90140"/>
    <w:multiLevelType w:val="hybridMultilevel"/>
    <w:tmpl w:val="B8205B90"/>
    <w:lvl w:ilvl="0" w:tplc="3A5C6AFC">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C01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EE52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661B23"/>
    <w:multiLevelType w:val="hybridMultilevel"/>
    <w:tmpl w:val="95F6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620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624250"/>
    <w:multiLevelType w:val="hybridMultilevel"/>
    <w:tmpl w:val="51B0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178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5778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E407FF"/>
    <w:multiLevelType w:val="hybridMultilevel"/>
    <w:tmpl w:val="F3546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7F1724"/>
    <w:multiLevelType w:val="hybridMultilevel"/>
    <w:tmpl w:val="C7E41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0B73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22F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F84F18"/>
    <w:multiLevelType w:val="hybridMultilevel"/>
    <w:tmpl w:val="2F985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B836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A918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4"/>
  </w:num>
  <w:num w:numId="13">
    <w:abstractNumId w:val="12"/>
  </w:num>
  <w:num w:numId="14">
    <w:abstractNumId w:val="14"/>
  </w:num>
  <w:num w:numId="15">
    <w:abstractNumId w:val="19"/>
  </w:num>
  <w:num w:numId="16">
    <w:abstractNumId w:val="18"/>
  </w:num>
  <w:num w:numId="17">
    <w:abstractNumId w:val="22"/>
  </w:num>
  <w:num w:numId="18">
    <w:abstractNumId w:val="16"/>
  </w:num>
  <w:num w:numId="19">
    <w:abstractNumId w:val="26"/>
  </w:num>
  <w:num w:numId="20">
    <w:abstractNumId w:val="15"/>
  </w:num>
  <w:num w:numId="21">
    <w:abstractNumId w:val="17"/>
  </w:num>
  <w:num w:numId="22">
    <w:abstractNumId w:val="23"/>
  </w:num>
  <w:num w:numId="23">
    <w:abstractNumId w:val="25"/>
  </w:num>
  <w:num w:numId="24">
    <w:abstractNumId w:val="10"/>
  </w:num>
  <w:num w:numId="25">
    <w:abstractNumId w:val="13"/>
  </w:num>
  <w:num w:numId="26">
    <w:abstractNumId w:val="2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70"/>
    <w:rsid w:val="000002FA"/>
    <w:rsid w:val="0000775E"/>
    <w:rsid w:val="00031FD8"/>
    <w:rsid w:val="00057A0F"/>
    <w:rsid w:val="00075AA0"/>
    <w:rsid w:val="000B1B84"/>
    <w:rsid w:val="000B7FA8"/>
    <w:rsid w:val="000C60DE"/>
    <w:rsid w:val="000D0A97"/>
    <w:rsid w:val="000D5488"/>
    <w:rsid w:val="001116CD"/>
    <w:rsid w:val="00143C0A"/>
    <w:rsid w:val="001457D7"/>
    <w:rsid w:val="00164788"/>
    <w:rsid w:val="001705FA"/>
    <w:rsid w:val="001A0F25"/>
    <w:rsid w:val="001A7C16"/>
    <w:rsid w:val="001D1D50"/>
    <w:rsid w:val="001F38C6"/>
    <w:rsid w:val="00205E87"/>
    <w:rsid w:val="00260108"/>
    <w:rsid w:val="0026477C"/>
    <w:rsid w:val="002726E9"/>
    <w:rsid w:val="002B4B6B"/>
    <w:rsid w:val="002D607B"/>
    <w:rsid w:val="00302137"/>
    <w:rsid w:val="00303050"/>
    <w:rsid w:val="00314ADE"/>
    <w:rsid w:val="003423B2"/>
    <w:rsid w:val="00360254"/>
    <w:rsid w:val="00360767"/>
    <w:rsid w:val="00364A7D"/>
    <w:rsid w:val="00365884"/>
    <w:rsid w:val="003817FE"/>
    <w:rsid w:val="003944D8"/>
    <w:rsid w:val="003C07B7"/>
    <w:rsid w:val="003C2323"/>
    <w:rsid w:val="003C6AD9"/>
    <w:rsid w:val="003D79D3"/>
    <w:rsid w:val="00444746"/>
    <w:rsid w:val="00444FB6"/>
    <w:rsid w:val="0045279A"/>
    <w:rsid w:val="0045743B"/>
    <w:rsid w:val="00474930"/>
    <w:rsid w:val="00490426"/>
    <w:rsid w:val="00491130"/>
    <w:rsid w:val="004A0E38"/>
    <w:rsid w:val="004D078E"/>
    <w:rsid w:val="004D0E7A"/>
    <w:rsid w:val="004E20AA"/>
    <w:rsid w:val="004E31C7"/>
    <w:rsid w:val="004E6942"/>
    <w:rsid w:val="00502335"/>
    <w:rsid w:val="00502E4E"/>
    <w:rsid w:val="00512533"/>
    <w:rsid w:val="00524741"/>
    <w:rsid w:val="00531B28"/>
    <w:rsid w:val="0054352C"/>
    <w:rsid w:val="00547CA9"/>
    <w:rsid w:val="00551ACB"/>
    <w:rsid w:val="005534E8"/>
    <w:rsid w:val="0056483A"/>
    <w:rsid w:val="00564AC7"/>
    <w:rsid w:val="005668E8"/>
    <w:rsid w:val="00574ED0"/>
    <w:rsid w:val="005A20CB"/>
    <w:rsid w:val="005A4EE3"/>
    <w:rsid w:val="005E71BB"/>
    <w:rsid w:val="005F1EA1"/>
    <w:rsid w:val="005F67D5"/>
    <w:rsid w:val="00614AFD"/>
    <w:rsid w:val="00620FC3"/>
    <w:rsid w:val="0062214F"/>
    <w:rsid w:val="00630CF8"/>
    <w:rsid w:val="00645470"/>
    <w:rsid w:val="00650675"/>
    <w:rsid w:val="0066695A"/>
    <w:rsid w:val="006670D1"/>
    <w:rsid w:val="00670030"/>
    <w:rsid w:val="00691389"/>
    <w:rsid w:val="006A3AA8"/>
    <w:rsid w:val="006B2BB8"/>
    <w:rsid w:val="006C6877"/>
    <w:rsid w:val="006D1CAF"/>
    <w:rsid w:val="006E0EF8"/>
    <w:rsid w:val="007107EC"/>
    <w:rsid w:val="00712E63"/>
    <w:rsid w:val="00725874"/>
    <w:rsid w:val="00743073"/>
    <w:rsid w:val="007A018A"/>
    <w:rsid w:val="007A6EDC"/>
    <w:rsid w:val="007C5986"/>
    <w:rsid w:val="008505E9"/>
    <w:rsid w:val="008578BE"/>
    <w:rsid w:val="00872BD8"/>
    <w:rsid w:val="008A7D70"/>
    <w:rsid w:val="008B3F25"/>
    <w:rsid w:val="008C40D0"/>
    <w:rsid w:val="00934FBC"/>
    <w:rsid w:val="00935876"/>
    <w:rsid w:val="00940A86"/>
    <w:rsid w:val="009458CB"/>
    <w:rsid w:val="00961322"/>
    <w:rsid w:val="0097543E"/>
    <w:rsid w:val="009903BA"/>
    <w:rsid w:val="009939DF"/>
    <w:rsid w:val="009A36BB"/>
    <w:rsid w:val="009A79EF"/>
    <w:rsid w:val="009F3968"/>
    <w:rsid w:val="00A05044"/>
    <w:rsid w:val="00A17594"/>
    <w:rsid w:val="00A33491"/>
    <w:rsid w:val="00A41F0D"/>
    <w:rsid w:val="00A42358"/>
    <w:rsid w:val="00A43B27"/>
    <w:rsid w:val="00A45265"/>
    <w:rsid w:val="00A53121"/>
    <w:rsid w:val="00A61413"/>
    <w:rsid w:val="00A74EED"/>
    <w:rsid w:val="00A813FD"/>
    <w:rsid w:val="00A82471"/>
    <w:rsid w:val="00A83016"/>
    <w:rsid w:val="00A83746"/>
    <w:rsid w:val="00AA6F78"/>
    <w:rsid w:val="00AC0D72"/>
    <w:rsid w:val="00AF04B8"/>
    <w:rsid w:val="00AF1C1F"/>
    <w:rsid w:val="00AF70BD"/>
    <w:rsid w:val="00B218E0"/>
    <w:rsid w:val="00B23B55"/>
    <w:rsid w:val="00B52278"/>
    <w:rsid w:val="00B64E83"/>
    <w:rsid w:val="00B76FFF"/>
    <w:rsid w:val="00B92F58"/>
    <w:rsid w:val="00BC1260"/>
    <w:rsid w:val="00BD03DB"/>
    <w:rsid w:val="00BE19B6"/>
    <w:rsid w:val="00BF10B0"/>
    <w:rsid w:val="00C00829"/>
    <w:rsid w:val="00C2785B"/>
    <w:rsid w:val="00C27939"/>
    <w:rsid w:val="00C439A7"/>
    <w:rsid w:val="00C5196A"/>
    <w:rsid w:val="00C54036"/>
    <w:rsid w:val="00CC7FAF"/>
    <w:rsid w:val="00CD55B4"/>
    <w:rsid w:val="00CE3CAF"/>
    <w:rsid w:val="00CE5FD7"/>
    <w:rsid w:val="00CE704C"/>
    <w:rsid w:val="00D432B5"/>
    <w:rsid w:val="00D8298D"/>
    <w:rsid w:val="00DA48AE"/>
    <w:rsid w:val="00DB0017"/>
    <w:rsid w:val="00DB182B"/>
    <w:rsid w:val="00DB183C"/>
    <w:rsid w:val="00DB625B"/>
    <w:rsid w:val="00DF19A3"/>
    <w:rsid w:val="00E06827"/>
    <w:rsid w:val="00E21550"/>
    <w:rsid w:val="00E306D4"/>
    <w:rsid w:val="00E30C64"/>
    <w:rsid w:val="00E40D45"/>
    <w:rsid w:val="00E74E3C"/>
    <w:rsid w:val="00EA3A87"/>
    <w:rsid w:val="00EB464A"/>
    <w:rsid w:val="00ED094D"/>
    <w:rsid w:val="00ED2E9A"/>
    <w:rsid w:val="00ED7201"/>
    <w:rsid w:val="00EE2260"/>
    <w:rsid w:val="00EF0AEE"/>
    <w:rsid w:val="00EF3757"/>
    <w:rsid w:val="00EF5EB9"/>
    <w:rsid w:val="00F118EB"/>
    <w:rsid w:val="00F12560"/>
    <w:rsid w:val="00F12F51"/>
    <w:rsid w:val="00F411AE"/>
    <w:rsid w:val="00F41CCF"/>
    <w:rsid w:val="00F44EF4"/>
    <w:rsid w:val="00F47C40"/>
    <w:rsid w:val="00F5072C"/>
    <w:rsid w:val="00F532D3"/>
    <w:rsid w:val="00F62C0F"/>
    <w:rsid w:val="00F818D3"/>
    <w:rsid w:val="00F93A99"/>
    <w:rsid w:val="00FA0A39"/>
    <w:rsid w:val="00FA34F6"/>
    <w:rsid w:val="00FA4CD5"/>
    <w:rsid w:val="00FB6F76"/>
    <w:rsid w:val="00FC1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BF85"/>
  <w15:chartTrackingRefBased/>
  <w15:docId w15:val="{F1656817-60A1-4BB4-8F51-1F0E5637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7D70"/>
  </w:style>
  <w:style w:type="paragraph" w:styleId="Heading1">
    <w:name w:val="heading 1"/>
    <w:basedOn w:val="Normal"/>
    <w:next w:val="Normal"/>
    <w:link w:val="Heading1Char"/>
    <w:uiPriority w:val="9"/>
    <w:qFormat/>
    <w:rsid w:val="008A7D7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8A7D7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A7D7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A7D7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8A7D7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8A7D7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A7D7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A7D7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A7D7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D7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A7D7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A7D7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A7D70"/>
    <w:rPr>
      <w:color w:val="5A5A5A" w:themeColor="text1" w:themeTint="A5"/>
      <w:spacing w:val="15"/>
    </w:rPr>
  </w:style>
  <w:style w:type="character" w:styleId="Emphasis">
    <w:name w:val="Emphasis"/>
    <w:basedOn w:val="DefaultParagraphFont"/>
    <w:uiPriority w:val="20"/>
    <w:qFormat/>
    <w:rsid w:val="008A7D70"/>
    <w:rPr>
      <w:i/>
      <w:iCs/>
      <w:color w:val="auto"/>
    </w:rPr>
  </w:style>
  <w:style w:type="character" w:styleId="IntenseEmphasis">
    <w:name w:val="Intense Emphasis"/>
    <w:basedOn w:val="DefaultParagraphFont"/>
    <w:uiPriority w:val="21"/>
    <w:qFormat/>
    <w:rsid w:val="008A7D70"/>
    <w:rPr>
      <w:b/>
      <w:bCs/>
      <w:i/>
      <w:iCs/>
      <w:color w:val="auto"/>
    </w:rPr>
  </w:style>
  <w:style w:type="character" w:customStyle="1" w:styleId="Heading1Char">
    <w:name w:val="Heading 1 Char"/>
    <w:basedOn w:val="DefaultParagraphFont"/>
    <w:link w:val="Heading1"/>
    <w:uiPriority w:val="9"/>
    <w:rsid w:val="008A7D7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8A7D7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8A7D7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A7D7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8A7D7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8A7D7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8A7D7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A7D7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A7D7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unhideWhenUsed/>
    <w:qFormat/>
    <w:rsid w:val="008A7D70"/>
    <w:pPr>
      <w:spacing w:after="200" w:line="240" w:lineRule="auto"/>
    </w:pPr>
    <w:rPr>
      <w:i/>
      <w:iCs/>
      <w:color w:val="44546A" w:themeColor="text2"/>
      <w:sz w:val="18"/>
      <w:szCs w:val="18"/>
    </w:rPr>
  </w:style>
  <w:style w:type="character" w:styleId="Strong">
    <w:name w:val="Strong"/>
    <w:basedOn w:val="DefaultParagraphFont"/>
    <w:uiPriority w:val="22"/>
    <w:qFormat/>
    <w:rsid w:val="008A7D70"/>
    <w:rPr>
      <w:b/>
      <w:bCs/>
      <w:color w:val="auto"/>
    </w:rPr>
  </w:style>
  <w:style w:type="paragraph" w:styleId="NoSpacing">
    <w:name w:val="No Spacing"/>
    <w:uiPriority w:val="1"/>
    <w:qFormat/>
    <w:rsid w:val="008A7D70"/>
    <w:pPr>
      <w:spacing w:after="0" w:line="240" w:lineRule="auto"/>
    </w:pPr>
  </w:style>
  <w:style w:type="paragraph" w:styleId="Quote">
    <w:name w:val="Quote"/>
    <w:basedOn w:val="Normal"/>
    <w:next w:val="Normal"/>
    <w:link w:val="QuoteChar"/>
    <w:uiPriority w:val="29"/>
    <w:qFormat/>
    <w:rsid w:val="008A7D7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A7D70"/>
    <w:rPr>
      <w:i/>
      <w:iCs/>
      <w:color w:val="404040" w:themeColor="text1" w:themeTint="BF"/>
    </w:rPr>
  </w:style>
  <w:style w:type="paragraph" w:styleId="IntenseQuote">
    <w:name w:val="Intense Quote"/>
    <w:basedOn w:val="Normal"/>
    <w:next w:val="Normal"/>
    <w:link w:val="IntenseQuoteChar"/>
    <w:uiPriority w:val="30"/>
    <w:qFormat/>
    <w:rsid w:val="008A7D7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A7D70"/>
    <w:rPr>
      <w:i/>
      <w:iCs/>
      <w:color w:val="404040" w:themeColor="text1" w:themeTint="BF"/>
    </w:rPr>
  </w:style>
  <w:style w:type="character" w:styleId="SubtleEmphasis">
    <w:name w:val="Subtle Emphasis"/>
    <w:basedOn w:val="DefaultParagraphFont"/>
    <w:uiPriority w:val="19"/>
    <w:qFormat/>
    <w:rsid w:val="008A7D70"/>
    <w:rPr>
      <w:i/>
      <w:iCs/>
      <w:color w:val="404040" w:themeColor="text1" w:themeTint="BF"/>
    </w:rPr>
  </w:style>
  <w:style w:type="character" w:styleId="SubtleReference">
    <w:name w:val="Subtle Reference"/>
    <w:basedOn w:val="DefaultParagraphFont"/>
    <w:uiPriority w:val="31"/>
    <w:qFormat/>
    <w:rsid w:val="008A7D70"/>
    <w:rPr>
      <w:smallCaps/>
      <w:color w:val="404040" w:themeColor="text1" w:themeTint="BF"/>
    </w:rPr>
  </w:style>
  <w:style w:type="character" w:styleId="IntenseReference">
    <w:name w:val="Intense Reference"/>
    <w:basedOn w:val="DefaultParagraphFont"/>
    <w:uiPriority w:val="32"/>
    <w:qFormat/>
    <w:rsid w:val="008A7D70"/>
    <w:rPr>
      <w:b/>
      <w:bCs/>
      <w:smallCaps/>
      <w:color w:val="404040" w:themeColor="text1" w:themeTint="BF"/>
      <w:spacing w:val="5"/>
    </w:rPr>
  </w:style>
  <w:style w:type="character" w:styleId="BookTitle">
    <w:name w:val="Book Title"/>
    <w:basedOn w:val="DefaultParagraphFont"/>
    <w:uiPriority w:val="33"/>
    <w:qFormat/>
    <w:rsid w:val="008A7D70"/>
    <w:rPr>
      <w:b/>
      <w:bCs/>
      <w:i/>
      <w:iCs/>
      <w:spacing w:val="5"/>
    </w:rPr>
  </w:style>
  <w:style w:type="paragraph" w:styleId="TOCHeading">
    <w:name w:val="TOC Heading"/>
    <w:basedOn w:val="Heading1"/>
    <w:next w:val="Normal"/>
    <w:uiPriority w:val="39"/>
    <w:semiHidden/>
    <w:unhideWhenUsed/>
    <w:qFormat/>
    <w:rsid w:val="008A7D70"/>
    <w:pPr>
      <w:outlineLvl w:val="9"/>
    </w:pPr>
  </w:style>
  <w:style w:type="character" w:styleId="Hyperlink">
    <w:name w:val="Hyperlink"/>
    <w:basedOn w:val="DefaultParagraphFont"/>
    <w:uiPriority w:val="99"/>
    <w:unhideWhenUsed/>
    <w:rsid w:val="008A7D70"/>
    <w:rPr>
      <w:color w:val="0563C1" w:themeColor="hyperlink"/>
      <w:u w:val="single"/>
    </w:rPr>
  </w:style>
  <w:style w:type="paragraph" w:styleId="ListParagraph">
    <w:name w:val="List Paragraph"/>
    <w:basedOn w:val="Normal"/>
    <w:uiPriority w:val="34"/>
    <w:qFormat/>
    <w:rsid w:val="009F3968"/>
    <w:pPr>
      <w:ind w:left="720"/>
      <w:contextualSpacing/>
    </w:pPr>
  </w:style>
  <w:style w:type="paragraph" w:styleId="FootnoteText">
    <w:name w:val="footnote text"/>
    <w:basedOn w:val="Normal"/>
    <w:link w:val="FootnoteTextChar"/>
    <w:uiPriority w:val="99"/>
    <w:semiHidden/>
    <w:unhideWhenUsed/>
    <w:rsid w:val="005A4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EE3"/>
    <w:rPr>
      <w:sz w:val="20"/>
      <w:szCs w:val="20"/>
    </w:rPr>
  </w:style>
  <w:style w:type="character" w:styleId="FootnoteReference">
    <w:name w:val="footnote reference"/>
    <w:basedOn w:val="DefaultParagraphFont"/>
    <w:uiPriority w:val="99"/>
    <w:semiHidden/>
    <w:unhideWhenUsed/>
    <w:rsid w:val="005A4EE3"/>
    <w:rPr>
      <w:vertAlign w:val="superscript"/>
    </w:rPr>
  </w:style>
  <w:style w:type="character" w:styleId="PlaceholderText">
    <w:name w:val="Placeholder Text"/>
    <w:basedOn w:val="DefaultParagraphFont"/>
    <w:uiPriority w:val="99"/>
    <w:semiHidden/>
    <w:rsid w:val="005E71BB"/>
    <w:rPr>
      <w:color w:val="808080"/>
    </w:rPr>
  </w:style>
  <w:style w:type="table" w:styleId="GridTable1Light-Accent3">
    <w:name w:val="Grid Table 1 Light Accent 3"/>
    <w:basedOn w:val="TableNormal"/>
    <w:uiPriority w:val="46"/>
    <w:rsid w:val="007A6ED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D0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94D"/>
  </w:style>
  <w:style w:type="paragraph" w:styleId="Footer">
    <w:name w:val="footer"/>
    <w:basedOn w:val="Normal"/>
    <w:link w:val="FooterChar"/>
    <w:uiPriority w:val="99"/>
    <w:unhideWhenUsed/>
    <w:rsid w:val="00ED0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086245">
      <w:bodyDiv w:val="1"/>
      <w:marLeft w:val="0"/>
      <w:marRight w:val="0"/>
      <w:marTop w:val="0"/>
      <w:marBottom w:val="0"/>
      <w:divBdr>
        <w:top w:val="none" w:sz="0" w:space="0" w:color="auto"/>
        <w:left w:val="none" w:sz="0" w:space="0" w:color="auto"/>
        <w:bottom w:val="none" w:sz="0" w:space="0" w:color="auto"/>
        <w:right w:val="none" w:sz="0" w:space="0" w:color="auto"/>
      </w:divBdr>
    </w:div>
    <w:div w:id="1347445583">
      <w:bodyDiv w:val="1"/>
      <w:marLeft w:val="0"/>
      <w:marRight w:val="0"/>
      <w:marTop w:val="0"/>
      <w:marBottom w:val="0"/>
      <w:divBdr>
        <w:top w:val="none" w:sz="0" w:space="0" w:color="auto"/>
        <w:left w:val="none" w:sz="0" w:space="0" w:color="auto"/>
        <w:bottom w:val="none" w:sz="0" w:space="0" w:color="auto"/>
        <w:right w:val="none" w:sz="0" w:space="0" w:color="auto"/>
      </w:divBdr>
    </w:div>
    <w:div w:id="14045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sweeting@kent.ac.uk" TargetMode="Externa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ul\Google%20Drive\My%20Documents\Academic\PLSA%20Cost%20of%20DB\161007%20plsa%20calculations%20v4%20-%20September%202016%20update.xlsm"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ul\Google%20Drive\My%20Documents\Academic\PLSA%20Cost%20of%20DB\161007%20plsa%20calculations%20v4%20-%20September%202016%20update.xlsm"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aul\Google%20Drive\My%20Documents\Academic\PLSA%20Cost%20of%20DB\161007%20plsa%20calculations%20v4%20-%20September%202016%20update.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E:\Google%20Drive\My%20Documents\Academic\PLSA%20Cost%20of%20DB\161007%20plsa%20calculations%20v4%20-%20September%202016%20update.xlsm"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Google%20Drive\My%20Documents\Academic\PLSA%20Cost%20of%20DB\161007%20plsa%20calculations%20v4%20-%20September%202016%20update.xlsm"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oleObject" Target="file:///E:\Google%20Drive\My%20Documents\Academic\PLSA%20Cost%20of%20DB\161007%20plsa%20calculations%20v4%20-%20September%202016%20update.xlsm"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E:\Google%20Drive\My%20Documents\Academic\PLSA%20Cost%20of%20DB\161007%20plsa%20calculations%20v4%20-%20September%202016%20update.xlsm"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Results!$AC$45</c:f>
              <c:strCache>
                <c:ptCount val="1"/>
                <c:pt idx="0">
                  <c:v>Cost of Accrual</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Pt>
            <c:idx val="1"/>
            <c:marker>
              <c:symbol val="none"/>
            </c:marker>
            <c:bubble3D val="0"/>
            <c:extLst>
              <c:ext xmlns:c16="http://schemas.microsoft.com/office/drawing/2014/chart" uri="{C3380CC4-5D6E-409C-BE32-E72D297353CC}">
                <c16:uniqueId val="{00000000-CBDA-4A1F-B8E2-633B3FEF05DF}"/>
              </c:ext>
            </c:extLst>
          </c:dPt>
          <c:dPt>
            <c:idx val="3"/>
            <c:marker>
              <c:symbol val="none"/>
            </c:marker>
            <c:bubble3D val="0"/>
            <c:extLst>
              <c:ext xmlns:c16="http://schemas.microsoft.com/office/drawing/2014/chart" uri="{C3380CC4-5D6E-409C-BE32-E72D297353CC}">
                <c16:uniqueId val="{00000001-CBDA-4A1F-B8E2-633B3FEF05DF}"/>
              </c:ext>
            </c:extLst>
          </c:dPt>
          <c:dPt>
            <c:idx val="5"/>
            <c:marker>
              <c:symbol val="none"/>
            </c:marker>
            <c:bubble3D val="0"/>
            <c:extLst>
              <c:ext xmlns:c16="http://schemas.microsoft.com/office/drawing/2014/chart" uri="{C3380CC4-5D6E-409C-BE32-E72D297353CC}">
                <c16:uniqueId val="{00000002-CBDA-4A1F-B8E2-633B3FEF05DF}"/>
              </c:ext>
            </c:extLst>
          </c:dPt>
          <c:dPt>
            <c:idx val="7"/>
            <c:marker>
              <c:symbol val="none"/>
            </c:marker>
            <c:bubble3D val="0"/>
            <c:extLst>
              <c:ext xmlns:c16="http://schemas.microsoft.com/office/drawing/2014/chart" uri="{C3380CC4-5D6E-409C-BE32-E72D297353CC}">
                <c16:uniqueId val="{00000003-CBDA-4A1F-B8E2-633B3FEF05DF}"/>
              </c:ext>
            </c:extLst>
          </c:dPt>
          <c:dPt>
            <c:idx val="9"/>
            <c:marker>
              <c:symbol val="none"/>
            </c:marker>
            <c:bubble3D val="0"/>
            <c:extLst>
              <c:ext xmlns:c16="http://schemas.microsoft.com/office/drawing/2014/chart" uri="{C3380CC4-5D6E-409C-BE32-E72D297353CC}">
                <c16:uniqueId val="{00000004-CBDA-4A1F-B8E2-633B3FEF05DF}"/>
              </c:ext>
            </c:extLst>
          </c:dPt>
          <c:dPt>
            <c:idx val="11"/>
            <c:marker>
              <c:symbol val="none"/>
            </c:marker>
            <c:bubble3D val="0"/>
            <c:extLst>
              <c:ext xmlns:c16="http://schemas.microsoft.com/office/drawing/2014/chart" uri="{C3380CC4-5D6E-409C-BE32-E72D297353CC}">
                <c16:uniqueId val="{00000005-CBDA-4A1F-B8E2-633B3FEF05DF}"/>
              </c:ext>
            </c:extLst>
          </c:dPt>
          <c:dPt>
            <c:idx val="13"/>
            <c:marker>
              <c:symbol val="none"/>
            </c:marker>
            <c:bubble3D val="0"/>
            <c:extLst>
              <c:ext xmlns:c16="http://schemas.microsoft.com/office/drawing/2014/chart" uri="{C3380CC4-5D6E-409C-BE32-E72D297353CC}">
                <c16:uniqueId val="{00000006-CBDA-4A1F-B8E2-633B3FEF05DF}"/>
              </c:ext>
            </c:extLst>
          </c:dPt>
          <c:dPt>
            <c:idx val="15"/>
            <c:marker>
              <c:symbol val="none"/>
            </c:marker>
            <c:bubble3D val="0"/>
            <c:extLst>
              <c:ext xmlns:c16="http://schemas.microsoft.com/office/drawing/2014/chart" uri="{C3380CC4-5D6E-409C-BE32-E72D297353CC}">
                <c16:uniqueId val="{00000007-CBDA-4A1F-B8E2-633B3FEF05DF}"/>
              </c:ext>
            </c:extLst>
          </c:dPt>
          <c:dPt>
            <c:idx val="17"/>
            <c:marker>
              <c:symbol val="none"/>
            </c:marker>
            <c:bubble3D val="0"/>
            <c:extLst>
              <c:ext xmlns:c16="http://schemas.microsoft.com/office/drawing/2014/chart" uri="{C3380CC4-5D6E-409C-BE32-E72D297353CC}">
                <c16:uniqueId val="{00000008-CBDA-4A1F-B8E2-633B3FEF05DF}"/>
              </c:ext>
            </c:extLst>
          </c:dPt>
          <c:dPt>
            <c:idx val="19"/>
            <c:marker>
              <c:symbol val="none"/>
            </c:marker>
            <c:bubble3D val="0"/>
            <c:extLst>
              <c:ext xmlns:c16="http://schemas.microsoft.com/office/drawing/2014/chart" uri="{C3380CC4-5D6E-409C-BE32-E72D297353CC}">
                <c16:uniqueId val="{00000009-CBDA-4A1F-B8E2-633B3FEF05DF}"/>
              </c:ext>
            </c:extLst>
          </c:dPt>
          <c:dPt>
            <c:idx val="21"/>
            <c:marker>
              <c:symbol val="none"/>
            </c:marker>
            <c:bubble3D val="0"/>
            <c:extLst>
              <c:ext xmlns:c16="http://schemas.microsoft.com/office/drawing/2014/chart" uri="{C3380CC4-5D6E-409C-BE32-E72D297353CC}">
                <c16:uniqueId val="{0000000A-CBDA-4A1F-B8E2-633B3FEF05DF}"/>
              </c:ext>
            </c:extLst>
          </c:dPt>
          <c:dPt>
            <c:idx val="23"/>
            <c:marker>
              <c:symbol val="none"/>
            </c:marker>
            <c:bubble3D val="0"/>
            <c:extLst>
              <c:ext xmlns:c16="http://schemas.microsoft.com/office/drawing/2014/chart" uri="{C3380CC4-5D6E-409C-BE32-E72D297353CC}">
                <c16:uniqueId val="{0000000B-CBDA-4A1F-B8E2-633B3FEF05DF}"/>
              </c:ext>
            </c:extLst>
          </c:dPt>
          <c:dPt>
            <c:idx val="25"/>
            <c:marker>
              <c:symbol val="none"/>
            </c:marker>
            <c:bubble3D val="0"/>
            <c:extLst>
              <c:ext xmlns:c16="http://schemas.microsoft.com/office/drawing/2014/chart" uri="{C3380CC4-5D6E-409C-BE32-E72D297353CC}">
                <c16:uniqueId val="{0000000C-CBDA-4A1F-B8E2-633B3FEF05DF}"/>
              </c:ext>
            </c:extLst>
          </c:dPt>
          <c:dPt>
            <c:idx val="27"/>
            <c:marker>
              <c:symbol val="none"/>
            </c:marker>
            <c:bubble3D val="0"/>
            <c:extLst>
              <c:ext xmlns:c16="http://schemas.microsoft.com/office/drawing/2014/chart" uri="{C3380CC4-5D6E-409C-BE32-E72D297353CC}">
                <c16:uniqueId val="{0000000D-CBDA-4A1F-B8E2-633B3FEF05DF}"/>
              </c:ext>
            </c:extLst>
          </c:dPt>
          <c:dPt>
            <c:idx val="29"/>
            <c:marker>
              <c:symbol val="none"/>
            </c:marker>
            <c:bubble3D val="0"/>
            <c:extLst>
              <c:ext xmlns:c16="http://schemas.microsoft.com/office/drawing/2014/chart" uri="{C3380CC4-5D6E-409C-BE32-E72D297353CC}">
                <c16:uniqueId val="{0000000E-CBDA-4A1F-B8E2-633B3FEF05DF}"/>
              </c:ext>
            </c:extLst>
          </c:dPt>
          <c:dPt>
            <c:idx val="31"/>
            <c:marker>
              <c:symbol val="none"/>
            </c:marker>
            <c:bubble3D val="0"/>
            <c:extLst>
              <c:ext xmlns:c16="http://schemas.microsoft.com/office/drawing/2014/chart" uri="{C3380CC4-5D6E-409C-BE32-E72D297353CC}">
                <c16:uniqueId val="{0000000F-CBDA-4A1F-B8E2-633B3FEF05DF}"/>
              </c:ext>
            </c:extLst>
          </c:dPt>
          <c:dPt>
            <c:idx val="33"/>
            <c:marker>
              <c:symbol val="none"/>
            </c:marker>
            <c:bubble3D val="0"/>
            <c:extLst>
              <c:ext xmlns:c16="http://schemas.microsoft.com/office/drawing/2014/chart" uri="{C3380CC4-5D6E-409C-BE32-E72D297353CC}">
                <c16:uniqueId val="{00000010-CBDA-4A1F-B8E2-633B3FEF05DF}"/>
              </c:ext>
            </c:extLst>
          </c:dPt>
          <c:dPt>
            <c:idx val="35"/>
            <c:marker>
              <c:symbol val="none"/>
            </c:marker>
            <c:bubble3D val="0"/>
            <c:extLst>
              <c:ext xmlns:c16="http://schemas.microsoft.com/office/drawing/2014/chart" uri="{C3380CC4-5D6E-409C-BE32-E72D297353CC}">
                <c16:uniqueId val="{00000011-CBDA-4A1F-B8E2-633B3FEF05DF}"/>
              </c:ext>
            </c:extLst>
          </c:dPt>
          <c:dPt>
            <c:idx val="37"/>
            <c:marker>
              <c:symbol val="none"/>
            </c:marker>
            <c:bubble3D val="0"/>
            <c:extLst>
              <c:ext xmlns:c16="http://schemas.microsoft.com/office/drawing/2014/chart" uri="{C3380CC4-5D6E-409C-BE32-E72D297353CC}">
                <c16:uniqueId val="{00000012-CBDA-4A1F-B8E2-633B3FEF05DF}"/>
              </c:ext>
            </c:extLst>
          </c:dPt>
          <c:dPt>
            <c:idx val="39"/>
            <c:marker>
              <c:symbol val="none"/>
            </c:marker>
            <c:bubble3D val="0"/>
            <c:extLst>
              <c:ext xmlns:c16="http://schemas.microsoft.com/office/drawing/2014/chart" uri="{C3380CC4-5D6E-409C-BE32-E72D297353CC}">
                <c16:uniqueId val="{00000013-CBDA-4A1F-B8E2-633B3FEF05DF}"/>
              </c:ext>
            </c:extLst>
          </c:dPt>
          <c:dPt>
            <c:idx val="41"/>
            <c:marker>
              <c:symbol val="none"/>
            </c:marker>
            <c:bubble3D val="0"/>
            <c:spPr>
              <a:ln w="28575" cap="rnd">
                <a:solidFill>
                  <a:schemeClr val="accent1"/>
                </a:solidFill>
                <a:prstDash val="sysDash"/>
                <a:round/>
              </a:ln>
              <a:effectLst/>
            </c:spPr>
            <c:extLst>
              <c:ext xmlns:c16="http://schemas.microsoft.com/office/drawing/2014/chart" uri="{C3380CC4-5D6E-409C-BE32-E72D297353CC}">
                <c16:uniqueId val="{00000015-CBDA-4A1F-B8E2-633B3FEF05DF}"/>
              </c:ext>
            </c:extLst>
          </c:dPt>
          <c:dPt>
            <c:idx val="43"/>
            <c:marker>
              <c:symbol val="square"/>
              <c:size val="5"/>
              <c:spPr>
                <a:solidFill>
                  <a:schemeClr val="accent1"/>
                </a:solidFill>
                <a:ln w="9525">
                  <a:solidFill>
                    <a:schemeClr val="accent1"/>
                  </a:solidFill>
                </a:ln>
                <a:effectLst/>
              </c:spPr>
            </c:marker>
            <c:bubble3D val="0"/>
            <c:spPr>
              <a:ln w="28575" cap="rnd">
                <a:solidFill>
                  <a:schemeClr val="accent1"/>
                </a:solidFill>
                <a:prstDash val="sysDash"/>
                <a:round/>
              </a:ln>
              <a:effectLst/>
            </c:spPr>
            <c:extLst>
              <c:ext xmlns:c16="http://schemas.microsoft.com/office/drawing/2014/chart" uri="{C3380CC4-5D6E-409C-BE32-E72D297353CC}">
                <c16:uniqueId val="{00000017-CBDA-4A1F-B8E2-633B3FEF05DF}"/>
              </c:ext>
            </c:extLst>
          </c:dPt>
          <c:cat>
            <c:strRef>
              <c:f>Results!$AD$44:$BU$44</c:f>
              <c:strCache>
                <c:ptCount val="44"/>
                <c:pt idx="0">
                  <c:v>31/3/1995</c:v>
                </c:pt>
                <c:pt idx="2">
                  <c:v>31/3/1996</c:v>
                </c:pt>
                <c:pt idx="4">
                  <c:v>31/3/1997</c:v>
                </c:pt>
                <c:pt idx="6">
                  <c:v>31/3/1998</c:v>
                </c:pt>
                <c:pt idx="8">
                  <c:v>31/3/1999</c:v>
                </c:pt>
                <c:pt idx="10">
                  <c:v>31/3/2000</c:v>
                </c:pt>
                <c:pt idx="12">
                  <c:v>31/3/2001</c:v>
                </c:pt>
                <c:pt idx="14">
                  <c:v>31/3/2002</c:v>
                </c:pt>
                <c:pt idx="16">
                  <c:v>31/3/2003</c:v>
                </c:pt>
                <c:pt idx="18">
                  <c:v>31/3/2004</c:v>
                </c:pt>
                <c:pt idx="20">
                  <c:v>31/3/2005</c:v>
                </c:pt>
                <c:pt idx="22">
                  <c:v>31/3/2006</c:v>
                </c:pt>
                <c:pt idx="24">
                  <c:v>31/3/2007</c:v>
                </c:pt>
                <c:pt idx="26">
                  <c:v>31/3/2008</c:v>
                </c:pt>
                <c:pt idx="28">
                  <c:v>31/3/2009</c:v>
                </c:pt>
                <c:pt idx="30">
                  <c:v>31/3/2010</c:v>
                </c:pt>
                <c:pt idx="32">
                  <c:v>31/3/2011</c:v>
                </c:pt>
                <c:pt idx="34">
                  <c:v>31/3/2012</c:v>
                </c:pt>
                <c:pt idx="36">
                  <c:v>31/3/2013</c:v>
                </c:pt>
                <c:pt idx="38">
                  <c:v>31/3/2014</c:v>
                </c:pt>
                <c:pt idx="40">
                  <c:v>31/3/2015</c:v>
                </c:pt>
                <c:pt idx="42">
                  <c:v>31/3/2016*</c:v>
                </c:pt>
                <c:pt idx="43">
                  <c:v>30/9/2016*</c:v>
                </c:pt>
              </c:strCache>
            </c:strRef>
          </c:cat>
          <c:val>
            <c:numRef>
              <c:f>Results!$AD$45:$BU$45</c:f>
              <c:numCache>
                <c:formatCode>General</c:formatCode>
                <c:ptCount val="44"/>
                <c:pt idx="0">
                  <c:v>4.1801109801006948</c:v>
                </c:pt>
                <c:pt idx="1">
                  <c:v>4.0884239355752818</c:v>
                </c:pt>
                <c:pt idx="2">
                  <c:v>3.9967368910498688</c:v>
                </c:pt>
                <c:pt idx="3">
                  <c:v>4.953484421841555</c:v>
                </c:pt>
                <c:pt idx="4">
                  <c:v>5.9102319526332412</c:v>
                </c:pt>
                <c:pt idx="5">
                  <c:v>6.9506766798405302</c:v>
                </c:pt>
                <c:pt idx="6">
                  <c:v>7.99112140704782</c:v>
                </c:pt>
                <c:pt idx="7">
                  <c:v>9.54530926319865</c:v>
                </c:pt>
                <c:pt idx="8">
                  <c:v>11.099497119349481</c:v>
                </c:pt>
                <c:pt idx="9">
                  <c:v>11.770576039843405</c:v>
                </c:pt>
                <c:pt idx="10">
                  <c:v>12.441654960337331</c:v>
                </c:pt>
                <c:pt idx="11">
                  <c:v>11.294402757275616</c:v>
                </c:pt>
                <c:pt idx="12">
                  <c:v>10.1471505542139</c:v>
                </c:pt>
                <c:pt idx="13">
                  <c:v>10.457879449052971</c:v>
                </c:pt>
                <c:pt idx="14">
                  <c:v>10.768608343892041</c:v>
                </c:pt>
                <c:pt idx="15">
                  <c:v>10.800943725789999</c:v>
                </c:pt>
                <c:pt idx="16">
                  <c:v>10.833279107687959</c:v>
                </c:pt>
                <c:pt idx="17">
                  <c:v>11.78276486090367</c:v>
                </c:pt>
                <c:pt idx="18">
                  <c:v>12.732250614119382</c:v>
                </c:pt>
                <c:pt idx="19">
                  <c:v>12.651056773722637</c:v>
                </c:pt>
                <c:pt idx="20">
                  <c:v>12.56986293332589</c:v>
                </c:pt>
                <c:pt idx="21">
                  <c:v>14.077729884554083</c:v>
                </c:pt>
                <c:pt idx="22">
                  <c:v>15.585596835782276</c:v>
                </c:pt>
                <c:pt idx="23">
                  <c:v>15.458760106693106</c:v>
                </c:pt>
                <c:pt idx="24">
                  <c:v>15.331923377603937</c:v>
                </c:pt>
                <c:pt idx="25">
                  <c:v>15.980422144957497</c:v>
                </c:pt>
                <c:pt idx="26">
                  <c:v>16.628920912311056</c:v>
                </c:pt>
                <c:pt idx="27">
                  <c:v>13.680386610898024</c:v>
                </c:pt>
                <c:pt idx="28">
                  <c:v>10.731852309484992</c:v>
                </c:pt>
                <c:pt idx="29">
                  <c:v>12.866896137564023</c:v>
                </c:pt>
                <c:pt idx="30">
                  <c:v>15.001939965643055</c:v>
                </c:pt>
                <c:pt idx="31">
                  <c:v>14.056629741746981</c:v>
                </c:pt>
                <c:pt idx="32">
                  <c:v>13.111319517850905</c:v>
                </c:pt>
                <c:pt idx="33">
                  <c:v>14.238165220387547</c:v>
                </c:pt>
                <c:pt idx="34">
                  <c:v>15.36501092292419</c:v>
                </c:pt>
                <c:pt idx="35">
                  <c:v>16.836328637817214</c:v>
                </c:pt>
                <c:pt idx="36">
                  <c:v>18.30764635271024</c:v>
                </c:pt>
                <c:pt idx="37">
                  <c:v>18.330519142496236</c:v>
                </c:pt>
                <c:pt idx="38">
                  <c:v>18.353391932282232</c:v>
                </c:pt>
                <c:pt idx="39">
                  <c:v>21.852756764775322</c:v>
                </c:pt>
                <c:pt idx="40">
                  <c:v>25.352121597268411</c:v>
                </c:pt>
                <c:pt idx="41">
                  <c:v>25.481865801108658</c:v>
                </c:pt>
                <c:pt idx="42">
                  <c:v>25.611610004948904</c:v>
                </c:pt>
                <c:pt idx="43">
                  <c:v>36.64766996830334</c:v>
                </c:pt>
              </c:numCache>
            </c:numRef>
          </c:val>
          <c:smooth val="0"/>
          <c:extLst>
            <c:ext xmlns:c16="http://schemas.microsoft.com/office/drawing/2014/chart" uri="{C3380CC4-5D6E-409C-BE32-E72D297353CC}">
              <c16:uniqueId val="{00000018-CBDA-4A1F-B8E2-633B3FEF05DF}"/>
            </c:ext>
          </c:extLst>
        </c:ser>
        <c:ser>
          <c:idx val="1"/>
          <c:order val="1"/>
          <c:tx>
            <c:strRef>
              <c:f>Results!$AC$46</c:f>
              <c:strCache>
                <c:ptCount val="1"/>
                <c:pt idx="0">
                  <c:v>Impact of Conditional Indexation</c:v>
                </c:pt>
              </c:strCache>
            </c:strRef>
          </c:tx>
          <c:spPr>
            <a:ln w="28575" cap="rnd">
              <a:solidFill>
                <a:schemeClr val="accent2"/>
              </a:solidFill>
              <a:round/>
            </a:ln>
            <a:effectLst/>
          </c:spPr>
          <c:marker>
            <c:symbol val="square"/>
            <c:size val="5"/>
            <c:spPr>
              <a:solidFill>
                <a:schemeClr val="accent2"/>
              </a:solidFill>
              <a:ln w="9525">
                <a:solidFill>
                  <a:schemeClr val="accent2"/>
                </a:solidFill>
              </a:ln>
              <a:effectLst/>
            </c:spPr>
          </c:marker>
          <c:dPt>
            <c:idx val="42"/>
            <c:marker>
              <c:symbol val="none"/>
            </c:marker>
            <c:bubble3D val="0"/>
            <c:spPr>
              <a:ln w="28575" cap="rnd">
                <a:solidFill>
                  <a:schemeClr val="accent2"/>
                </a:solidFill>
                <a:prstDash val="sysDash"/>
                <a:round/>
              </a:ln>
              <a:effectLst/>
            </c:spPr>
            <c:extLst>
              <c:ext xmlns:c16="http://schemas.microsoft.com/office/drawing/2014/chart" uri="{C3380CC4-5D6E-409C-BE32-E72D297353CC}">
                <c16:uniqueId val="{0000001A-CBDA-4A1F-B8E2-633B3FEF05DF}"/>
              </c:ext>
            </c:extLst>
          </c:dPt>
          <c:cat>
            <c:strRef>
              <c:f>Results!$AD$44:$BU$44</c:f>
              <c:strCache>
                <c:ptCount val="44"/>
                <c:pt idx="0">
                  <c:v>31/3/1995</c:v>
                </c:pt>
                <c:pt idx="2">
                  <c:v>31/3/1996</c:v>
                </c:pt>
                <c:pt idx="4">
                  <c:v>31/3/1997</c:v>
                </c:pt>
                <c:pt idx="6">
                  <c:v>31/3/1998</c:v>
                </c:pt>
                <c:pt idx="8">
                  <c:v>31/3/1999</c:v>
                </c:pt>
                <c:pt idx="10">
                  <c:v>31/3/2000</c:v>
                </c:pt>
                <c:pt idx="12">
                  <c:v>31/3/2001</c:v>
                </c:pt>
                <c:pt idx="14">
                  <c:v>31/3/2002</c:v>
                </c:pt>
                <c:pt idx="16">
                  <c:v>31/3/2003</c:v>
                </c:pt>
                <c:pt idx="18">
                  <c:v>31/3/2004</c:v>
                </c:pt>
                <c:pt idx="20">
                  <c:v>31/3/2005</c:v>
                </c:pt>
                <c:pt idx="22">
                  <c:v>31/3/2006</c:v>
                </c:pt>
                <c:pt idx="24">
                  <c:v>31/3/2007</c:v>
                </c:pt>
                <c:pt idx="26">
                  <c:v>31/3/2008</c:v>
                </c:pt>
                <c:pt idx="28">
                  <c:v>31/3/2009</c:v>
                </c:pt>
                <c:pt idx="30">
                  <c:v>31/3/2010</c:v>
                </c:pt>
                <c:pt idx="32">
                  <c:v>31/3/2011</c:v>
                </c:pt>
                <c:pt idx="34">
                  <c:v>31/3/2012</c:v>
                </c:pt>
                <c:pt idx="36">
                  <c:v>31/3/2013</c:v>
                </c:pt>
                <c:pt idx="38">
                  <c:v>31/3/2014</c:v>
                </c:pt>
                <c:pt idx="40">
                  <c:v>31/3/2015</c:v>
                </c:pt>
                <c:pt idx="42">
                  <c:v>31/3/2016*</c:v>
                </c:pt>
                <c:pt idx="43">
                  <c:v>30/9/2016*</c:v>
                </c:pt>
              </c:strCache>
            </c:strRef>
          </c:cat>
          <c:val>
            <c:numRef>
              <c:f>Results!$AD$46:$BU$46</c:f>
              <c:numCache>
                <c:formatCode>General</c:formatCode>
                <c:ptCount val="44"/>
                <c:pt idx="42">
                  <c:v>25.611610004948904</c:v>
                </c:pt>
                <c:pt idx="43">
                  <c:v>27.038730963807854</c:v>
                </c:pt>
              </c:numCache>
            </c:numRef>
          </c:val>
          <c:smooth val="0"/>
          <c:extLst>
            <c:ext xmlns:c16="http://schemas.microsoft.com/office/drawing/2014/chart" uri="{C3380CC4-5D6E-409C-BE32-E72D297353CC}">
              <c16:uniqueId val="{0000001B-CBDA-4A1F-B8E2-633B3FEF05DF}"/>
            </c:ext>
          </c:extLst>
        </c:ser>
        <c:dLbls>
          <c:showLegendKey val="0"/>
          <c:showVal val="0"/>
          <c:showCatName val="0"/>
          <c:showSerName val="0"/>
          <c:showPercent val="0"/>
          <c:showBubbleSize val="0"/>
        </c:dLbls>
        <c:marker val="1"/>
        <c:smooth val="0"/>
        <c:axId val="569857224"/>
        <c:axId val="569855912"/>
      </c:lineChart>
      <c:catAx>
        <c:axId val="56985722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69855912"/>
        <c:crosses val="autoZero"/>
        <c:auto val="1"/>
        <c:lblAlgn val="ctr"/>
        <c:lblOffset val="100"/>
        <c:tickLblSkip val="1"/>
        <c:noMultiLvlLbl val="0"/>
      </c:catAx>
      <c:valAx>
        <c:axId val="569855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Cost of accrual (% of earnings)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69857224"/>
        <c:crosses val="autoZero"/>
        <c:crossBetween val="between"/>
      </c:valAx>
      <c:spPr>
        <a:noFill/>
        <a:ln>
          <a:noFill/>
        </a:ln>
        <a:effectLst/>
      </c:spPr>
    </c:plotArea>
    <c:legend>
      <c:legendPos val="t"/>
      <c:layout>
        <c:manualLayout>
          <c:xMode val="edge"/>
          <c:yMode val="edge"/>
          <c:x val="0.16581092940603787"/>
          <c:y val="4.7473719905052558E-2"/>
          <c:w val="0.69496799272791987"/>
          <c:h val="6.5431228522680851E-2"/>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1"/>
          <c:tx>
            <c:strRef>
              <c:f>Results!$E$12</c:f>
              <c:strCache>
                <c:ptCount val="1"/>
                <c:pt idx="0">
                  <c:v>Impact of benefits</c:v>
                </c:pt>
              </c:strCache>
            </c:strRef>
          </c:tx>
          <c:spPr>
            <a:solidFill>
              <a:schemeClr val="accent2"/>
            </a:solidFill>
            <a:ln>
              <a:noFill/>
            </a:ln>
            <a:effectLst/>
          </c:spPr>
          <c:invertIfNegative val="0"/>
          <c:cat>
            <c:strRef>
              <c:f>Results!$F$10:$AD$10</c:f>
              <c:strCache>
                <c:ptCount val="25"/>
                <c:pt idx="0">
                  <c:v>31/3/1995-31/3/1996</c:v>
                </c:pt>
                <c:pt idx="1">
                  <c:v>31/3/1996-31/3/1997</c:v>
                </c:pt>
                <c:pt idx="2">
                  <c:v>31/3/1997-31/3/1998</c:v>
                </c:pt>
                <c:pt idx="3">
                  <c:v>31/3/1998-31/3/1999</c:v>
                </c:pt>
                <c:pt idx="4">
                  <c:v>31/3/1999-31/3/2000</c:v>
                </c:pt>
                <c:pt idx="5">
                  <c:v>31/3/2000-31/3/2001</c:v>
                </c:pt>
                <c:pt idx="6">
                  <c:v>31/3/2001-31/3/2002</c:v>
                </c:pt>
                <c:pt idx="7">
                  <c:v>31/3/2002-31/3/2003</c:v>
                </c:pt>
                <c:pt idx="8">
                  <c:v>31/3/2003-31/3/2004</c:v>
                </c:pt>
                <c:pt idx="9">
                  <c:v>31/3/2004-31/3/2005</c:v>
                </c:pt>
                <c:pt idx="10">
                  <c:v>31/3/2005-31/3/2006</c:v>
                </c:pt>
                <c:pt idx="11">
                  <c:v>31/3/2006-31/3/2007</c:v>
                </c:pt>
                <c:pt idx="12">
                  <c:v>31/3/2007-31/3/2008</c:v>
                </c:pt>
                <c:pt idx="13">
                  <c:v>31/3/2008-31/3/2009</c:v>
                </c:pt>
                <c:pt idx="14">
                  <c:v>31/3/2009-31/3/2010</c:v>
                </c:pt>
                <c:pt idx="15">
                  <c:v>31/3/2010-31/3/2011</c:v>
                </c:pt>
                <c:pt idx="16">
                  <c:v>31/3/2011-31/3/2012</c:v>
                </c:pt>
                <c:pt idx="17">
                  <c:v>31/3/2012-31/3/2013</c:v>
                </c:pt>
                <c:pt idx="18">
                  <c:v>31/3/2013-31/3/2014</c:v>
                </c:pt>
                <c:pt idx="19">
                  <c:v>31/3/2014-31/3/2015</c:v>
                </c:pt>
                <c:pt idx="21">
                  <c:v>Average</c:v>
                </c:pt>
                <c:pt idx="23">
                  <c:v>31/3/2015-31/3/2016*</c:v>
                </c:pt>
                <c:pt idx="24">
                  <c:v>31/3/2016-30/9/2016**</c:v>
                </c:pt>
              </c:strCache>
            </c:strRef>
          </c:cat>
          <c:val>
            <c:numRef>
              <c:f>Results!$F$12:$AD$12</c:f>
              <c:numCache>
                <c:formatCode>General</c:formatCode>
                <c:ptCount val="25"/>
                <c:pt idx="0">
                  <c:v>0</c:v>
                </c:pt>
                <c:pt idx="1">
                  <c:v>1.5125577197904081</c:v>
                </c:pt>
                <c:pt idx="2">
                  <c:v>0</c:v>
                </c:pt>
                <c:pt idx="3">
                  <c:v>0</c:v>
                </c:pt>
                <c:pt idx="4">
                  <c:v>0</c:v>
                </c:pt>
                <c:pt idx="5">
                  <c:v>0</c:v>
                </c:pt>
                <c:pt idx="6">
                  <c:v>0</c:v>
                </c:pt>
                <c:pt idx="7">
                  <c:v>0</c:v>
                </c:pt>
                <c:pt idx="8">
                  <c:v>0</c:v>
                </c:pt>
                <c:pt idx="9">
                  <c:v>-0.33495234743624269</c:v>
                </c:pt>
                <c:pt idx="10">
                  <c:v>0</c:v>
                </c:pt>
                <c:pt idx="11">
                  <c:v>0</c:v>
                </c:pt>
                <c:pt idx="12">
                  <c:v>0</c:v>
                </c:pt>
                <c:pt idx="13">
                  <c:v>0</c:v>
                </c:pt>
                <c:pt idx="14">
                  <c:v>0</c:v>
                </c:pt>
                <c:pt idx="15">
                  <c:v>-2.2563820334118323</c:v>
                </c:pt>
                <c:pt idx="16">
                  <c:v>0</c:v>
                </c:pt>
                <c:pt idx="17">
                  <c:v>0</c:v>
                </c:pt>
                <c:pt idx="18">
                  <c:v>0</c:v>
                </c:pt>
                <c:pt idx="19">
                  <c:v>0</c:v>
                </c:pt>
                <c:pt idx="21">
                  <c:v>-5.3938833052883342E-2</c:v>
                </c:pt>
                <c:pt idx="23">
                  <c:v>0</c:v>
                </c:pt>
                <c:pt idx="24">
                  <c:v>-9.6089390044954808</c:v>
                </c:pt>
              </c:numCache>
            </c:numRef>
          </c:val>
          <c:extLst>
            <c:ext xmlns:c16="http://schemas.microsoft.com/office/drawing/2014/chart" uri="{C3380CC4-5D6E-409C-BE32-E72D297353CC}">
              <c16:uniqueId val="{00000000-81EC-4626-8AAD-5A77498DDA28}"/>
            </c:ext>
          </c:extLst>
        </c:ser>
        <c:ser>
          <c:idx val="2"/>
          <c:order val="2"/>
          <c:tx>
            <c:strRef>
              <c:f>Results!$E$13</c:f>
              <c:strCache>
                <c:ptCount val="1"/>
                <c:pt idx="0">
                  <c:v>Impact of longevity</c:v>
                </c:pt>
              </c:strCache>
            </c:strRef>
          </c:tx>
          <c:spPr>
            <a:solidFill>
              <a:schemeClr val="accent3"/>
            </a:solidFill>
            <a:ln>
              <a:noFill/>
            </a:ln>
            <a:effectLst/>
          </c:spPr>
          <c:invertIfNegative val="0"/>
          <c:cat>
            <c:strRef>
              <c:f>Results!$F$10:$AD$10</c:f>
              <c:strCache>
                <c:ptCount val="25"/>
                <c:pt idx="0">
                  <c:v>31/3/1995-31/3/1996</c:v>
                </c:pt>
                <c:pt idx="1">
                  <c:v>31/3/1996-31/3/1997</c:v>
                </c:pt>
                <c:pt idx="2">
                  <c:v>31/3/1997-31/3/1998</c:v>
                </c:pt>
                <c:pt idx="3">
                  <c:v>31/3/1998-31/3/1999</c:v>
                </c:pt>
                <c:pt idx="4">
                  <c:v>31/3/1999-31/3/2000</c:v>
                </c:pt>
                <c:pt idx="5">
                  <c:v>31/3/2000-31/3/2001</c:v>
                </c:pt>
                <c:pt idx="6">
                  <c:v>31/3/2001-31/3/2002</c:v>
                </c:pt>
                <c:pt idx="7">
                  <c:v>31/3/2002-31/3/2003</c:v>
                </c:pt>
                <c:pt idx="8">
                  <c:v>31/3/2003-31/3/2004</c:v>
                </c:pt>
                <c:pt idx="9">
                  <c:v>31/3/2004-31/3/2005</c:v>
                </c:pt>
                <c:pt idx="10">
                  <c:v>31/3/2005-31/3/2006</c:v>
                </c:pt>
                <c:pt idx="11">
                  <c:v>31/3/2006-31/3/2007</c:v>
                </c:pt>
                <c:pt idx="12">
                  <c:v>31/3/2007-31/3/2008</c:v>
                </c:pt>
                <c:pt idx="13">
                  <c:v>31/3/2008-31/3/2009</c:v>
                </c:pt>
                <c:pt idx="14">
                  <c:v>31/3/2009-31/3/2010</c:v>
                </c:pt>
                <c:pt idx="15">
                  <c:v>31/3/2010-31/3/2011</c:v>
                </c:pt>
                <c:pt idx="16">
                  <c:v>31/3/2011-31/3/2012</c:v>
                </c:pt>
                <c:pt idx="17">
                  <c:v>31/3/2012-31/3/2013</c:v>
                </c:pt>
                <c:pt idx="18">
                  <c:v>31/3/2013-31/3/2014</c:v>
                </c:pt>
                <c:pt idx="19">
                  <c:v>31/3/2014-31/3/2015</c:v>
                </c:pt>
                <c:pt idx="21">
                  <c:v>Average</c:v>
                </c:pt>
                <c:pt idx="23">
                  <c:v>31/3/2015-31/3/2016*</c:v>
                </c:pt>
                <c:pt idx="24">
                  <c:v>31/3/2016-30/9/2016**</c:v>
                </c:pt>
              </c:strCache>
            </c:strRef>
          </c:cat>
          <c:val>
            <c:numRef>
              <c:f>Results!$F$13:$AD$13</c:f>
              <c:numCache>
                <c:formatCode>General</c:formatCode>
                <c:ptCount val="25"/>
                <c:pt idx="0">
                  <c:v>7.1291365057202669E-2</c:v>
                </c:pt>
                <c:pt idx="1">
                  <c:v>7.7890064504570575E-2</c:v>
                </c:pt>
                <c:pt idx="2">
                  <c:v>8.188983716543137E-2</c:v>
                </c:pt>
                <c:pt idx="3">
                  <c:v>0.23143379617516924</c:v>
                </c:pt>
                <c:pt idx="4">
                  <c:v>0.18078291145713968</c:v>
                </c:pt>
                <c:pt idx="5">
                  <c:v>9.0070628579742296E-2</c:v>
                </c:pt>
                <c:pt idx="6">
                  <c:v>0.2071825728527921</c:v>
                </c:pt>
                <c:pt idx="7">
                  <c:v>0.26261533570247342</c:v>
                </c:pt>
                <c:pt idx="8">
                  <c:v>0.20616683569872263</c:v>
                </c:pt>
                <c:pt idx="9">
                  <c:v>8.5075380622431779E-2</c:v>
                </c:pt>
                <c:pt idx="10">
                  <c:v>0.38716855212418699</c:v>
                </c:pt>
                <c:pt idx="11">
                  <c:v>0.20175774645463437</c:v>
                </c:pt>
                <c:pt idx="12">
                  <c:v>0.29407553900814237</c:v>
                </c:pt>
                <c:pt idx="13">
                  <c:v>0.19800737369476301</c:v>
                </c:pt>
                <c:pt idx="14">
                  <c:v>0.22867264134724302</c:v>
                </c:pt>
                <c:pt idx="15">
                  <c:v>0.20531158480306799</c:v>
                </c:pt>
                <c:pt idx="16">
                  <c:v>0.26594800485386177</c:v>
                </c:pt>
                <c:pt idx="17">
                  <c:v>0.31184848846700369</c:v>
                </c:pt>
                <c:pt idx="18">
                  <c:v>0.22909679659436727</c:v>
                </c:pt>
                <c:pt idx="19">
                  <c:v>0.10376912990492154</c:v>
                </c:pt>
                <c:pt idx="21">
                  <c:v>0.19600272925339338</c:v>
                </c:pt>
                <c:pt idx="23">
                  <c:v>0</c:v>
                </c:pt>
                <c:pt idx="24">
                  <c:v>0</c:v>
                </c:pt>
              </c:numCache>
            </c:numRef>
          </c:val>
          <c:extLst>
            <c:ext xmlns:c16="http://schemas.microsoft.com/office/drawing/2014/chart" uri="{C3380CC4-5D6E-409C-BE32-E72D297353CC}">
              <c16:uniqueId val="{00000001-81EC-4626-8AAD-5A77498DDA28}"/>
            </c:ext>
          </c:extLst>
        </c:ser>
        <c:ser>
          <c:idx val="3"/>
          <c:order val="3"/>
          <c:tx>
            <c:strRef>
              <c:f>Results!$E$14</c:f>
              <c:strCache>
                <c:ptCount val="1"/>
                <c:pt idx="0">
                  <c:v>Impact of rates</c:v>
                </c:pt>
              </c:strCache>
            </c:strRef>
          </c:tx>
          <c:spPr>
            <a:solidFill>
              <a:schemeClr val="accent4"/>
            </a:solidFill>
            <a:ln>
              <a:noFill/>
            </a:ln>
            <a:effectLst/>
          </c:spPr>
          <c:invertIfNegative val="0"/>
          <c:cat>
            <c:strRef>
              <c:f>Results!$F$10:$AD$10</c:f>
              <c:strCache>
                <c:ptCount val="25"/>
                <c:pt idx="0">
                  <c:v>31/3/1995-31/3/1996</c:v>
                </c:pt>
                <c:pt idx="1">
                  <c:v>31/3/1996-31/3/1997</c:v>
                </c:pt>
                <c:pt idx="2">
                  <c:v>31/3/1997-31/3/1998</c:v>
                </c:pt>
                <c:pt idx="3">
                  <c:v>31/3/1998-31/3/1999</c:v>
                </c:pt>
                <c:pt idx="4">
                  <c:v>31/3/1999-31/3/2000</c:v>
                </c:pt>
                <c:pt idx="5">
                  <c:v>31/3/2000-31/3/2001</c:v>
                </c:pt>
                <c:pt idx="6">
                  <c:v>31/3/2001-31/3/2002</c:v>
                </c:pt>
                <c:pt idx="7">
                  <c:v>31/3/2002-31/3/2003</c:v>
                </c:pt>
                <c:pt idx="8">
                  <c:v>31/3/2003-31/3/2004</c:v>
                </c:pt>
                <c:pt idx="9">
                  <c:v>31/3/2004-31/3/2005</c:v>
                </c:pt>
                <c:pt idx="10">
                  <c:v>31/3/2005-31/3/2006</c:v>
                </c:pt>
                <c:pt idx="11">
                  <c:v>31/3/2006-31/3/2007</c:v>
                </c:pt>
                <c:pt idx="12">
                  <c:v>31/3/2007-31/3/2008</c:v>
                </c:pt>
                <c:pt idx="13">
                  <c:v>31/3/2008-31/3/2009</c:v>
                </c:pt>
                <c:pt idx="14">
                  <c:v>31/3/2009-31/3/2010</c:v>
                </c:pt>
                <c:pt idx="15">
                  <c:v>31/3/2010-31/3/2011</c:v>
                </c:pt>
                <c:pt idx="16">
                  <c:v>31/3/2011-31/3/2012</c:v>
                </c:pt>
                <c:pt idx="17">
                  <c:v>31/3/2012-31/3/2013</c:v>
                </c:pt>
                <c:pt idx="18">
                  <c:v>31/3/2013-31/3/2014</c:v>
                </c:pt>
                <c:pt idx="19">
                  <c:v>31/3/2014-31/3/2015</c:v>
                </c:pt>
                <c:pt idx="21">
                  <c:v>Average</c:v>
                </c:pt>
                <c:pt idx="23">
                  <c:v>31/3/2015-31/3/2016*</c:v>
                </c:pt>
                <c:pt idx="24">
                  <c:v>31/3/2016-30/9/2016**</c:v>
                </c:pt>
              </c:strCache>
            </c:strRef>
          </c:cat>
          <c:val>
            <c:numRef>
              <c:f>Results!$F$14:$AD$14</c:f>
              <c:numCache>
                <c:formatCode>General</c:formatCode>
                <c:ptCount val="25"/>
                <c:pt idx="0">
                  <c:v>-0.25466545410802915</c:v>
                </c:pt>
                <c:pt idx="1">
                  <c:v>0.32304727728839427</c:v>
                </c:pt>
                <c:pt idx="2">
                  <c:v>1.9989996172491471</c:v>
                </c:pt>
                <c:pt idx="3">
                  <c:v>2.8769419161264924</c:v>
                </c:pt>
                <c:pt idx="4">
                  <c:v>1.1613749295307099</c:v>
                </c:pt>
                <c:pt idx="5">
                  <c:v>-2.3845750347031731</c:v>
                </c:pt>
                <c:pt idx="6">
                  <c:v>0.41427521682534774</c:v>
                </c:pt>
                <c:pt idx="7">
                  <c:v>-0.19794457190655387</c:v>
                </c:pt>
                <c:pt idx="8">
                  <c:v>1.6928046707326985</c:v>
                </c:pt>
                <c:pt idx="9">
                  <c:v>8.7489286020319967E-2</c:v>
                </c:pt>
                <c:pt idx="10">
                  <c:v>2.6285653503321988</c:v>
                </c:pt>
                <c:pt idx="11">
                  <c:v>-0.45543120463297276</c:v>
                </c:pt>
                <c:pt idx="12">
                  <c:v>1.0029219956989748</c:v>
                </c:pt>
                <c:pt idx="13">
                  <c:v>-6.0950759765208256</c:v>
                </c:pt>
                <c:pt idx="14">
                  <c:v>4.0414150148108199</c:v>
                </c:pt>
                <c:pt idx="15">
                  <c:v>0.16045000081661534</c:v>
                </c:pt>
                <c:pt idx="16">
                  <c:v>1.9877434002194236</c:v>
                </c:pt>
                <c:pt idx="17">
                  <c:v>2.6307869413190437</c:v>
                </c:pt>
                <c:pt idx="18">
                  <c:v>-0.18335121702237428</c:v>
                </c:pt>
                <c:pt idx="19">
                  <c:v>6.8949605350812586</c:v>
                </c:pt>
                <c:pt idx="21">
                  <c:v>0.91653663465787572</c:v>
                </c:pt>
                <c:pt idx="23">
                  <c:v>0.25567960541571727</c:v>
                </c:pt>
                <c:pt idx="24">
                  <c:v>10.937727791711131</c:v>
                </c:pt>
              </c:numCache>
            </c:numRef>
          </c:val>
          <c:extLst>
            <c:ext xmlns:c16="http://schemas.microsoft.com/office/drawing/2014/chart" uri="{C3380CC4-5D6E-409C-BE32-E72D297353CC}">
              <c16:uniqueId val="{00000002-81EC-4626-8AAD-5A77498DDA28}"/>
            </c:ext>
          </c:extLst>
        </c:ser>
        <c:dLbls>
          <c:showLegendKey val="0"/>
          <c:showVal val="0"/>
          <c:showCatName val="0"/>
          <c:showSerName val="0"/>
          <c:showPercent val="0"/>
          <c:showBubbleSize val="0"/>
        </c:dLbls>
        <c:gapWidth val="150"/>
        <c:axId val="629256200"/>
        <c:axId val="629256528"/>
      </c:barChart>
      <c:lineChart>
        <c:grouping val="standard"/>
        <c:varyColors val="0"/>
        <c:ser>
          <c:idx val="0"/>
          <c:order val="0"/>
          <c:tx>
            <c:strRef>
              <c:f>Results!$E$11</c:f>
              <c:strCache>
                <c:ptCount val="1"/>
                <c:pt idx="0">
                  <c:v>Change in cost of accrual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Results!$F$10:$AD$10</c:f>
              <c:strCache>
                <c:ptCount val="25"/>
                <c:pt idx="0">
                  <c:v>31/3/1995-31/3/1996</c:v>
                </c:pt>
                <c:pt idx="1">
                  <c:v>31/3/1996-31/3/1997</c:v>
                </c:pt>
                <c:pt idx="2">
                  <c:v>31/3/1997-31/3/1998</c:v>
                </c:pt>
                <c:pt idx="3">
                  <c:v>31/3/1998-31/3/1999</c:v>
                </c:pt>
                <c:pt idx="4">
                  <c:v>31/3/1999-31/3/2000</c:v>
                </c:pt>
                <c:pt idx="5">
                  <c:v>31/3/2000-31/3/2001</c:v>
                </c:pt>
                <c:pt idx="6">
                  <c:v>31/3/2001-31/3/2002</c:v>
                </c:pt>
                <c:pt idx="7">
                  <c:v>31/3/2002-31/3/2003</c:v>
                </c:pt>
                <c:pt idx="8">
                  <c:v>31/3/2003-31/3/2004</c:v>
                </c:pt>
                <c:pt idx="9">
                  <c:v>31/3/2004-31/3/2005</c:v>
                </c:pt>
                <c:pt idx="10">
                  <c:v>31/3/2005-31/3/2006</c:v>
                </c:pt>
                <c:pt idx="11">
                  <c:v>31/3/2006-31/3/2007</c:v>
                </c:pt>
                <c:pt idx="12">
                  <c:v>31/3/2007-31/3/2008</c:v>
                </c:pt>
                <c:pt idx="13">
                  <c:v>31/3/2008-31/3/2009</c:v>
                </c:pt>
                <c:pt idx="14">
                  <c:v>31/3/2009-31/3/2010</c:v>
                </c:pt>
                <c:pt idx="15">
                  <c:v>31/3/2010-31/3/2011</c:v>
                </c:pt>
                <c:pt idx="16">
                  <c:v>31/3/2011-31/3/2012</c:v>
                </c:pt>
                <c:pt idx="17">
                  <c:v>31/3/2012-31/3/2013</c:v>
                </c:pt>
                <c:pt idx="18">
                  <c:v>31/3/2013-31/3/2014</c:v>
                </c:pt>
                <c:pt idx="19">
                  <c:v>31/3/2014-31/3/2015</c:v>
                </c:pt>
                <c:pt idx="21">
                  <c:v>Average</c:v>
                </c:pt>
                <c:pt idx="23">
                  <c:v>31/3/2015-31/3/2016*</c:v>
                </c:pt>
                <c:pt idx="24">
                  <c:v>31/3/2016-30/9/2016**</c:v>
                </c:pt>
              </c:strCache>
            </c:strRef>
          </c:cat>
          <c:val>
            <c:numRef>
              <c:f>Results!$F$11:$AD$11</c:f>
              <c:numCache>
                <c:formatCode>General</c:formatCode>
                <c:ptCount val="25"/>
                <c:pt idx="0">
                  <c:v>-0.18337408905082647</c:v>
                </c:pt>
                <c:pt idx="1">
                  <c:v>1.9134950615833728</c:v>
                </c:pt>
                <c:pt idx="2">
                  <c:v>2.0808894544145784</c:v>
                </c:pt>
                <c:pt idx="3">
                  <c:v>3.1083757123016613</c:v>
                </c:pt>
                <c:pt idx="4">
                  <c:v>1.3421578409878496</c:v>
                </c:pt>
                <c:pt idx="5">
                  <c:v>-2.2945044061234308</c:v>
                </c:pt>
                <c:pt idx="6">
                  <c:v>0.6214577896781398</c:v>
                </c:pt>
                <c:pt idx="7">
                  <c:v>6.4670763795919572E-2</c:v>
                </c:pt>
                <c:pt idx="8">
                  <c:v>1.8989715064314212</c:v>
                </c:pt>
                <c:pt idx="9">
                  <c:v>-0.16238768079349097</c:v>
                </c:pt>
                <c:pt idx="10">
                  <c:v>3.0157339024563856</c:v>
                </c:pt>
                <c:pt idx="11">
                  <c:v>-0.25367345817833842</c:v>
                </c:pt>
                <c:pt idx="12">
                  <c:v>1.2969975347071172</c:v>
                </c:pt>
                <c:pt idx="13">
                  <c:v>-5.8970686028260628</c:v>
                </c:pt>
                <c:pt idx="14">
                  <c:v>4.2700876561580632</c:v>
                </c:pt>
                <c:pt idx="15">
                  <c:v>-1.8906204477921489</c:v>
                </c:pt>
                <c:pt idx="16">
                  <c:v>2.2536914050732855</c:v>
                </c:pt>
                <c:pt idx="17">
                  <c:v>2.9426354297860473</c:v>
                </c:pt>
                <c:pt idx="18">
                  <c:v>4.5745579571992989E-2</c:v>
                </c:pt>
                <c:pt idx="19">
                  <c:v>6.9987296649861808</c:v>
                </c:pt>
                <c:pt idx="21">
                  <c:v>1.0586005308583859</c:v>
                </c:pt>
              </c:numCache>
            </c:numRef>
          </c:val>
          <c:smooth val="0"/>
          <c:extLst>
            <c:ext xmlns:c16="http://schemas.microsoft.com/office/drawing/2014/chart" uri="{C3380CC4-5D6E-409C-BE32-E72D297353CC}">
              <c16:uniqueId val="{00000003-81EC-4626-8AAD-5A77498DDA28}"/>
            </c:ext>
          </c:extLst>
        </c:ser>
        <c:dLbls>
          <c:showLegendKey val="0"/>
          <c:showVal val="0"/>
          <c:showCatName val="0"/>
          <c:showSerName val="0"/>
          <c:showPercent val="0"/>
          <c:showBubbleSize val="0"/>
        </c:dLbls>
        <c:marker val="1"/>
        <c:smooth val="0"/>
        <c:axId val="629256200"/>
        <c:axId val="629256528"/>
      </c:lineChart>
      <c:catAx>
        <c:axId val="62925620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9256528"/>
        <c:crosses val="autoZero"/>
        <c:auto val="1"/>
        <c:lblAlgn val="ctr"/>
        <c:lblOffset val="100"/>
        <c:noMultiLvlLbl val="0"/>
      </c:catAx>
      <c:valAx>
        <c:axId val="62925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Change in the cost of accrual (% of earnings)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9256200"/>
        <c:crosses val="autoZero"/>
        <c:crossBetween val="between"/>
      </c:valAx>
      <c:spPr>
        <a:noFill/>
        <a:ln>
          <a:noFill/>
        </a:ln>
        <a:effectLst/>
      </c:spPr>
    </c:plotArea>
    <c:legend>
      <c:legendPos val="t"/>
      <c:layout>
        <c:manualLayout>
          <c:xMode val="edge"/>
          <c:yMode val="edge"/>
          <c:x val="0.14731789702888071"/>
          <c:y val="5.7636887608069162E-2"/>
          <c:w val="0.61229972555225398"/>
          <c:h val="0.12575466547780018"/>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'Yield Curves'!$I$73</c:f>
              <c:strCache>
                <c:ptCount val="1"/>
                <c:pt idx="0">
                  <c:v>20-year nominal government bond yield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Pt>
            <c:idx val="1"/>
            <c:marker>
              <c:symbol val="none"/>
            </c:marker>
            <c:bubble3D val="0"/>
            <c:extLst>
              <c:ext xmlns:c16="http://schemas.microsoft.com/office/drawing/2014/chart" uri="{C3380CC4-5D6E-409C-BE32-E72D297353CC}">
                <c16:uniqueId val="{00000000-EA41-4490-8518-F3BFC72613C1}"/>
              </c:ext>
            </c:extLst>
          </c:dPt>
          <c:dPt>
            <c:idx val="3"/>
            <c:marker>
              <c:symbol val="none"/>
            </c:marker>
            <c:bubble3D val="0"/>
            <c:extLst>
              <c:ext xmlns:c16="http://schemas.microsoft.com/office/drawing/2014/chart" uri="{C3380CC4-5D6E-409C-BE32-E72D297353CC}">
                <c16:uniqueId val="{00000001-EA41-4490-8518-F3BFC72613C1}"/>
              </c:ext>
            </c:extLst>
          </c:dPt>
          <c:dPt>
            <c:idx val="5"/>
            <c:marker>
              <c:symbol val="none"/>
            </c:marker>
            <c:bubble3D val="0"/>
            <c:extLst>
              <c:ext xmlns:c16="http://schemas.microsoft.com/office/drawing/2014/chart" uri="{C3380CC4-5D6E-409C-BE32-E72D297353CC}">
                <c16:uniqueId val="{00000002-EA41-4490-8518-F3BFC72613C1}"/>
              </c:ext>
            </c:extLst>
          </c:dPt>
          <c:dPt>
            <c:idx val="9"/>
            <c:marker>
              <c:symbol val="none"/>
            </c:marker>
            <c:bubble3D val="0"/>
            <c:extLst>
              <c:ext xmlns:c16="http://schemas.microsoft.com/office/drawing/2014/chart" uri="{C3380CC4-5D6E-409C-BE32-E72D297353CC}">
                <c16:uniqueId val="{00000003-EA41-4490-8518-F3BFC72613C1}"/>
              </c:ext>
            </c:extLst>
          </c:dPt>
          <c:dPt>
            <c:idx val="11"/>
            <c:marker>
              <c:symbol val="none"/>
            </c:marker>
            <c:bubble3D val="0"/>
            <c:extLst>
              <c:ext xmlns:c16="http://schemas.microsoft.com/office/drawing/2014/chart" uri="{C3380CC4-5D6E-409C-BE32-E72D297353CC}">
                <c16:uniqueId val="{00000004-EA41-4490-8518-F3BFC72613C1}"/>
              </c:ext>
            </c:extLst>
          </c:dPt>
          <c:dPt>
            <c:idx val="13"/>
            <c:marker>
              <c:symbol val="none"/>
            </c:marker>
            <c:bubble3D val="0"/>
            <c:extLst>
              <c:ext xmlns:c16="http://schemas.microsoft.com/office/drawing/2014/chart" uri="{C3380CC4-5D6E-409C-BE32-E72D297353CC}">
                <c16:uniqueId val="{00000005-EA41-4490-8518-F3BFC72613C1}"/>
              </c:ext>
            </c:extLst>
          </c:dPt>
          <c:dPt>
            <c:idx val="15"/>
            <c:marker>
              <c:symbol val="none"/>
            </c:marker>
            <c:bubble3D val="0"/>
            <c:extLst>
              <c:ext xmlns:c16="http://schemas.microsoft.com/office/drawing/2014/chart" uri="{C3380CC4-5D6E-409C-BE32-E72D297353CC}">
                <c16:uniqueId val="{00000006-EA41-4490-8518-F3BFC72613C1}"/>
              </c:ext>
            </c:extLst>
          </c:dPt>
          <c:dPt>
            <c:idx val="17"/>
            <c:marker>
              <c:symbol val="none"/>
            </c:marker>
            <c:bubble3D val="0"/>
            <c:extLst>
              <c:ext xmlns:c16="http://schemas.microsoft.com/office/drawing/2014/chart" uri="{C3380CC4-5D6E-409C-BE32-E72D297353CC}">
                <c16:uniqueId val="{00000007-EA41-4490-8518-F3BFC72613C1}"/>
              </c:ext>
            </c:extLst>
          </c:dPt>
          <c:dPt>
            <c:idx val="19"/>
            <c:marker>
              <c:symbol val="none"/>
            </c:marker>
            <c:bubble3D val="0"/>
            <c:extLst>
              <c:ext xmlns:c16="http://schemas.microsoft.com/office/drawing/2014/chart" uri="{C3380CC4-5D6E-409C-BE32-E72D297353CC}">
                <c16:uniqueId val="{00000008-EA41-4490-8518-F3BFC72613C1}"/>
              </c:ext>
            </c:extLst>
          </c:dPt>
          <c:dPt>
            <c:idx val="21"/>
            <c:marker>
              <c:symbol val="none"/>
            </c:marker>
            <c:bubble3D val="0"/>
            <c:extLst>
              <c:ext xmlns:c16="http://schemas.microsoft.com/office/drawing/2014/chart" uri="{C3380CC4-5D6E-409C-BE32-E72D297353CC}">
                <c16:uniqueId val="{00000009-EA41-4490-8518-F3BFC72613C1}"/>
              </c:ext>
            </c:extLst>
          </c:dPt>
          <c:dPt>
            <c:idx val="23"/>
            <c:marker>
              <c:symbol val="none"/>
            </c:marker>
            <c:bubble3D val="0"/>
            <c:extLst>
              <c:ext xmlns:c16="http://schemas.microsoft.com/office/drawing/2014/chart" uri="{C3380CC4-5D6E-409C-BE32-E72D297353CC}">
                <c16:uniqueId val="{0000000A-EA41-4490-8518-F3BFC72613C1}"/>
              </c:ext>
            </c:extLst>
          </c:dPt>
          <c:dPt>
            <c:idx val="25"/>
            <c:marker>
              <c:symbol val="none"/>
            </c:marker>
            <c:bubble3D val="0"/>
            <c:extLst>
              <c:ext xmlns:c16="http://schemas.microsoft.com/office/drawing/2014/chart" uri="{C3380CC4-5D6E-409C-BE32-E72D297353CC}">
                <c16:uniqueId val="{0000000B-EA41-4490-8518-F3BFC72613C1}"/>
              </c:ext>
            </c:extLst>
          </c:dPt>
          <c:dPt>
            <c:idx val="27"/>
            <c:marker>
              <c:symbol val="none"/>
            </c:marker>
            <c:bubble3D val="0"/>
            <c:extLst>
              <c:ext xmlns:c16="http://schemas.microsoft.com/office/drawing/2014/chart" uri="{C3380CC4-5D6E-409C-BE32-E72D297353CC}">
                <c16:uniqueId val="{0000000C-EA41-4490-8518-F3BFC72613C1}"/>
              </c:ext>
            </c:extLst>
          </c:dPt>
          <c:dPt>
            <c:idx val="29"/>
            <c:marker>
              <c:symbol val="none"/>
            </c:marker>
            <c:bubble3D val="0"/>
            <c:extLst>
              <c:ext xmlns:c16="http://schemas.microsoft.com/office/drawing/2014/chart" uri="{C3380CC4-5D6E-409C-BE32-E72D297353CC}">
                <c16:uniqueId val="{0000000D-EA41-4490-8518-F3BFC72613C1}"/>
              </c:ext>
            </c:extLst>
          </c:dPt>
          <c:dPt>
            <c:idx val="31"/>
            <c:marker>
              <c:symbol val="none"/>
            </c:marker>
            <c:bubble3D val="0"/>
            <c:extLst>
              <c:ext xmlns:c16="http://schemas.microsoft.com/office/drawing/2014/chart" uri="{C3380CC4-5D6E-409C-BE32-E72D297353CC}">
                <c16:uniqueId val="{0000000E-EA41-4490-8518-F3BFC72613C1}"/>
              </c:ext>
            </c:extLst>
          </c:dPt>
          <c:dPt>
            <c:idx val="33"/>
            <c:marker>
              <c:symbol val="none"/>
            </c:marker>
            <c:bubble3D val="0"/>
            <c:extLst>
              <c:ext xmlns:c16="http://schemas.microsoft.com/office/drawing/2014/chart" uri="{C3380CC4-5D6E-409C-BE32-E72D297353CC}">
                <c16:uniqueId val="{0000000F-EA41-4490-8518-F3BFC72613C1}"/>
              </c:ext>
            </c:extLst>
          </c:dPt>
          <c:dPt>
            <c:idx val="35"/>
            <c:marker>
              <c:symbol val="none"/>
            </c:marker>
            <c:bubble3D val="0"/>
            <c:extLst>
              <c:ext xmlns:c16="http://schemas.microsoft.com/office/drawing/2014/chart" uri="{C3380CC4-5D6E-409C-BE32-E72D297353CC}">
                <c16:uniqueId val="{00000010-EA41-4490-8518-F3BFC72613C1}"/>
              </c:ext>
            </c:extLst>
          </c:dPt>
          <c:dPt>
            <c:idx val="37"/>
            <c:marker>
              <c:symbol val="none"/>
            </c:marker>
            <c:bubble3D val="0"/>
            <c:extLst>
              <c:ext xmlns:c16="http://schemas.microsoft.com/office/drawing/2014/chart" uri="{C3380CC4-5D6E-409C-BE32-E72D297353CC}">
                <c16:uniqueId val="{00000011-EA41-4490-8518-F3BFC72613C1}"/>
              </c:ext>
            </c:extLst>
          </c:dPt>
          <c:dPt>
            <c:idx val="39"/>
            <c:marker>
              <c:symbol val="none"/>
            </c:marker>
            <c:bubble3D val="0"/>
            <c:extLst>
              <c:ext xmlns:c16="http://schemas.microsoft.com/office/drawing/2014/chart" uri="{C3380CC4-5D6E-409C-BE32-E72D297353CC}">
                <c16:uniqueId val="{00000012-EA41-4490-8518-F3BFC72613C1}"/>
              </c:ext>
            </c:extLst>
          </c:dPt>
          <c:dPt>
            <c:idx val="41"/>
            <c:marker>
              <c:symbol val="none"/>
            </c:marker>
            <c:bubble3D val="0"/>
            <c:extLst>
              <c:ext xmlns:c16="http://schemas.microsoft.com/office/drawing/2014/chart" uri="{C3380CC4-5D6E-409C-BE32-E72D297353CC}">
                <c16:uniqueId val="{00000013-EA41-4490-8518-F3BFC72613C1}"/>
              </c:ext>
            </c:extLst>
          </c:dPt>
          <c:cat>
            <c:strRef>
              <c:f>'Yield Curves'!$H$74:$H$117</c:f>
              <c:strCache>
                <c:ptCount val="44"/>
                <c:pt idx="0">
                  <c:v>31/3/1995</c:v>
                </c:pt>
                <c:pt idx="2">
                  <c:v>31/3/1996</c:v>
                </c:pt>
                <c:pt idx="4">
                  <c:v>31/3/1997</c:v>
                </c:pt>
                <c:pt idx="6">
                  <c:v>31/3/1998</c:v>
                </c:pt>
                <c:pt idx="8">
                  <c:v>31/3/1999</c:v>
                </c:pt>
                <c:pt idx="10">
                  <c:v>31/3/2000</c:v>
                </c:pt>
                <c:pt idx="12">
                  <c:v>31/3/2001</c:v>
                </c:pt>
                <c:pt idx="14">
                  <c:v>31/3/2002</c:v>
                </c:pt>
                <c:pt idx="16">
                  <c:v>31/3/2003</c:v>
                </c:pt>
                <c:pt idx="18">
                  <c:v>31/3/2004</c:v>
                </c:pt>
                <c:pt idx="20">
                  <c:v>31/3/2005</c:v>
                </c:pt>
                <c:pt idx="22">
                  <c:v>31/3/2006</c:v>
                </c:pt>
                <c:pt idx="24">
                  <c:v>31/3/2007</c:v>
                </c:pt>
                <c:pt idx="26">
                  <c:v>31/3/2008</c:v>
                </c:pt>
                <c:pt idx="28">
                  <c:v>31/3/2009</c:v>
                </c:pt>
                <c:pt idx="30">
                  <c:v>31/3/2010</c:v>
                </c:pt>
                <c:pt idx="32">
                  <c:v>31/3/2011</c:v>
                </c:pt>
                <c:pt idx="34">
                  <c:v>31/3/2012</c:v>
                </c:pt>
                <c:pt idx="36">
                  <c:v>31/3/2013</c:v>
                </c:pt>
                <c:pt idx="38">
                  <c:v>31/3/2014</c:v>
                </c:pt>
                <c:pt idx="40">
                  <c:v>31/3/2015</c:v>
                </c:pt>
                <c:pt idx="42">
                  <c:v>31/3/2016</c:v>
                </c:pt>
                <c:pt idx="43">
                  <c:v>30/9/2016</c:v>
                </c:pt>
              </c:strCache>
            </c:strRef>
          </c:cat>
          <c:val>
            <c:numRef>
              <c:f>'Yield Curves'!$I$74:$I$117</c:f>
              <c:numCache>
                <c:formatCode>General</c:formatCode>
                <c:ptCount val="44"/>
                <c:pt idx="0">
                  <c:v>8.1900883620636105</c:v>
                </c:pt>
                <c:pt idx="1">
                  <c:v>8.308483419655019</c:v>
                </c:pt>
                <c:pt idx="2">
                  <c:v>8.4268784772464294</c:v>
                </c:pt>
                <c:pt idx="3">
                  <c:v>8.0781246744898922</c:v>
                </c:pt>
                <c:pt idx="4">
                  <c:v>7.7293708717333542</c:v>
                </c:pt>
                <c:pt idx="5">
                  <c:v>6.7002350077833048</c:v>
                </c:pt>
                <c:pt idx="6">
                  <c:v>5.6710991438332554</c:v>
                </c:pt>
                <c:pt idx="7">
                  <c:v>5.1091727427147058</c:v>
                </c:pt>
                <c:pt idx="8">
                  <c:v>4.5472463415961561</c:v>
                </c:pt>
                <c:pt idx="9">
                  <c:v>4.4483874553742737</c:v>
                </c:pt>
                <c:pt idx="10">
                  <c:v>4.3495285691523913</c:v>
                </c:pt>
                <c:pt idx="11">
                  <c:v>4.4739609289194222</c:v>
                </c:pt>
                <c:pt idx="12">
                  <c:v>4.5983932886864531</c:v>
                </c:pt>
                <c:pt idx="13">
                  <c:v>4.8403307396174657</c:v>
                </c:pt>
                <c:pt idx="14">
                  <c:v>5.0822681905484774</c:v>
                </c:pt>
                <c:pt idx="15">
                  <c:v>4.8376754412835901</c:v>
                </c:pt>
                <c:pt idx="16">
                  <c:v>4.5930826920187027</c:v>
                </c:pt>
                <c:pt idx="17">
                  <c:v>4.6191773044081632</c:v>
                </c:pt>
                <c:pt idx="18">
                  <c:v>4.6452719167976229</c:v>
                </c:pt>
                <c:pt idx="19">
                  <c:v>4.6062351610593701</c:v>
                </c:pt>
                <c:pt idx="20">
                  <c:v>4.5671984053211165</c:v>
                </c:pt>
                <c:pt idx="21">
                  <c:v>4.3528294466658721</c:v>
                </c:pt>
                <c:pt idx="22">
                  <c:v>4.1384604880106277</c:v>
                </c:pt>
                <c:pt idx="23">
                  <c:v>4.3039077505795138</c:v>
                </c:pt>
                <c:pt idx="24">
                  <c:v>4.4693550131483999</c:v>
                </c:pt>
                <c:pt idx="25">
                  <c:v>4.5357102312584594</c:v>
                </c:pt>
                <c:pt idx="26">
                  <c:v>4.6020654493685189</c:v>
                </c:pt>
                <c:pt idx="27">
                  <c:v>4.4327644523683531</c:v>
                </c:pt>
                <c:pt idx="28">
                  <c:v>4.2634634553681874</c:v>
                </c:pt>
                <c:pt idx="29">
                  <c:v>4.4605617062669047</c:v>
                </c:pt>
                <c:pt idx="30">
                  <c:v>4.6576599571656212</c:v>
                </c:pt>
                <c:pt idx="31">
                  <c:v>4.582736589595374</c:v>
                </c:pt>
                <c:pt idx="32">
                  <c:v>4.5078132220251259</c:v>
                </c:pt>
                <c:pt idx="33">
                  <c:v>3.9671582323637393</c:v>
                </c:pt>
                <c:pt idx="34">
                  <c:v>3.4265032427023527</c:v>
                </c:pt>
                <c:pt idx="35">
                  <c:v>3.2653822380497681</c:v>
                </c:pt>
                <c:pt idx="36">
                  <c:v>3.1042612333971835</c:v>
                </c:pt>
                <c:pt idx="37">
                  <c:v>3.3280434921398423</c:v>
                </c:pt>
                <c:pt idx="38">
                  <c:v>3.5518257508825011</c:v>
                </c:pt>
                <c:pt idx="39">
                  <c:v>2.921377151429553</c:v>
                </c:pt>
                <c:pt idx="40">
                  <c:v>2.2909285519766054</c:v>
                </c:pt>
                <c:pt idx="41">
                  <c:v>2.3048502145318341</c:v>
                </c:pt>
                <c:pt idx="42">
                  <c:v>2.3187718770870633</c:v>
                </c:pt>
                <c:pt idx="43">
                  <c:v>1.5210804319639448</c:v>
                </c:pt>
              </c:numCache>
            </c:numRef>
          </c:val>
          <c:smooth val="0"/>
          <c:extLst>
            <c:ext xmlns:c16="http://schemas.microsoft.com/office/drawing/2014/chart" uri="{C3380CC4-5D6E-409C-BE32-E72D297353CC}">
              <c16:uniqueId val="{00000014-EA41-4490-8518-F3BFC72613C1}"/>
            </c:ext>
          </c:extLst>
        </c:ser>
        <c:ser>
          <c:idx val="1"/>
          <c:order val="1"/>
          <c:tx>
            <c:strRef>
              <c:f>'Yield Curves'!$J$73</c:f>
              <c:strCache>
                <c:ptCount val="1"/>
                <c:pt idx="0">
                  <c:v>20-year implied inflation rate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Pt>
            <c:idx val="1"/>
            <c:marker>
              <c:symbol val="none"/>
            </c:marker>
            <c:bubble3D val="0"/>
            <c:extLst>
              <c:ext xmlns:c16="http://schemas.microsoft.com/office/drawing/2014/chart" uri="{C3380CC4-5D6E-409C-BE32-E72D297353CC}">
                <c16:uniqueId val="{00000015-EA41-4490-8518-F3BFC72613C1}"/>
              </c:ext>
            </c:extLst>
          </c:dPt>
          <c:dPt>
            <c:idx val="3"/>
            <c:marker>
              <c:symbol val="none"/>
            </c:marker>
            <c:bubble3D val="0"/>
            <c:extLst>
              <c:ext xmlns:c16="http://schemas.microsoft.com/office/drawing/2014/chart" uri="{C3380CC4-5D6E-409C-BE32-E72D297353CC}">
                <c16:uniqueId val="{00000016-EA41-4490-8518-F3BFC72613C1}"/>
              </c:ext>
            </c:extLst>
          </c:dPt>
          <c:dPt>
            <c:idx val="5"/>
            <c:marker>
              <c:symbol val="none"/>
            </c:marker>
            <c:bubble3D val="0"/>
            <c:extLst>
              <c:ext xmlns:c16="http://schemas.microsoft.com/office/drawing/2014/chart" uri="{C3380CC4-5D6E-409C-BE32-E72D297353CC}">
                <c16:uniqueId val="{00000017-EA41-4490-8518-F3BFC72613C1}"/>
              </c:ext>
            </c:extLst>
          </c:dPt>
          <c:dPt>
            <c:idx val="7"/>
            <c:marker>
              <c:symbol val="none"/>
            </c:marker>
            <c:bubble3D val="0"/>
            <c:extLst>
              <c:ext xmlns:c16="http://schemas.microsoft.com/office/drawing/2014/chart" uri="{C3380CC4-5D6E-409C-BE32-E72D297353CC}">
                <c16:uniqueId val="{00000018-EA41-4490-8518-F3BFC72613C1}"/>
              </c:ext>
            </c:extLst>
          </c:dPt>
          <c:dPt>
            <c:idx val="9"/>
            <c:marker>
              <c:symbol val="none"/>
            </c:marker>
            <c:bubble3D val="0"/>
            <c:extLst>
              <c:ext xmlns:c16="http://schemas.microsoft.com/office/drawing/2014/chart" uri="{C3380CC4-5D6E-409C-BE32-E72D297353CC}">
                <c16:uniqueId val="{00000019-EA41-4490-8518-F3BFC72613C1}"/>
              </c:ext>
            </c:extLst>
          </c:dPt>
          <c:dPt>
            <c:idx val="11"/>
            <c:marker>
              <c:symbol val="none"/>
            </c:marker>
            <c:bubble3D val="0"/>
            <c:extLst>
              <c:ext xmlns:c16="http://schemas.microsoft.com/office/drawing/2014/chart" uri="{C3380CC4-5D6E-409C-BE32-E72D297353CC}">
                <c16:uniqueId val="{0000001A-EA41-4490-8518-F3BFC72613C1}"/>
              </c:ext>
            </c:extLst>
          </c:dPt>
          <c:dPt>
            <c:idx val="13"/>
            <c:marker>
              <c:symbol val="none"/>
            </c:marker>
            <c:bubble3D val="0"/>
            <c:extLst>
              <c:ext xmlns:c16="http://schemas.microsoft.com/office/drawing/2014/chart" uri="{C3380CC4-5D6E-409C-BE32-E72D297353CC}">
                <c16:uniqueId val="{0000001B-EA41-4490-8518-F3BFC72613C1}"/>
              </c:ext>
            </c:extLst>
          </c:dPt>
          <c:dPt>
            <c:idx val="15"/>
            <c:marker>
              <c:symbol val="none"/>
            </c:marker>
            <c:bubble3D val="0"/>
            <c:extLst>
              <c:ext xmlns:c16="http://schemas.microsoft.com/office/drawing/2014/chart" uri="{C3380CC4-5D6E-409C-BE32-E72D297353CC}">
                <c16:uniqueId val="{0000001C-EA41-4490-8518-F3BFC72613C1}"/>
              </c:ext>
            </c:extLst>
          </c:dPt>
          <c:dPt>
            <c:idx val="17"/>
            <c:marker>
              <c:symbol val="none"/>
            </c:marker>
            <c:bubble3D val="0"/>
            <c:extLst>
              <c:ext xmlns:c16="http://schemas.microsoft.com/office/drawing/2014/chart" uri="{C3380CC4-5D6E-409C-BE32-E72D297353CC}">
                <c16:uniqueId val="{0000001D-EA41-4490-8518-F3BFC72613C1}"/>
              </c:ext>
            </c:extLst>
          </c:dPt>
          <c:dPt>
            <c:idx val="19"/>
            <c:marker>
              <c:symbol val="none"/>
            </c:marker>
            <c:bubble3D val="0"/>
            <c:extLst>
              <c:ext xmlns:c16="http://schemas.microsoft.com/office/drawing/2014/chart" uri="{C3380CC4-5D6E-409C-BE32-E72D297353CC}">
                <c16:uniqueId val="{0000001E-EA41-4490-8518-F3BFC72613C1}"/>
              </c:ext>
            </c:extLst>
          </c:dPt>
          <c:dPt>
            <c:idx val="21"/>
            <c:marker>
              <c:symbol val="none"/>
            </c:marker>
            <c:bubble3D val="0"/>
            <c:extLst>
              <c:ext xmlns:c16="http://schemas.microsoft.com/office/drawing/2014/chart" uri="{C3380CC4-5D6E-409C-BE32-E72D297353CC}">
                <c16:uniqueId val="{0000001F-EA41-4490-8518-F3BFC72613C1}"/>
              </c:ext>
            </c:extLst>
          </c:dPt>
          <c:dPt>
            <c:idx val="23"/>
            <c:marker>
              <c:symbol val="none"/>
            </c:marker>
            <c:bubble3D val="0"/>
            <c:extLst>
              <c:ext xmlns:c16="http://schemas.microsoft.com/office/drawing/2014/chart" uri="{C3380CC4-5D6E-409C-BE32-E72D297353CC}">
                <c16:uniqueId val="{00000020-EA41-4490-8518-F3BFC72613C1}"/>
              </c:ext>
            </c:extLst>
          </c:dPt>
          <c:dPt>
            <c:idx val="25"/>
            <c:marker>
              <c:symbol val="none"/>
            </c:marker>
            <c:bubble3D val="0"/>
            <c:extLst>
              <c:ext xmlns:c16="http://schemas.microsoft.com/office/drawing/2014/chart" uri="{C3380CC4-5D6E-409C-BE32-E72D297353CC}">
                <c16:uniqueId val="{00000021-EA41-4490-8518-F3BFC72613C1}"/>
              </c:ext>
            </c:extLst>
          </c:dPt>
          <c:dPt>
            <c:idx val="27"/>
            <c:marker>
              <c:symbol val="none"/>
            </c:marker>
            <c:bubble3D val="0"/>
            <c:extLst>
              <c:ext xmlns:c16="http://schemas.microsoft.com/office/drawing/2014/chart" uri="{C3380CC4-5D6E-409C-BE32-E72D297353CC}">
                <c16:uniqueId val="{00000022-EA41-4490-8518-F3BFC72613C1}"/>
              </c:ext>
            </c:extLst>
          </c:dPt>
          <c:dPt>
            <c:idx val="29"/>
            <c:marker>
              <c:symbol val="none"/>
            </c:marker>
            <c:bubble3D val="0"/>
            <c:extLst>
              <c:ext xmlns:c16="http://schemas.microsoft.com/office/drawing/2014/chart" uri="{C3380CC4-5D6E-409C-BE32-E72D297353CC}">
                <c16:uniqueId val="{00000023-EA41-4490-8518-F3BFC72613C1}"/>
              </c:ext>
            </c:extLst>
          </c:dPt>
          <c:dPt>
            <c:idx val="31"/>
            <c:marker>
              <c:symbol val="none"/>
            </c:marker>
            <c:bubble3D val="0"/>
            <c:extLst>
              <c:ext xmlns:c16="http://schemas.microsoft.com/office/drawing/2014/chart" uri="{C3380CC4-5D6E-409C-BE32-E72D297353CC}">
                <c16:uniqueId val="{00000024-EA41-4490-8518-F3BFC72613C1}"/>
              </c:ext>
            </c:extLst>
          </c:dPt>
          <c:dPt>
            <c:idx val="33"/>
            <c:marker>
              <c:symbol val="none"/>
            </c:marker>
            <c:bubble3D val="0"/>
            <c:extLst>
              <c:ext xmlns:c16="http://schemas.microsoft.com/office/drawing/2014/chart" uri="{C3380CC4-5D6E-409C-BE32-E72D297353CC}">
                <c16:uniqueId val="{00000025-EA41-4490-8518-F3BFC72613C1}"/>
              </c:ext>
            </c:extLst>
          </c:dPt>
          <c:dPt>
            <c:idx val="35"/>
            <c:marker>
              <c:symbol val="none"/>
            </c:marker>
            <c:bubble3D val="0"/>
            <c:extLst>
              <c:ext xmlns:c16="http://schemas.microsoft.com/office/drawing/2014/chart" uri="{C3380CC4-5D6E-409C-BE32-E72D297353CC}">
                <c16:uniqueId val="{00000026-EA41-4490-8518-F3BFC72613C1}"/>
              </c:ext>
            </c:extLst>
          </c:dPt>
          <c:dPt>
            <c:idx val="37"/>
            <c:marker>
              <c:symbol val="none"/>
            </c:marker>
            <c:bubble3D val="0"/>
            <c:extLst>
              <c:ext xmlns:c16="http://schemas.microsoft.com/office/drawing/2014/chart" uri="{C3380CC4-5D6E-409C-BE32-E72D297353CC}">
                <c16:uniqueId val="{00000027-EA41-4490-8518-F3BFC72613C1}"/>
              </c:ext>
            </c:extLst>
          </c:dPt>
          <c:dPt>
            <c:idx val="39"/>
            <c:marker>
              <c:symbol val="none"/>
            </c:marker>
            <c:bubble3D val="0"/>
            <c:extLst>
              <c:ext xmlns:c16="http://schemas.microsoft.com/office/drawing/2014/chart" uri="{C3380CC4-5D6E-409C-BE32-E72D297353CC}">
                <c16:uniqueId val="{00000028-EA41-4490-8518-F3BFC72613C1}"/>
              </c:ext>
            </c:extLst>
          </c:dPt>
          <c:dPt>
            <c:idx val="41"/>
            <c:marker>
              <c:symbol val="none"/>
            </c:marker>
            <c:bubble3D val="0"/>
            <c:extLst>
              <c:ext xmlns:c16="http://schemas.microsoft.com/office/drawing/2014/chart" uri="{C3380CC4-5D6E-409C-BE32-E72D297353CC}">
                <c16:uniqueId val="{00000029-EA41-4490-8518-F3BFC72613C1}"/>
              </c:ext>
            </c:extLst>
          </c:dPt>
          <c:cat>
            <c:strRef>
              <c:f>'Yield Curves'!$H$74:$H$117</c:f>
              <c:strCache>
                <c:ptCount val="44"/>
                <c:pt idx="0">
                  <c:v>31/3/1995</c:v>
                </c:pt>
                <c:pt idx="2">
                  <c:v>31/3/1996</c:v>
                </c:pt>
                <c:pt idx="4">
                  <c:v>31/3/1997</c:v>
                </c:pt>
                <c:pt idx="6">
                  <c:v>31/3/1998</c:v>
                </c:pt>
                <c:pt idx="8">
                  <c:v>31/3/1999</c:v>
                </c:pt>
                <c:pt idx="10">
                  <c:v>31/3/2000</c:v>
                </c:pt>
                <c:pt idx="12">
                  <c:v>31/3/2001</c:v>
                </c:pt>
                <c:pt idx="14">
                  <c:v>31/3/2002</c:v>
                </c:pt>
                <c:pt idx="16">
                  <c:v>31/3/2003</c:v>
                </c:pt>
                <c:pt idx="18">
                  <c:v>31/3/2004</c:v>
                </c:pt>
                <c:pt idx="20">
                  <c:v>31/3/2005</c:v>
                </c:pt>
                <c:pt idx="22">
                  <c:v>31/3/2006</c:v>
                </c:pt>
                <c:pt idx="24">
                  <c:v>31/3/2007</c:v>
                </c:pt>
                <c:pt idx="26">
                  <c:v>31/3/2008</c:v>
                </c:pt>
                <c:pt idx="28">
                  <c:v>31/3/2009</c:v>
                </c:pt>
                <c:pt idx="30">
                  <c:v>31/3/2010</c:v>
                </c:pt>
                <c:pt idx="32">
                  <c:v>31/3/2011</c:v>
                </c:pt>
                <c:pt idx="34">
                  <c:v>31/3/2012</c:v>
                </c:pt>
                <c:pt idx="36">
                  <c:v>31/3/2013</c:v>
                </c:pt>
                <c:pt idx="38">
                  <c:v>31/3/2014</c:v>
                </c:pt>
                <c:pt idx="40">
                  <c:v>31/3/2015</c:v>
                </c:pt>
                <c:pt idx="42">
                  <c:v>31/3/2016</c:v>
                </c:pt>
                <c:pt idx="43">
                  <c:v>30/9/2016</c:v>
                </c:pt>
              </c:strCache>
            </c:strRef>
          </c:cat>
          <c:val>
            <c:numRef>
              <c:f>'Yield Curves'!$J$74:$J$117</c:f>
              <c:numCache>
                <c:formatCode>General</c:formatCode>
                <c:ptCount val="44"/>
                <c:pt idx="0">
                  <c:v>4.3256697672993631</c:v>
                </c:pt>
                <c:pt idx="1">
                  <c:v>4.4762297924803756</c:v>
                </c:pt>
                <c:pt idx="2">
                  <c:v>4.626789817661388</c:v>
                </c:pt>
                <c:pt idx="3">
                  <c:v>4.3566403251288346</c:v>
                </c:pt>
                <c:pt idx="4">
                  <c:v>4.0864908325962812</c:v>
                </c:pt>
                <c:pt idx="5">
                  <c:v>3.4277324363872514</c:v>
                </c:pt>
                <c:pt idx="6">
                  <c:v>2.7689740401782212</c:v>
                </c:pt>
                <c:pt idx="7">
                  <c:v>2.7296006058815774</c:v>
                </c:pt>
                <c:pt idx="8">
                  <c:v>2.690227171584934</c:v>
                </c:pt>
                <c:pt idx="9">
                  <c:v>2.6078405273344742</c:v>
                </c:pt>
                <c:pt idx="10">
                  <c:v>2.525453883084015</c:v>
                </c:pt>
                <c:pt idx="11">
                  <c:v>2.4831043534146735</c:v>
                </c:pt>
                <c:pt idx="12">
                  <c:v>2.4407548237453316</c:v>
                </c:pt>
                <c:pt idx="13">
                  <c:v>2.6401041050812468</c:v>
                </c:pt>
                <c:pt idx="14">
                  <c:v>2.8394533864171616</c:v>
                </c:pt>
                <c:pt idx="15">
                  <c:v>2.6858332887131642</c:v>
                </c:pt>
                <c:pt idx="16">
                  <c:v>2.5322131910091663</c:v>
                </c:pt>
                <c:pt idx="17">
                  <c:v>2.7140089242442382</c:v>
                </c:pt>
                <c:pt idx="18">
                  <c:v>2.8958046574793102</c:v>
                </c:pt>
                <c:pt idx="19">
                  <c:v>2.913242270116656</c:v>
                </c:pt>
                <c:pt idx="20">
                  <c:v>2.9306798827540019</c:v>
                </c:pt>
                <c:pt idx="21">
                  <c:v>2.9516953584226009</c:v>
                </c:pt>
                <c:pt idx="22">
                  <c:v>2.9727108340911998</c:v>
                </c:pt>
                <c:pt idx="23">
                  <c:v>3.0750877933684064</c:v>
                </c:pt>
                <c:pt idx="24">
                  <c:v>3.177464752645613</c:v>
                </c:pt>
                <c:pt idx="25">
                  <c:v>3.419589457871071</c:v>
                </c:pt>
                <c:pt idx="26">
                  <c:v>3.6617141630965286</c:v>
                </c:pt>
                <c:pt idx="27">
                  <c:v>3.4093069197723791</c:v>
                </c:pt>
                <c:pt idx="28">
                  <c:v>3.15689967644823</c:v>
                </c:pt>
                <c:pt idx="29">
                  <c:v>3.4944403643268958</c:v>
                </c:pt>
                <c:pt idx="30">
                  <c:v>3.8319810522055615</c:v>
                </c:pt>
                <c:pt idx="31">
                  <c:v>3.7554303861447922</c:v>
                </c:pt>
                <c:pt idx="32">
                  <c:v>3.6788797200840229</c:v>
                </c:pt>
                <c:pt idx="33">
                  <c:v>3.5448868244839922</c:v>
                </c:pt>
                <c:pt idx="34">
                  <c:v>3.4108939288839619</c:v>
                </c:pt>
                <c:pt idx="35">
                  <c:v>3.473485909208728</c:v>
                </c:pt>
                <c:pt idx="36">
                  <c:v>3.5360778895334946</c:v>
                </c:pt>
                <c:pt idx="37">
                  <c:v>3.5476841974177544</c:v>
                </c:pt>
                <c:pt idx="38">
                  <c:v>3.5592905053020139</c:v>
                </c:pt>
                <c:pt idx="39">
                  <c:v>3.3912646114302758</c:v>
                </c:pt>
                <c:pt idx="40">
                  <c:v>3.2232387175585373</c:v>
                </c:pt>
                <c:pt idx="41">
                  <c:v>3.2439463515327489</c:v>
                </c:pt>
                <c:pt idx="42">
                  <c:v>3.264653985506961</c:v>
                </c:pt>
                <c:pt idx="43">
                  <c:v>3.3671070841216073</c:v>
                </c:pt>
              </c:numCache>
            </c:numRef>
          </c:val>
          <c:smooth val="0"/>
          <c:extLst>
            <c:ext xmlns:c16="http://schemas.microsoft.com/office/drawing/2014/chart" uri="{C3380CC4-5D6E-409C-BE32-E72D297353CC}">
              <c16:uniqueId val="{0000002A-EA41-4490-8518-F3BFC72613C1}"/>
            </c:ext>
          </c:extLst>
        </c:ser>
        <c:dLbls>
          <c:showLegendKey val="0"/>
          <c:showVal val="0"/>
          <c:showCatName val="0"/>
          <c:showSerName val="0"/>
          <c:showPercent val="0"/>
          <c:showBubbleSize val="0"/>
        </c:dLbls>
        <c:marker val="1"/>
        <c:smooth val="0"/>
        <c:axId val="528910824"/>
        <c:axId val="528911480"/>
      </c:lineChart>
      <c:catAx>
        <c:axId val="52891082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28911480"/>
        <c:crosses val="autoZero"/>
        <c:auto val="1"/>
        <c:lblAlgn val="ctr"/>
        <c:lblOffset val="100"/>
        <c:noMultiLvlLbl val="0"/>
      </c:catAx>
      <c:valAx>
        <c:axId val="528911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Yield/rate (% per annum)</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28910824"/>
        <c:crosses val="autoZero"/>
        <c:crossBetween val="between"/>
      </c:valAx>
      <c:spPr>
        <a:noFill/>
        <a:ln>
          <a:noFill/>
        </a:ln>
        <a:effectLst/>
      </c:spPr>
    </c:plotArea>
    <c:legend>
      <c:legendPos val="t"/>
      <c:layout>
        <c:manualLayout>
          <c:xMode val="edge"/>
          <c:yMode val="edge"/>
          <c:x val="0.26887274881996198"/>
          <c:y val="5.6608277652293433E-2"/>
          <c:w val="0.5875639649276474"/>
          <c:h val="0.11844799918830085"/>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'Salary Working'!$BZ$5</c:f>
              <c:strCache>
                <c:ptCount val="1"/>
                <c:pt idx="0">
                  <c:v>Gross</c:v>
                </c:pt>
              </c:strCache>
            </c:strRef>
          </c:tx>
          <c:cat>
            <c:strRef>
              <c:f>'Salary Working'!$BY$7:$BY$27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Working'!$BZ$7:$BZ$27</c:f>
              <c:numCache>
                <c:formatCode>General</c:formatCode>
                <c:ptCount val="21"/>
                <c:pt idx="0">
                  <c:v>100</c:v>
                </c:pt>
                <c:pt idx="1">
                  <c:v>104.68520650334638</c:v>
                </c:pt>
                <c:pt idx="2">
                  <c:v>110.34017554681085</c:v>
                </c:pt>
                <c:pt idx="3">
                  <c:v>116.08090590334706</c:v>
                </c:pt>
                <c:pt idx="4">
                  <c:v>121.64811542074023</c:v>
                </c:pt>
                <c:pt idx="5">
                  <c:v>130.03549124628751</c:v>
                </c:pt>
                <c:pt idx="6">
                  <c:v>135.36906902775252</c:v>
                </c:pt>
                <c:pt idx="7">
                  <c:v>139.4977811834471</c:v>
                </c:pt>
                <c:pt idx="8">
                  <c:v>144.63262665431941</c:v>
                </c:pt>
                <c:pt idx="9">
                  <c:v>150.34631176692264</c:v>
                </c:pt>
                <c:pt idx="10">
                  <c:v>157.15818468082753</c:v>
                </c:pt>
                <c:pt idx="11">
                  <c:v>165.62670570850278</c:v>
                </c:pt>
                <c:pt idx="12">
                  <c:v>173.97345070062173</c:v>
                </c:pt>
                <c:pt idx="13">
                  <c:v>176.00742301950075</c:v>
                </c:pt>
                <c:pt idx="14">
                  <c:v>177.88853040051737</c:v>
                </c:pt>
                <c:pt idx="15">
                  <c:v>180.58420321603268</c:v>
                </c:pt>
                <c:pt idx="16">
                  <c:v>184.36874015294055</c:v>
                </c:pt>
                <c:pt idx="17">
                  <c:v>186.26159015848316</c:v>
                </c:pt>
                <c:pt idx="18">
                  <c:v>189.66544157013044</c:v>
                </c:pt>
                <c:pt idx="19">
                  <c:v>192.85779960563821</c:v>
                </c:pt>
                <c:pt idx="20">
                  <c:v>198.43813739590394</c:v>
                </c:pt>
              </c:numCache>
            </c:numRef>
          </c:val>
          <c:smooth val="0"/>
          <c:extLst>
            <c:ext xmlns:c16="http://schemas.microsoft.com/office/drawing/2014/chart" uri="{C3380CC4-5D6E-409C-BE32-E72D297353CC}">
              <c16:uniqueId val="{00000000-A365-44EC-8A8B-9108C386156C}"/>
            </c:ext>
          </c:extLst>
        </c:ser>
        <c:ser>
          <c:idx val="1"/>
          <c:order val="1"/>
          <c:tx>
            <c:strRef>
              <c:f>'Salary Working'!$CA$5</c:f>
              <c:strCache>
                <c:ptCount val="1"/>
                <c:pt idx="0">
                  <c:v>Net (1x)</c:v>
                </c:pt>
              </c:strCache>
            </c:strRef>
          </c:tx>
          <c:cat>
            <c:strRef>
              <c:f>'Salary Working'!$BY$7:$BY$27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Working'!$CA$7:$CA$27</c:f>
              <c:numCache>
                <c:formatCode>General</c:formatCode>
                <c:ptCount val="21"/>
                <c:pt idx="0">
                  <c:v>100</c:v>
                </c:pt>
                <c:pt idx="1">
                  <c:v>104.75312209510051</c:v>
                </c:pt>
                <c:pt idx="2">
                  <c:v>110.6860536609762</c:v>
                </c:pt>
                <c:pt idx="3">
                  <c:v>116.69767760983034</c:v>
                </c:pt>
                <c:pt idx="4">
                  <c:v>126.32729675806725</c:v>
                </c:pt>
                <c:pt idx="5">
                  <c:v>135.25735258766846</c:v>
                </c:pt>
                <c:pt idx="6">
                  <c:v>140.53817185708493</c:v>
                </c:pt>
                <c:pt idx="7">
                  <c:v>144.75516869963195</c:v>
                </c:pt>
                <c:pt idx="8">
                  <c:v>151.2708847113467</c:v>
                </c:pt>
                <c:pt idx="9">
                  <c:v>157.3209240783506</c:v>
                </c:pt>
                <c:pt idx="10">
                  <c:v>164.50370425568653</c:v>
                </c:pt>
                <c:pt idx="11">
                  <c:v>173.46900611162476</c:v>
                </c:pt>
                <c:pt idx="12">
                  <c:v>182.30327928289</c:v>
                </c:pt>
                <c:pt idx="13">
                  <c:v>184.24735331071773</c:v>
                </c:pt>
                <c:pt idx="14">
                  <c:v>186.02694758972433</c:v>
                </c:pt>
                <c:pt idx="15">
                  <c:v>188.92743997077633</c:v>
                </c:pt>
                <c:pt idx="16">
                  <c:v>192.96766041295234</c:v>
                </c:pt>
                <c:pt idx="17">
                  <c:v>194.60072519393427</c:v>
                </c:pt>
                <c:pt idx="18">
                  <c:v>198.08484238078731</c:v>
                </c:pt>
                <c:pt idx="19">
                  <c:v>201.28667168945034</c:v>
                </c:pt>
                <c:pt idx="20">
                  <c:v>207.18611538362092</c:v>
                </c:pt>
              </c:numCache>
            </c:numRef>
          </c:val>
          <c:smooth val="0"/>
          <c:extLst>
            <c:ext xmlns:c16="http://schemas.microsoft.com/office/drawing/2014/chart" uri="{C3380CC4-5D6E-409C-BE32-E72D297353CC}">
              <c16:uniqueId val="{00000001-A365-44EC-8A8B-9108C386156C}"/>
            </c:ext>
          </c:extLst>
        </c:ser>
        <c:ser>
          <c:idx val="2"/>
          <c:order val="2"/>
          <c:tx>
            <c:strRef>
              <c:f>'Salary Working'!$CB$5</c:f>
              <c:strCache>
                <c:ptCount val="1"/>
                <c:pt idx="0">
                  <c:v>Net (2x)</c:v>
                </c:pt>
              </c:strCache>
            </c:strRef>
          </c:tx>
          <c:cat>
            <c:strRef>
              <c:f>'Salary Working'!$BY$7:$BY$27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Working'!$CB$7:$CB$27</c:f>
              <c:numCache>
                <c:formatCode>General</c:formatCode>
                <c:ptCount val="21"/>
                <c:pt idx="0">
                  <c:v>100</c:v>
                </c:pt>
                <c:pt idx="1">
                  <c:v>104.71831700331037</c:v>
                </c:pt>
                <c:pt idx="2">
                  <c:v>110.50879952535293</c:v>
                </c:pt>
                <c:pt idx="3">
                  <c:v>116.38159708541382</c:v>
                </c:pt>
                <c:pt idx="4">
                  <c:v>125.06075834561381</c:v>
                </c:pt>
                <c:pt idx="5">
                  <c:v>133.79071340409001</c:v>
                </c:pt>
                <c:pt idx="6">
                  <c:v>138.95932012895983</c:v>
                </c:pt>
                <c:pt idx="7">
                  <c:v>143.09884133883887</c:v>
                </c:pt>
                <c:pt idx="8">
                  <c:v>149.61770310420138</c:v>
                </c:pt>
                <c:pt idx="9">
                  <c:v>155.56445369881149</c:v>
                </c:pt>
                <c:pt idx="10">
                  <c:v>162.63951580069732</c:v>
                </c:pt>
                <c:pt idx="11">
                  <c:v>171.45262309812131</c:v>
                </c:pt>
                <c:pt idx="12">
                  <c:v>180.13797106526204</c:v>
                </c:pt>
                <c:pt idx="13">
                  <c:v>182.15270870390415</c:v>
                </c:pt>
                <c:pt idx="14">
                  <c:v>184.00707060034159</c:v>
                </c:pt>
                <c:pt idx="15">
                  <c:v>186.8351915192049</c:v>
                </c:pt>
                <c:pt idx="16">
                  <c:v>191.64753063998577</c:v>
                </c:pt>
                <c:pt idx="17">
                  <c:v>193.44541817720835</c:v>
                </c:pt>
                <c:pt idx="18">
                  <c:v>196.94538665966391</c:v>
                </c:pt>
                <c:pt idx="19">
                  <c:v>200.19580701234833</c:v>
                </c:pt>
                <c:pt idx="20">
                  <c:v>206.02513986790936</c:v>
                </c:pt>
              </c:numCache>
            </c:numRef>
          </c:val>
          <c:smooth val="0"/>
          <c:extLst>
            <c:ext xmlns:c16="http://schemas.microsoft.com/office/drawing/2014/chart" uri="{C3380CC4-5D6E-409C-BE32-E72D297353CC}">
              <c16:uniqueId val="{00000002-A365-44EC-8A8B-9108C386156C}"/>
            </c:ext>
          </c:extLst>
        </c:ser>
        <c:ser>
          <c:idx val="3"/>
          <c:order val="3"/>
          <c:tx>
            <c:strRef>
              <c:f>'Salary Working'!$CC$5</c:f>
              <c:strCache>
                <c:ptCount val="1"/>
                <c:pt idx="0">
                  <c:v>Net (4x)</c:v>
                </c:pt>
              </c:strCache>
            </c:strRef>
          </c:tx>
          <c:cat>
            <c:strRef>
              <c:f>'Salary Working'!$BY$7:$BY$27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Working'!$CC$7:$CC$27</c:f>
              <c:numCache>
                <c:formatCode>General</c:formatCode>
                <c:ptCount val="21"/>
                <c:pt idx="0">
                  <c:v>100</c:v>
                </c:pt>
                <c:pt idx="1">
                  <c:v>104.70709809441392</c:v>
                </c:pt>
                <c:pt idx="2">
                  <c:v>110.45166426448168</c:v>
                </c:pt>
                <c:pt idx="3">
                  <c:v>116.27971318208283</c:v>
                </c:pt>
                <c:pt idx="4">
                  <c:v>124.65250833584943</c:v>
                </c:pt>
                <c:pt idx="5">
                  <c:v>133.31796385687585</c:v>
                </c:pt>
                <c:pt idx="6">
                  <c:v>138.45040052013803</c:v>
                </c:pt>
                <c:pt idx="7">
                  <c:v>142.56494860051524</c:v>
                </c:pt>
                <c:pt idx="8">
                  <c:v>149.08482435325061</c:v>
                </c:pt>
                <c:pt idx="9">
                  <c:v>154.99828133282017</c:v>
                </c:pt>
                <c:pt idx="10">
                  <c:v>162.03862209903872</c:v>
                </c:pt>
                <c:pt idx="11">
                  <c:v>170.80267172131559</c:v>
                </c:pt>
                <c:pt idx="12">
                  <c:v>179.4400158415614</c:v>
                </c:pt>
                <c:pt idx="13">
                  <c:v>181.47753085475557</c:v>
                </c:pt>
                <c:pt idx="14">
                  <c:v>183.35599299185378</c:v>
                </c:pt>
                <c:pt idx="15">
                  <c:v>186.16078603541959</c:v>
                </c:pt>
                <c:pt idx="16">
                  <c:v>191.22200624419614</c:v>
                </c:pt>
                <c:pt idx="17">
                  <c:v>193.0730219701756</c:v>
                </c:pt>
                <c:pt idx="18">
                  <c:v>196.57809988438709</c:v>
                </c:pt>
                <c:pt idx="19">
                  <c:v>199.84418284469641</c:v>
                </c:pt>
                <c:pt idx="20">
                  <c:v>205.65091650368706</c:v>
                </c:pt>
              </c:numCache>
            </c:numRef>
          </c:val>
          <c:smooth val="0"/>
          <c:extLst>
            <c:ext xmlns:c16="http://schemas.microsoft.com/office/drawing/2014/chart" uri="{C3380CC4-5D6E-409C-BE32-E72D297353CC}">
              <c16:uniqueId val="{00000003-A365-44EC-8A8B-9108C386156C}"/>
            </c:ext>
          </c:extLst>
        </c:ser>
        <c:ser>
          <c:idx val="4"/>
          <c:order val="4"/>
          <c:tx>
            <c:strRef>
              <c:f>'Salary Working'!$CD$5</c:f>
              <c:strCache>
                <c:ptCount val="1"/>
                <c:pt idx="0">
                  <c:v>Net (8x)</c:v>
                </c:pt>
              </c:strCache>
            </c:strRef>
          </c:tx>
          <c:cat>
            <c:strRef>
              <c:f>'Salary Working'!$BY$7:$BY$27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Working'!$CD$7:$CD$27</c:f>
              <c:numCache>
                <c:formatCode>General</c:formatCode>
                <c:ptCount val="21"/>
                <c:pt idx="0">
                  <c:v>100</c:v>
                </c:pt>
                <c:pt idx="1">
                  <c:v>104.70155775963168</c:v>
                </c:pt>
                <c:pt idx="2">
                  <c:v>110.42344864422675</c:v>
                </c:pt>
                <c:pt idx="3">
                  <c:v>116.22939893685773</c:v>
                </c:pt>
                <c:pt idx="4">
                  <c:v>124.45089855812323</c:v>
                </c:pt>
                <c:pt idx="5">
                  <c:v>133.08450169189263</c:v>
                </c:pt>
                <c:pt idx="6">
                  <c:v>138.1990761679983</c:v>
                </c:pt>
                <c:pt idx="7">
                  <c:v>142.30129154300488</c:v>
                </c:pt>
                <c:pt idx="8">
                  <c:v>148.82166804225332</c:v>
                </c:pt>
                <c:pt idx="9">
                  <c:v>154.71868333617073</c:v>
                </c:pt>
                <c:pt idx="10">
                  <c:v>161.74187735260648</c:v>
                </c:pt>
                <c:pt idx="11">
                  <c:v>170.48170038150766</c:v>
                </c:pt>
                <c:pt idx="12">
                  <c:v>179.09533832987097</c:v>
                </c:pt>
                <c:pt idx="13">
                  <c:v>181.14410169900094</c:v>
                </c:pt>
                <c:pt idx="14">
                  <c:v>183.0344654749149</c:v>
                </c:pt>
                <c:pt idx="15">
                  <c:v>185.82773830380569</c:v>
                </c:pt>
                <c:pt idx="16">
                  <c:v>191.01186570090056</c:v>
                </c:pt>
                <c:pt idx="17">
                  <c:v>192.8891181986377</c:v>
                </c:pt>
                <c:pt idx="18">
                  <c:v>196.39671934953239</c:v>
                </c:pt>
                <c:pt idx="19">
                  <c:v>199.67053711637291</c:v>
                </c:pt>
                <c:pt idx="20">
                  <c:v>205.46611041066458</c:v>
                </c:pt>
              </c:numCache>
            </c:numRef>
          </c:val>
          <c:smooth val="0"/>
          <c:extLst>
            <c:ext xmlns:c16="http://schemas.microsoft.com/office/drawing/2014/chart" uri="{C3380CC4-5D6E-409C-BE32-E72D297353CC}">
              <c16:uniqueId val="{00000004-A365-44EC-8A8B-9108C386156C}"/>
            </c:ext>
          </c:extLst>
        </c:ser>
        <c:dLbls>
          <c:showLegendKey val="0"/>
          <c:showVal val="0"/>
          <c:showCatName val="0"/>
          <c:showSerName val="0"/>
          <c:showPercent val="0"/>
          <c:showBubbleSize val="0"/>
        </c:dLbls>
        <c:marker val="1"/>
        <c:smooth val="0"/>
        <c:axId val="500451200"/>
        <c:axId val="500452736"/>
      </c:lineChart>
      <c:catAx>
        <c:axId val="500451200"/>
        <c:scaling>
          <c:orientation val="minMax"/>
        </c:scaling>
        <c:delete val="0"/>
        <c:axPos val="b"/>
        <c:title>
          <c:tx>
            <c:rich>
              <a:bodyPr/>
              <a:lstStyle/>
              <a:p>
                <a:pPr>
                  <a:defRPr/>
                </a:pPr>
                <a:r>
                  <a:rPr lang="en-US"/>
                  <a:t>Date</a:t>
                </a:r>
              </a:p>
            </c:rich>
          </c:tx>
          <c:overlay val="0"/>
        </c:title>
        <c:numFmt formatCode="General" sourceLinked="1"/>
        <c:majorTickMark val="out"/>
        <c:minorTickMark val="none"/>
        <c:tickLblPos val="nextTo"/>
        <c:txPr>
          <a:bodyPr rot="-5400000" vert="horz"/>
          <a:lstStyle/>
          <a:p>
            <a:pPr>
              <a:defRPr/>
            </a:pPr>
            <a:endParaRPr lang="en-US"/>
          </a:p>
        </c:txPr>
        <c:crossAx val="500452736"/>
        <c:crosses val="autoZero"/>
        <c:auto val="1"/>
        <c:lblAlgn val="ctr"/>
        <c:lblOffset val="100"/>
        <c:noMultiLvlLbl val="0"/>
      </c:catAx>
      <c:valAx>
        <c:axId val="500452736"/>
        <c:scaling>
          <c:orientation val="minMax"/>
        </c:scaling>
        <c:delete val="0"/>
        <c:axPos val="l"/>
        <c:majorGridlines/>
        <c:title>
          <c:tx>
            <c:rich>
              <a:bodyPr/>
              <a:lstStyle/>
              <a:p>
                <a:pPr>
                  <a:defRPr/>
                </a:pPr>
                <a:r>
                  <a:rPr lang="en-US"/>
                  <a:t>Earnings (rebased to 100 for 4/1995-3/1996)</a:t>
                </a:r>
              </a:p>
            </c:rich>
          </c:tx>
          <c:overlay val="0"/>
        </c:title>
        <c:numFmt formatCode="General" sourceLinked="1"/>
        <c:majorTickMark val="out"/>
        <c:minorTickMark val="none"/>
        <c:tickLblPos val="nextTo"/>
        <c:crossAx val="500451200"/>
        <c:crosses val="autoZero"/>
        <c:crossBetween val="between"/>
      </c:valAx>
    </c:plotArea>
    <c:legend>
      <c:legendPos val="r"/>
      <c:overlay val="0"/>
    </c:legend>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Results!$AO$51</c:f>
              <c:strCache>
                <c:ptCount val="1"/>
                <c:pt idx="0">
                  <c:v>Gross earnings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Results!$AN$52:$AN$72</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Results!$AO$52:$AO$72</c:f>
              <c:numCache>
                <c:formatCode>#,##0</c:formatCode>
                <c:ptCount val="21"/>
                <c:pt idx="0">
                  <c:v>12986.861939812188</c:v>
                </c:pt>
                <c:pt idx="1">
                  <c:v>13595.323239996884</c:v>
                </c:pt>
                <c:pt idx="2">
                  <c:v>14329.726262410732</c:v>
                </c:pt>
                <c:pt idx="3">
                  <c:v>15075.266988150977</c:v>
                </c:pt>
                <c:pt idx="4">
                  <c:v>15798.272802074915</c:v>
                </c:pt>
                <c:pt idx="5">
                  <c:v>16887.529720911924</c:v>
                </c:pt>
                <c:pt idx="6">
                  <c:v>17580.194103843281</c:v>
                </c:pt>
                <c:pt idx="7">
                  <c:v>18116.384251395582</c:v>
                </c:pt>
                <c:pt idx="8">
                  <c:v>18783.239543520467</c:v>
                </c:pt>
                <c:pt idx="9">
                  <c:v>19525.267940769852</c:v>
                </c:pt>
                <c:pt idx="10">
                  <c:v>20409.916471614142</c:v>
                </c:pt>
                <c:pt idx="11">
                  <c:v>21509.711605822289</c:v>
                </c:pt>
                <c:pt idx="12">
                  <c:v>22593.69185441696</c:v>
                </c:pt>
                <c:pt idx="13">
                  <c:v>22857.841031363776</c:v>
                </c:pt>
                <c:pt idx="14">
                  <c:v>23102.137849876024</c:v>
                </c:pt>
                <c:pt idx="15">
                  <c:v>23452.221156776046</c:v>
                </c:pt>
                <c:pt idx="16">
                  <c:v>23943.713743833468</c:v>
                </c:pt>
                <c:pt idx="17">
                  <c:v>24189.535560781012</c:v>
                </c:pt>
                <c:pt idx="18">
                  <c:v>24631.589044247994</c:v>
                </c:pt>
                <c:pt idx="19">
                  <c:v>25046.176174943888</c:v>
                </c:pt>
                <c:pt idx="20">
                  <c:v>25770.886939540862</c:v>
                </c:pt>
              </c:numCache>
            </c:numRef>
          </c:val>
          <c:smooth val="0"/>
          <c:extLst>
            <c:ext xmlns:c16="http://schemas.microsoft.com/office/drawing/2014/chart" uri="{C3380CC4-5D6E-409C-BE32-E72D297353CC}">
              <c16:uniqueId val="{00000000-3CED-471F-B807-CEE8084B1A86}"/>
            </c:ext>
          </c:extLst>
        </c:ser>
        <c:ser>
          <c:idx val="1"/>
          <c:order val="1"/>
          <c:tx>
            <c:strRef>
              <c:f>Results!$AP$51</c:f>
              <c:strCache>
                <c:ptCount val="1"/>
                <c:pt idx="0">
                  <c:v>Gross earnings plus employer NICs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Results!$AN$52:$AN$72</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Results!$AP$52:$AP$72</c:f>
              <c:numCache>
                <c:formatCode>#,##0_ ;\-#,##0\ </c:formatCode>
                <c:ptCount val="21"/>
                <c:pt idx="0">
                  <c:v>13614.721857673032</c:v>
                </c:pt>
                <c:pt idx="1">
                  <c:v>14261.846210476566</c:v>
                </c:pt>
                <c:pt idx="2">
                  <c:v>15069.598341176626</c:v>
                </c:pt>
                <c:pt idx="3">
                  <c:v>15888.064220942377</c:v>
                </c:pt>
                <c:pt idx="4">
                  <c:v>17199.110083928055</c:v>
                </c:pt>
                <c:pt idx="5">
                  <c:v>18414.912346863177</c:v>
                </c:pt>
                <c:pt idx="6">
                  <c:v>19133.881202200631</c:v>
                </c:pt>
                <c:pt idx="7">
                  <c:v>19708.013593060263</c:v>
                </c:pt>
                <c:pt idx="8">
                  <c:v>20595.110205091089</c:v>
                </c:pt>
                <c:pt idx="9">
                  <c:v>21418.806237188393</c:v>
                </c:pt>
                <c:pt idx="10">
                  <c:v>22396.721779980751</c:v>
                </c:pt>
                <c:pt idx="11">
                  <c:v>23617.322691367543</c:v>
                </c:pt>
                <c:pt idx="12">
                  <c:v>24820.084411782333</c:v>
                </c:pt>
                <c:pt idx="13">
                  <c:v>25084.76468337834</c:v>
                </c:pt>
                <c:pt idx="14">
                  <c:v>25327.051494660154</c:v>
                </c:pt>
                <c:pt idx="15">
                  <c:v>25721.945464843378</c:v>
                </c:pt>
                <c:pt idx="16">
                  <c:v>26272.010240482487</c:v>
                </c:pt>
                <c:pt idx="17">
                  <c:v>26494.347468168791</c:v>
                </c:pt>
                <c:pt idx="18">
                  <c:v>26968.700332354216</c:v>
                </c:pt>
                <c:pt idx="19">
                  <c:v>27404.620487086144</c:v>
                </c:pt>
                <c:pt idx="20">
                  <c:v>28207.813337197502</c:v>
                </c:pt>
              </c:numCache>
            </c:numRef>
          </c:val>
          <c:smooth val="0"/>
          <c:extLst>
            <c:ext xmlns:c16="http://schemas.microsoft.com/office/drawing/2014/chart" uri="{C3380CC4-5D6E-409C-BE32-E72D297353CC}">
              <c16:uniqueId val="{00000001-3CED-471F-B807-CEE8084B1A86}"/>
            </c:ext>
          </c:extLst>
        </c:ser>
        <c:ser>
          <c:idx val="2"/>
          <c:order val="2"/>
          <c:tx>
            <c:strRef>
              <c:f>Results!$AQ$51</c:f>
              <c:strCache>
                <c:ptCount val="1"/>
                <c:pt idx="0">
                  <c:v>Gross earnings plus employer NICs and DC pension cost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Results!$AN$52:$AN$72</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Results!$AQ$52:$AQ$72</c:f>
              <c:numCache>
                <c:formatCode>#,##0_ ;\-#,##0\ </c:formatCode>
                <c:ptCount val="21"/>
                <c:pt idx="0">
                  <c:v>14431.605169133414</c:v>
                </c:pt>
                <c:pt idx="1">
                  <c:v>15117.55698310516</c:v>
                </c:pt>
                <c:pt idx="2">
                  <c:v>15973.774241647225</c:v>
                </c:pt>
                <c:pt idx="3">
                  <c:v>16841.348074198919</c:v>
                </c:pt>
                <c:pt idx="4">
                  <c:v>18231.056688963741</c:v>
                </c:pt>
                <c:pt idx="5">
                  <c:v>19519.80708767497</c:v>
                </c:pt>
                <c:pt idx="6">
                  <c:v>20281.914074332672</c:v>
                </c:pt>
                <c:pt idx="7">
                  <c:v>20890.494408643881</c:v>
                </c:pt>
                <c:pt idx="8">
                  <c:v>21830.816817396553</c:v>
                </c:pt>
                <c:pt idx="9">
                  <c:v>22703.9346114197</c:v>
                </c:pt>
                <c:pt idx="10">
                  <c:v>23740.525086779598</c:v>
                </c:pt>
                <c:pt idx="11">
                  <c:v>25034.362052849596</c:v>
                </c:pt>
                <c:pt idx="12">
                  <c:v>26309.289476489274</c:v>
                </c:pt>
                <c:pt idx="13">
                  <c:v>26589.850564381042</c:v>
                </c:pt>
                <c:pt idx="14">
                  <c:v>26846.674584339766</c:v>
                </c:pt>
                <c:pt idx="15">
                  <c:v>27265.262192733982</c:v>
                </c:pt>
                <c:pt idx="16">
                  <c:v>27848.330854911437</c:v>
                </c:pt>
                <c:pt idx="17">
                  <c:v>28084.008316258922</c:v>
                </c:pt>
                <c:pt idx="18">
                  <c:v>28586.822352295469</c:v>
                </c:pt>
                <c:pt idx="19">
                  <c:v>29048.897716311312</c:v>
                </c:pt>
                <c:pt idx="20">
                  <c:v>29900.282137429353</c:v>
                </c:pt>
              </c:numCache>
            </c:numRef>
          </c:val>
          <c:smooth val="0"/>
          <c:extLst>
            <c:ext xmlns:c16="http://schemas.microsoft.com/office/drawing/2014/chart" uri="{C3380CC4-5D6E-409C-BE32-E72D297353CC}">
              <c16:uniqueId val="{00000002-3CED-471F-B807-CEE8084B1A86}"/>
            </c:ext>
          </c:extLst>
        </c:ser>
        <c:ser>
          <c:idx val="3"/>
          <c:order val="3"/>
          <c:tx>
            <c:strRef>
              <c:f>Results!$AR$51</c:f>
              <c:strCache>
                <c:ptCount val="1"/>
                <c:pt idx="0">
                  <c:v>Gross earnings plus employer NICs and DB pension cost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Results!$AN$52:$AN$72</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Results!$AR$52:$AR$72</c:f>
              <c:numCache>
                <c:formatCode>#,##0_ ;\-#,##0\ </c:formatCode>
                <c:ptCount val="21"/>
                <c:pt idx="0">
                  <c:v>13503.096248072139</c:v>
                </c:pt>
                <c:pt idx="1">
                  <c:v>14118.762368791651</c:v>
                </c:pt>
                <c:pt idx="2">
                  <c:v>15206.766640411506</c:v>
                </c:pt>
                <c:pt idx="3">
                  <c:v>16363.295511020491</c:v>
                </c:pt>
                <c:pt idx="4">
                  <c:v>18248.16930805099</c:v>
                </c:pt>
                <c:pt idx="5">
                  <c:v>19785.286584965292</c:v>
                </c:pt>
                <c:pt idx="6">
                  <c:v>20118.730874542329</c:v>
                </c:pt>
                <c:pt idx="7">
                  <c:v>20844.891709604912</c:v>
                </c:pt>
                <c:pt idx="8">
                  <c:v>21796.480465889977</c:v>
                </c:pt>
                <c:pt idx="9">
                  <c:v>23074.96201400043</c:v>
                </c:pt>
                <c:pt idx="10">
                  <c:v>24092.12292028364</c:v>
                </c:pt>
                <c:pt idx="11">
                  <c:v>26117.35725488143</c:v>
                </c:pt>
                <c:pt idx="12">
                  <c:v>27384.476515464303</c:v>
                </c:pt>
                <c:pt idx="13">
                  <c:v>28001.85212944774</c:v>
                </c:pt>
                <c:pt idx="14">
                  <c:v>26778.760680681284</c:v>
                </c:pt>
                <c:pt idx="15">
                  <c:v>28294.639008232458</c:v>
                </c:pt>
                <c:pt idx="16">
                  <c:v>28403.016934850526</c:v>
                </c:pt>
                <c:pt idx="17">
                  <c:v>29240.489477201976</c:v>
                </c:pt>
                <c:pt idx="18">
                  <c:v>30557.599598506102</c:v>
                </c:pt>
                <c:pt idx="19">
                  <c:v>31064.066868281265</c:v>
                </c:pt>
                <c:pt idx="20">
                  <c:v>33948.70180751443</c:v>
                </c:pt>
              </c:numCache>
            </c:numRef>
          </c:val>
          <c:smooth val="0"/>
          <c:extLst>
            <c:ext xmlns:c16="http://schemas.microsoft.com/office/drawing/2014/chart" uri="{C3380CC4-5D6E-409C-BE32-E72D297353CC}">
              <c16:uniqueId val="{00000003-3CED-471F-B807-CEE8084B1A86}"/>
            </c:ext>
          </c:extLst>
        </c:ser>
        <c:dLbls>
          <c:showLegendKey val="0"/>
          <c:showVal val="0"/>
          <c:showCatName val="0"/>
          <c:showSerName val="0"/>
          <c:showPercent val="0"/>
          <c:showBubbleSize val="0"/>
        </c:dLbls>
        <c:marker val="1"/>
        <c:smooth val="0"/>
        <c:axId val="578878080"/>
        <c:axId val="578878408"/>
      </c:lineChart>
      <c:catAx>
        <c:axId val="57887808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78878408"/>
        <c:crosses val="autoZero"/>
        <c:auto val="1"/>
        <c:lblAlgn val="ctr"/>
        <c:lblOffset val="100"/>
        <c:noMultiLvlLbl val="0"/>
      </c:catAx>
      <c:valAx>
        <c:axId val="578878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Cost of earnings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78878080"/>
        <c:crosses val="autoZero"/>
        <c:crossBetween val="between"/>
      </c:valAx>
      <c:spPr>
        <a:noFill/>
        <a:ln>
          <a:noFill/>
        </a:ln>
        <a:effectLst/>
      </c:spPr>
    </c:plotArea>
    <c:legend>
      <c:legendPos val="t"/>
      <c:layout>
        <c:manualLayout>
          <c:xMode val="edge"/>
          <c:yMode val="edge"/>
          <c:x val="0.30281356919904184"/>
          <c:y val="0.42316675973698065"/>
          <c:w val="0.67322607829350367"/>
          <c:h val="0.22683684729432577"/>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'Salary Working'!$BQ$5</c:f>
              <c:strCache>
                <c:ptCount val="1"/>
                <c:pt idx="0">
                  <c:v>Gross</c:v>
                </c:pt>
              </c:strCache>
            </c:strRef>
          </c:tx>
          <c:cat>
            <c:strRef>
              <c:f>'Salary Working'!$BP$7:$BP$27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Working'!$BQ$7:$BQ$27</c:f>
              <c:numCache>
                <c:formatCode>General</c:formatCode>
                <c:ptCount val="21"/>
                <c:pt idx="0">
                  <c:v>100</c:v>
                </c:pt>
                <c:pt idx="1">
                  <c:v>104.68520650334638</c:v>
                </c:pt>
                <c:pt idx="2">
                  <c:v>110.34017554681085</c:v>
                </c:pt>
                <c:pt idx="3">
                  <c:v>116.08090590334706</c:v>
                </c:pt>
                <c:pt idx="4">
                  <c:v>121.64811542074023</c:v>
                </c:pt>
                <c:pt idx="5">
                  <c:v>130.03549124628751</c:v>
                </c:pt>
                <c:pt idx="6">
                  <c:v>135.36906902775252</c:v>
                </c:pt>
                <c:pt idx="7">
                  <c:v>139.4977811834471</c:v>
                </c:pt>
                <c:pt idx="8">
                  <c:v>144.63262665431941</c:v>
                </c:pt>
                <c:pt idx="9">
                  <c:v>150.34631176692264</c:v>
                </c:pt>
                <c:pt idx="10">
                  <c:v>157.15818468082753</c:v>
                </c:pt>
                <c:pt idx="11">
                  <c:v>165.62670570850278</c:v>
                </c:pt>
                <c:pt idx="12">
                  <c:v>173.97345070062173</c:v>
                </c:pt>
                <c:pt idx="13">
                  <c:v>176.00742301950075</c:v>
                </c:pt>
                <c:pt idx="14">
                  <c:v>177.88853040051737</c:v>
                </c:pt>
                <c:pt idx="15">
                  <c:v>180.58420321603268</c:v>
                </c:pt>
                <c:pt idx="16">
                  <c:v>184.36874015294055</c:v>
                </c:pt>
                <c:pt idx="17">
                  <c:v>186.26159015848316</c:v>
                </c:pt>
                <c:pt idx="18">
                  <c:v>189.66544157013044</c:v>
                </c:pt>
                <c:pt idx="19">
                  <c:v>192.85779960563821</c:v>
                </c:pt>
                <c:pt idx="20">
                  <c:v>198.43813739590394</c:v>
                </c:pt>
              </c:numCache>
            </c:numRef>
          </c:val>
          <c:smooth val="0"/>
          <c:extLst>
            <c:ext xmlns:c16="http://schemas.microsoft.com/office/drawing/2014/chart" uri="{C3380CC4-5D6E-409C-BE32-E72D297353CC}">
              <c16:uniqueId val="{00000000-D9E9-455C-A8AA-779CACBC958E}"/>
            </c:ext>
          </c:extLst>
        </c:ser>
        <c:ser>
          <c:idx val="1"/>
          <c:order val="1"/>
          <c:tx>
            <c:strRef>
              <c:f>'Salary Working'!$BR$5</c:f>
              <c:strCache>
                <c:ptCount val="1"/>
                <c:pt idx="0">
                  <c:v>Net (1x)</c:v>
                </c:pt>
              </c:strCache>
            </c:strRef>
          </c:tx>
          <c:cat>
            <c:strRef>
              <c:f>'Salary Working'!$BP$7:$BP$27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Working'!$BR$7:$BR$27</c:f>
              <c:numCache>
                <c:formatCode>General</c:formatCode>
                <c:ptCount val="21"/>
                <c:pt idx="0">
                  <c:v>100</c:v>
                </c:pt>
                <c:pt idx="1">
                  <c:v>105.7824315166401</c:v>
                </c:pt>
                <c:pt idx="2">
                  <c:v>112.2192258842307</c:v>
                </c:pt>
                <c:pt idx="3">
                  <c:v>117.85818963815426</c:v>
                </c:pt>
                <c:pt idx="4">
                  <c:v>124.6411447587766</c:v>
                </c:pt>
                <c:pt idx="5">
                  <c:v>133.95550448694175</c:v>
                </c:pt>
                <c:pt idx="6">
                  <c:v>140.17118101661728</c:v>
                </c:pt>
                <c:pt idx="7">
                  <c:v>144.25807631035738</c:v>
                </c:pt>
                <c:pt idx="8">
                  <c:v>147.51506438534466</c:v>
                </c:pt>
                <c:pt idx="9">
                  <c:v>153.11357910565803</c:v>
                </c:pt>
                <c:pt idx="10">
                  <c:v>159.81118469958707</c:v>
                </c:pt>
                <c:pt idx="11">
                  <c:v>167.95622309093517</c:v>
                </c:pt>
                <c:pt idx="12">
                  <c:v>176.13009765512737</c:v>
                </c:pt>
                <c:pt idx="13">
                  <c:v>180.78494362924067</c:v>
                </c:pt>
                <c:pt idx="14">
                  <c:v>183.71753402806843</c:v>
                </c:pt>
                <c:pt idx="15">
                  <c:v>186.20167351484739</c:v>
                </c:pt>
                <c:pt idx="16">
                  <c:v>191.73286732728062</c:v>
                </c:pt>
                <c:pt idx="17">
                  <c:v>195.19686540304505</c:v>
                </c:pt>
                <c:pt idx="18">
                  <c:v>201.22645154029615</c:v>
                </c:pt>
                <c:pt idx="19">
                  <c:v>205.53414043791327</c:v>
                </c:pt>
                <c:pt idx="20">
                  <c:v>211.96445662654227</c:v>
                </c:pt>
              </c:numCache>
            </c:numRef>
          </c:val>
          <c:smooth val="0"/>
          <c:extLst>
            <c:ext xmlns:c16="http://schemas.microsoft.com/office/drawing/2014/chart" uri="{C3380CC4-5D6E-409C-BE32-E72D297353CC}">
              <c16:uniqueId val="{00000001-D9E9-455C-A8AA-779CACBC958E}"/>
            </c:ext>
          </c:extLst>
        </c:ser>
        <c:ser>
          <c:idx val="2"/>
          <c:order val="2"/>
          <c:tx>
            <c:strRef>
              <c:f>'Salary Working'!$BS$5</c:f>
              <c:strCache>
                <c:ptCount val="1"/>
                <c:pt idx="0">
                  <c:v>Net (2x)</c:v>
                </c:pt>
              </c:strCache>
            </c:strRef>
          </c:tx>
          <c:cat>
            <c:strRef>
              <c:f>'Salary Working'!$BP$7:$BP$27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Working'!$BS$7:$BS$27</c:f>
              <c:numCache>
                <c:formatCode>General</c:formatCode>
                <c:ptCount val="21"/>
                <c:pt idx="0">
                  <c:v>100</c:v>
                </c:pt>
                <c:pt idx="1">
                  <c:v>106.15664042159052</c:v>
                </c:pt>
                <c:pt idx="2">
                  <c:v>113.45737139968155</c:v>
                </c:pt>
                <c:pt idx="3">
                  <c:v>119.37327502149681</c:v>
                </c:pt>
                <c:pt idx="4">
                  <c:v>125.92591674022238</c:v>
                </c:pt>
                <c:pt idx="5">
                  <c:v>134.9221899820333</c:v>
                </c:pt>
                <c:pt idx="6">
                  <c:v>140.1379220311386</c:v>
                </c:pt>
                <c:pt idx="7">
                  <c:v>144.08182006265633</c:v>
                </c:pt>
                <c:pt idx="8">
                  <c:v>146.95947449148332</c:v>
                </c:pt>
                <c:pt idx="9">
                  <c:v>152.53589334967083</c:v>
                </c:pt>
                <c:pt idx="10">
                  <c:v>159.0606934643294</c:v>
                </c:pt>
                <c:pt idx="11">
                  <c:v>166.97480590540994</c:v>
                </c:pt>
                <c:pt idx="12">
                  <c:v>175.01740907731966</c:v>
                </c:pt>
                <c:pt idx="13">
                  <c:v>178.31214176175072</c:v>
                </c:pt>
                <c:pt idx="14">
                  <c:v>181.71174266138408</c:v>
                </c:pt>
                <c:pt idx="15">
                  <c:v>183.94774949165645</c:v>
                </c:pt>
                <c:pt idx="16">
                  <c:v>186.11094737346596</c:v>
                </c:pt>
                <c:pt idx="17">
                  <c:v>188.57285626364481</c:v>
                </c:pt>
                <c:pt idx="18">
                  <c:v>192.34827562344174</c:v>
                </c:pt>
                <c:pt idx="19">
                  <c:v>195.91681359984878</c:v>
                </c:pt>
                <c:pt idx="20">
                  <c:v>201.46568674435525</c:v>
                </c:pt>
              </c:numCache>
            </c:numRef>
          </c:val>
          <c:smooth val="0"/>
          <c:extLst>
            <c:ext xmlns:c16="http://schemas.microsoft.com/office/drawing/2014/chart" uri="{C3380CC4-5D6E-409C-BE32-E72D297353CC}">
              <c16:uniqueId val="{00000002-D9E9-455C-A8AA-779CACBC958E}"/>
            </c:ext>
          </c:extLst>
        </c:ser>
        <c:ser>
          <c:idx val="3"/>
          <c:order val="3"/>
          <c:tx>
            <c:strRef>
              <c:f>'Salary Working'!$BT$5</c:f>
              <c:strCache>
                <c:ptCount val="1"/>
                <c:pt idx="0">
                  <c:v>Net (4x)</c:v>
                </c:pt>
              </c:strCache>
            </c:strRef>
          </c:tx>
          <c:cat>
            <c:strRef>
              <c:f>'Salary Working'!$BP$7:$BP$27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Working'!$BT$7:$BT$27</c:f>
              <c:numCache>
                <c:formatCode>General</c:formatCode>
                <c:ptCount val="21"/>
                <c:pt idx="0">
                  <c:v>100</c:v>
                </c:pt>
                <c:pt idx="1">
                  <c:v>105.59688146283672</c:v>
                </c:pt>
                <c:pt idx="2">
                  <c:v>111.86051252286619</c:v>
                </c:pt>
                <c:pt idx="3">
                  <c:v>117.48019935208127</c:v>
                </c:pt>
                <c:pt idx="4">
                  <c:v>123.33158025471879</c:v>
                </c:pt>
                <c:pt idx="5">
                  <c:v>131.61313490549455</c:v>
                </c:pt>
                <c:pt idx="6">
                  <c:v>136.8401717954454</c:v>
                </c:pt>
                <c:pt idx="7">
                  <c:v>140.83605494643726</c:v>
                </c:pt>
                <c:pt idx="8">
                  <c:v>143.62083555846056</c:v>
                </c:pt>
                <c:pt idx="9">
                  <c:v>149.17123590832168</c:v>
                </c:pt>
                <c:pt idx="10">
                  <c:v>155.72203241895468</c:v>
                </c:pt>
                <c:pt idx="11">
                  <c:v>163.75970815936057</c:v>
                </c:pt>
                <c:pt idx="12">
                  <c:v>171.81216942883074</c:v>
                </c:pt>
                <c:pt idx="13">
                  <c:v>174.49265635211938</c:v>
                </c:pt>
                <c:pt idx="14">
                  <c:v>177.16134377177352</c:v>
                </c:pt>
                <c:pt idx="15">
                  <c:v>179.56750229473701</c:v>
                </c:pt>
                <c:pt idx="16">
                  <c:v>181.02580564408822</c:v>
                </c:pt>
                <c:pt idx="17">
                  <c:v>183.18089208730831</c:v>
                </c:pt>
                <c:pt idx="18">
                  <c:v>186.70564072843453</c:v>
                </c:pt>
                <c:pt idx="19">
                  <c:v>190.02628752191075</c:v>
                </c:pt>
                <c:pt idx="20">
                  <c:v>195.46014205654339</c:v>
                </c:pt>
              </c:numCache>
            </c:numRef>
          </c:val>
          <c:smooth val="0"/>
          <c:extLst>
            <c:ext xmlns:c16="http://schemas.microsoft.com/office/drawing/2014/chart" uri="{C3380CC4-5D6E-409C-BE32-E72D297353CC}">
              <c16:uniqueId val="{00000003-D9E9-455C-A8AA-779CACBC958E}"/>
            </c:ext>
          </c:extLst>
        </c:ser>
        <c:ser>
          <c:idx val="4"/>
          <c:order val="4"/>
          <c:tx>
            <c:strRef>
              <c:f>'Salary Working'!$BU$5</c:f>
              <c:strCache>
                <c:ptCount val="1"/>
                <c:pt idx="0">
                  <c:v>Net (8x)</c:v>
                </c:pt>
              </c:strCache>
            </c:strRef>
          </c:tx>
          <c:cat>
            <c:strRef>
              <c:f>'Salary Working'!$BP$7:$BP$27</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'Salary Working'!$BU$7:$BU$27</c:f>
              <c:numCache>
                <c:formatCode>General</c:formatCode>
                <c:ptCount val="21"/>
                <c:pt idx="0">
                  <c:v>100</c:v>
                </c:pt>
                <c:pt idx="1">
                  <c:v>105.16309139900146</c:v>
                </c:pt>
                <c:pt idx="2">
                  <c:v>111.137110978238</c:v>
                </c:pt>
                <c:pt idx="3">
                  <c:v>116.81439232499127</c:v>
                </c:pt>
                <c:pt idx="4">
                  <c:v>122.53055977017657</c:v>
                </c:pt>
                <c:pt idx="5">
                  <c:v>130.86246589071837</c:v>
                </c:pt>
                <c:pt idx="6">
                  <c:v>136.14019670359636</c:v>
                </c:pt>
                <c:pt idx="7">
                  <c:v>140.19928209770057</c:v>
                </c:pt>
                <c:pt idx="8">
                  <c:v>142.9552858372866</c:v>
                </c:pt>
                <c:pt idx="9">
                  <c:v>148.53806868288672</c:v>
                </c:pt>
                <c:pt idx="10">
                  <c:v>155.15906964069927</c:v>
                </c:pt>
                <c:pt idx="11">
                  <c:v>163.33459100112546</c:v>
                </c:pt>
                <c:pt idx="12">
                  <c:v>171.46088535121677</c:v>
                </c:pt>
                <c:pt idx="13">
                  <c:v>173.81761994207719</c:v>
                </c:pt>
                <c:pt idx="14">
                  <c:v>176.09664601764581</c:v>
                </c:pt>
                <c:pt idx="15">
                  <c:v>173.86494024387525</c:v>
                </c:pt>
                <c:pt idx="16">
                  <c:v>174.49040773879645</c:v>
                </c:pt>
                <c:pt idx="17">
                  <c:v>176.2866551605712</c:v>
                </c:pt>
                <c:pt idx="18">
                  <c:v>182.23479357481054</c:v>
                </c:pt>
                <c:pt idx="19">
                  <c:v>185.23334775839891</c:v>
                </c:pt>
                <c:pt idx="20">
                  <c:v>190.25165588228356</c:v>
                </c:pt>
              </c:numCache>
            </c:numRef>
          </c:val>
          <c:smooth val="0"/>
          <c:extLst>
            <c:ext xmlns:c16="http://schemas.microsoft.com/office/drawing/2014/chart" uri="{C3380CC4-5D6E-409C-BE32-E72D297353CC}">
              <c16:uniqueId val="{00000004-D9E9-455C-A8AA-779CACBC958E}"/>
            </c:ext>
          </c:extLst>
        </c:ser>
        <c:dLbls>
          <c:showLegendKey val="0"/>
          <c:showVal val="0"/>
          <c:showCatName val="0"/>
          <c:showSerName val="0"/>
          <c:showPercent val="0"/>
          <c:showBubbleSize val="0"/>
        </c:dLbls>
        <c:marker val="1"/>
        <c:smooth val="0"/>
        <c:axId val="325038080"/>
        <c:axId val="325039616"/>
      </c:lineChart>
      <c:catAx>
        <c:axId val="325038080"/>
        <c:scaling>
          <c:orientation val="minMax"/>
        </c:scaling>
        <c:delete val="0"/>
        <c:axPos val="b"/>
        <c:title>
          <c:tx>
            <c:rich>
              <a:bodyPr/>
              <a:lstStyle/>
              <a:p>
                <a:pPr>
                  <a:defRPr/>
                </a:pPr>
                <a:r>
                  <a:rPr lang="en-US"/>
                  <a:t>Date</a:t>
                </a:r>
              </a:p>
            </c:rich>
          </c:tx>
          <c:overlay val="0"/>
        </c:title>
        <c:numFmt formatCode="General" sourceLinked="1"/>
        <c:majorTickMark val="out"/>
        <c:minorTickMark val="none"/>
        <c:tickLblPos val="nextTo"/>
        <c:txPr>
          <a:bodyPr rot="-5400000" vert="horz"/>
          <a:lstStyle/>
          <a:p>
            <a:pPr>
              <a:defRPr/>
            </a:pPr>
            <a:endParaRPr lang="en-US"/>
          </a:p>
        </c:txPr>
        <c:crossAx val="325039616"/>
        <c:crosses val="autoZero"/>
        <c:auto val="1"/>
        <c:lblAlgn val="ctr"/>
        <c:lblOffset val="100"/>
        <c:noMultiLvlLbl val="0"/>
      </c:catAx>
      <c:valAx>
        <c:axId val="325039616"/>
        <c:scaling>
          <c:orientation val="minMax"/>
        </c:scaling>
        <c:delete val="0"/>
        <c:axPos val="l"/>
        <c:majorGridlines/>
        <c:title>
          <c:tx>
            <c:rich>
              <a:bodyPr/>
              <a:lstStyle/>
              <a:p>
                <a:pPr>
                  <a:defRPr/>
                </a:pPr>
                <a:r>
                  <a:rPr lang="en-US"/>
                  <a:t>Earnings (rebased to 100 for 4/1995-3/1996)</a:t>
                </a:r>
              </a:p>
            </c:rich>
          </c:tx>
          <c:overlay val="0"/>
        </c:title>
        <c:numFmt formatCode="General" sourceLinked="1"/>
        <c:majorTickMark val="out"/>
        <c:minorTickMark val="none"/>
        <c:tickLblPos val="nextTo"/>
        <c:crossAx val="325038080"/>
        <c:crosses val="autoZero"/>
        <c:crossBetween val="between"/>
      </c:valAx>
    </c:plotArea>
    <c:legend>
      <c:legendPos val="r"/>
      <c:overlay val="0"/>
    </c:legend>
    <c:plotVisOnly val="1"/>
    <c:dispBlanksAs val="gap"/>
    <c:showDLblsOverMax val="0"/>
  </c:chart>
  <c:txPr>
    <a:bodyPr/>
    <a:lstStyle/>
    <a:p>
      <a:pPr>
        <a:defRPr sz="11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Results!$AZ$51</c:f>
              <c:strCache>
                <c:ptCount val="1"/>
                <c:pt idx="0">
                  <c:v>Gross earnings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Results!$AY$52:$AY$72</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Results!$AZ$52:$AZ$72</c:f>
              <c:numCache>
                <c:formatCode>#,##0</c:formatCode>
                <c:ptCount val="21"/>
                <c:pt idx="0">
                  <c:v>12986.861939812188</c:v>
                </c:pt>
                <c:pt idx="1">
                  <c:v>13595.323239996884</c:v>
                </c:pt>
                <c:pt idx="2">
                  <c:v>14329.726262410732</c:v>
                </c:pt>
                <c:pt idx="3">
                  <c:v>15075.266988150977</c:v>
                </c:pt>
                <c:pt idx="4">
                  <c:v>15798.272802074915</c:v>
                </c:pt>
                <c:pt idx="5">
                  <c:v>16887.529720911924</c:v>
                </c:pt>
                <c:pt idx="6">
                  <c:v>17580.194103843281</c:v>
                </c:pt>
                <c:pt idx="7">
                  <c:v>18116.384251395582</c:v>
                </c:pt>
                <c:pt idx="8">
                  <c:v>18783.239543520467</c:v>
                </c:pt>
                <c:pt idx="9">
                  <c:v>19525.267940769852</c:v>
                </c:pt>
                <c:pt idx="10">
                  <c:v>20409.916471614142</c:v>
                </c:pt>
                <c:pt idx="11">
                  <c:v>21509.711605822289</c:v>
                </c:pt>
                <c:pt idx="12">
                  <c:v>22593.69185441696</c:v>
                </c:pt>
                <c:pt idx="13">
                  <c:v>22857.841031363776</c:v>
                </c:pt>
                <c:pt idx="14">
                  <c:v>23102.137849876024</c:v>
                </c:pt>
                <c:pt idx="15">
                  <c:v>23452.221156776046</c:v>
                </c:pt>
                <c:pt idx="16">
                  <c:v>23943.713743833468</c:v>
                </c:pt>
                <c:pt idx="17">
                  <c:v>24189.535560781012</c:v>
                </c:pt>
                <c:pt idx="18">
                  <c:v>24631.589044247994</c:v>
                </c:pt>
                <c:pt idx="19">
                  <c:v>25046.176174943888</c:v>
                </c:pt>
                <c:pt idx="20">
                  <c:v>25770.886939540862</c:v>
                </c:pt>
              </c:numCache>
            </c:numRef>
          </c:val>
          <c:smooth val="0"/>
          <c:extLst>
            <c:ext xmlns:c16="http://schemas.microsoft.com/office/drawing/2014/chart" uri="{C3380CC4-5D6E-409C-BE32-E72D297353CC}">
              <c16:uniqueId val="{00000000-B9B4-4C04-8C9F-6F259D7603A5}"/>
            </c:ext>
          </c:extLst>
        </c:ser>
        <c:ser>
          <c:idx val="1"/>
          <c:order val="1"/>
          <c:tx>
            <c:strRef>
              <c:f>Results!$BA$51</c:f>
              <c:strCache>
                <c:ptCount val="1"/>
                <c:pt idx="0">
                  <c:v>Gross earnings less employee NICs and income tax</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Results!$AY$52:$AY$72</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Results!$BA$52:$BA$72</c:f>
              <c:numCache>
                <c:formatCode>#,##0_ ;\-#,##0\ </c:formatCode>
                <c:ptCount val="21"/>
                <c:pt idx="0">
                  <c:v>9723.990260877923</c:v>
                </c:pt>
                <c:pt idx="1">
                  <c:v>10286.273338397943</c:v>
                </c:pt>
                <c:pt idx="2">
                  <c:v>10912.18659581519</c:v>
                </c:pt>
                <c:pt idx="3">
                  <c:v>11460.518882061155</c:v>
                </c:pt>
                <c:pt idx="4">
                  <c:v>12120.092777390193</c:v>
                </c:pt>
                <c:pt idx="5">
                  <c:v>13025.820210220108</c:v>
                </c:pt>
                <c:pt idx="6">
                  <c:v>13630.231990613431</c:v>
                </c:pt>
                <c:pt idx="7">
                  <c:v>14027.641290948995</c:v>
                </c:pt>
                <c:pt idx="8">
                  <c:v>14344.350494158713</c:v>
                </c:pt>
                <c:pt idx="9">
                  <c:v>14888.749520315801</c:v>
                </c:pt>
                <c:pt idx="10">
                  <c:v>15540.024035981478</c:v>
                </c:pt>
                <c:pt idx="11">
                  <c:v>16332.046775900935</c:v>
                </c:pt>
                <c:pt idx="12">
                  <c:v>17126.873542459361</c:v>
                </c:pt>
                <c:pt idx="13">
                  <c:v>17579.510311641006</c:v>
                </c:pt>
                <c:pt idx="14">
                  <c:v>17864.675116414459</c:v>
                </c:pt>
                <c:pt idx="15">
                  <c:v>18106.232598175469</c:v>
                </c:pt>
                <c:pt idx="16">
                  <c:v>18644.085345806758</c:v>
                </c:pt>
                <c:pt idx="17">
                  <c:v>18980.924181331091</c:v>
                </c:pt>
                <c:pt idx="18">
                  <c:v>19567.240550088634</c:v>
                </c:pt>
                <c:pt idx="19">
                  <c:v>19986.119798961845</c:v>
                </c:pt>
                <c:pt idx="20">
                  <c:v>20611.403118887785</c:v>
                </c:pt>
              </c:numCache>
            </c:numRef>
          </c:val>
          <c:smooth val="0"/>
          <c:extLst>
            <c:ext xmlns:c16="http://schemas.microsoft.com/office/drawing/2014/chart" uri="{C3380CC4-5D6E-409C-BE32-E72D297353CC}">
              <c16:uniqueId val="{00000001-B9B4-4C04-8C9F-6F259D7603A5}"/>
            </c:ext>
          </c:extLst>
        </c:ser>
        <c:ser>
          <c:idx val="2"/>
          <c:order val="2"/>
          <c:tx>
            <c:strRef>
              <c:f>Results!$BB$51</c:f>
              <c:strCache>
                <c:ptCount val="1"/>
                <c:pt idx="0">
                  <c:v>Gross earnings less employee NICs and income tax, plus and DC pension value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Results!$AY$52:$AY$72</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Results!$BB$52:$BB$72</c:f>
              <c:numCache>
                <c:formatCode>#,##0_ ;\-#,##0\ </c:formatCode>
                <c:ptCount val="21"/>
                <c:pt idx="0">
                  <c:v>10307.429676530599</c:v>
                </c:pt>
                <c:pt idx="1">
                  <c:v>10903.44973870182</c:v>
                </c:pt>
                <c:pt idx="2">
                  <c:v>11566.917791564103</c:v>
                </c:pt>
                <c:pt idx="3">
                  <c:v>12148.150014984825</c:v>
                </c:pt>
                <c:pt idx="4">
                  <c:v>12847.298344033605</c:v>
                </c:pt>
                <c:pt idx="5">
                  <c:v>13807.369422833315</c:v>
                </c:pt>
                <c:pt idx="6">
                  <c:v>14448.045910050238</c:v>
                </c:pt>
                <c:pt idx="7">
                  <c:v>14869.299768405936</c:v>
                </c:pt>
                <c:pt idx="8">
                  <c:v>15205.011523808236</c:v>
                </c:pt>
                <c:pt idx="9">
                  <c:v>15782.07449153475</c:v>
                </c:pt>
                <c:pt idx="10">
                  <c:v>16472.425478140369</c:v>
                </c:pt>
                <c:pt idx="11">
                  <c:v>17311.969582454993</c:v>
                </c:pt>
                <c:pt idx="12">
                  <c:v>18154.485955006923</c:v>
                </c:pt>
                <c:pt idx="13">
                  <c:v>18634.280930339468</c:v>
                </c:pt>
                <c:pt idx="14">
                  <c:v>18936.555623399327</c:v>
                </c:pt>
                <c:pt idx="15">
                  <c:v>19192.606554065998</c:v>
                </c:pt>
                <c:pt idx="16">
                  <c:v>19762.730466555164</c:v>
                </c:pt>
                <c:pt idx="17">
                  <c:v>20119.779632210957</c:v>
                </c:pt>
                <c:pt idx="18">
                  <c:v>20741.274983093954</c:v>
                </c:pt>
                <c:pt idx="19">
                  <c:v>21185.286986899555</c:v>
                </c:pt>
                <c:pt idx="20">
                  <c:v>21848.087306021054</c:v>
                </c:pt>
              </c:numCache>
            </c:numRef>
          </c:val>
          <c:smooth val="0"/>
          <c:extLst>
            <c:ext xmlns:c16="http://schemas.microsoft.com/office/drawing/2014/chart" uri="{C3380CC4-5D6E-409C-BE32-E72D297353CC}">
              <c16:uniqueId val="{00000002-B9B4-4C04-8C9F-6F259D7603A5}"/>
            </c:ext>
          </c:extLst>
        </c:ser>
        <c:ser>
          <c:idx val="3"/>
          <c:order val="3"/>
          <c:tx>
            <c:strRef>
              <c:f>Results!$BC$51</c:f>
              <c:strCache>
                <c:ptCount val="1"/>
                <c:pt idx="0">
                  <c:v>Gross earnings less employee NICs and income tax, plus and DB pension value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Results!$AY$52:$AY$72</c:f>
              <c:strCache>
                <c:ptCount val="21"/>
                <c:pt idx="0">
                  <c:v>4/1995-3/1996</c:v>
                </c:pt>
                <c:pt idx="1">
                  <c:v>4/1996-3/1997</c:v>
                </c:pt>
                <c:pt idx="2">
                  <c:v>4/1997-3/1998</c:v>
                </c:pt>
                <c:pt idx="3">
                  <c:v>4/1998-3/1999</c:v>
                </c:pt>
                <c:pt idx="4">
                  <c:v>4/1999-3/2000</c:v>
                </c:pt>
                <c:pt idx="5">
                  <c:v>4/2000-3/2001</c:v>
                </c:pt>
                <c:pt idx="6">
                  <c:v>4/2001-3/2002</c:v>
                </c:pt>
                <c:pt idx="7">
                  <c:v>4/2002-3/2003</c:v>
                </c:pt>
                <c:pt idx="8">
                  <c:v>4/2003-3/2004</c:v>
                </c:pt>
                <c:pt idx="9">
                  <c:v>4/2004-3/2005</c:v>
                </c:pt>
                <c:pt idx="10">
                  <c:v>4/2005-3/2006</c:v>
                </c:pt>
                <c:pt idx="11">
                  <c:v>4/2006-3/2007</c:v>
                </c:pt>
                <c:pt idx="12">
                  <c:v>4/2007-3/2008</c:v>
                </c:pt>
                <c:pt idx="13">
                  <c:v>4/2008-3/2009</c:v>
                </c:pt>
                <c:pt idx="14">
                  <c:v>4/2009-3/2010</c:v>
                </c:pt>
                <c:pt idx="15">
                  <c:v>4/2010-3/2011</c:v>
                </c:pt>
                <c:pt idx="16">
                  <c:v>4/2011-3/2012</c:v>
                </c:pt>
                <c:pt idx="17">
                  <c:v>4/2012-3/2013</c:v>
                </c:pt>
                <c:pt idx="18">
                  <c:v>4/2013-3/2014</c:v>
                </c:pt>
                <c:pt idx="19">
                  <c:v>4/2014-3/2015</c:v>
                </c:pt>
                <c:pt idx="20">
                  <c:v>4/2015-3/2016</c:v>
                </c:pt>
              </c:strCache>
            </c:strRef>
          </c:cat>
          <c:val>
            <c:numRef>
              <c:f>Results!$BC$52:$BC$72</c:f>
              <c:numCache>
                <c:formatCode>#,##0_ ;\-#,##0\ </c:formatCode>
                <c:ptCount val="21"/>
                <c:pt idx="0">
                  <c:v>9644.2643324329074</c:v>
                </c:pt>
                <c:pt idx="1">
                  <c:v>10183.074952708022</c:v>
                </c:pt>
                <c:pt idx="2">
                  <c:v>11011.512804941261</c:v>
                </c:pt>
                <c:pt idx="3">
                  <c:v>11803.316915701243</c:v>
                </c:pt>
                <c:pt idx="4">
                  <c:v>12859.357487209591</c:v>
                </c:pt>
                <c:pt idx="5">
                  <c:v>13995.156806018576</c:v>
                </c:pt>
                <c:pt idx="6">
                  <c:v>14331.800552058929</c:v>
                </c:pt>
                <c:pt idx="7">
                  <c:v>14836.840976909923</c:v>
                </c:pt>
                <c:pt idx="8">
                  <c:v>15181.096494668007</c:v>
                </c:pt>
                <c:pt idx="9">
                  <c:v>16039.984946535114</c:v>
                </c:pt>
                <c:pt idx="10">
                  <c:v>16716.382555311175</c:v>
                </c:pt>
                <c:pt idx="11">
                  <c:v>18060.891402629182</c:v>
                </c:pt>
                <c:pt idx="12">
                  <c:v>18896.408993845384</c:v>
                </c:pt>
                <c:pt idx="13">
                  <c:v>19623.817662553305</c:v>
                </c:pt>
                <c:pt idx="14">
                  <c:v>18888.651909656652</c:v>
                </c:pt>
                <c:pt idx="15">
                  <c:v>19917.207112684671</c:v>
                </c:pt>
                <c:pt idx="16">
                  <c:v>20156.366679385959</c:v>
                </c:pt>
                <c:pt idx="17">
                  <c:v>20948.299045998017</c:v>
                </c:pt>
                <c:pt idx="18">
                  <c:v>22171.179723478541</c:v>
                </c:pt>
                <c:pt idx="19">
                  <c:v>22654.944707772676</c:v>
                </c:pt>
                <c:pt idx="20">
                  <c:v>24806.260944547001</c:v>
                </c:pt>
              </c:numCache>
            </c:numRef>
          </c:val>
          <c:smooth val="0"/>
          <c:extLst>
            <c:ext xmlns:c16="http://schemas.microsoft.com/office/drawing/2014/chart" uri="{C3380CC4-5D6E-409C-BE32-E72D297353CC}">
              <c16:uniqueId val="{00000003-B9B4-4C04-8C9F-6F259D7603A5}"/>
            </c:ext>
          </c:extLst>
        </c:ser>
        <c:dLbls>
          <c:showLegendKey val="0"/>
          <c:showVal val="0"/>
          <c:showCatName val="0"/>
          <c:showSerName val="0"/>
          <c:showPercent val="0"/>
          <c:showBubbleSize val="0"/>
        </c:dLbls>
        <c:marker val="1"/>
        <c:smooth val="0"/>
        <c:axId val="578878080"/>
        <c:axId val="578878408"/>
      </c:lineChart>
      <c:catAx>
        <c:axId val="57887808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Date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78878408"/>
        <c:crosses val="autoZero"/>
        <c:auto val="1"/>
        <c:lblAlgn val="ctr"/>
        <c:lblOffset val="100"/>
        <c:noMultiLvlLbl val="0"/>
      </c:catAx>
      <c:valAx>
        <c:axId val="578878408"/>
        <c:scaling>
          <c:orientation val="minMax"/>
          <c:max val="4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Cost of earnings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78878080"/>
        <c:crosses val="autoZero"/>
        <c:crossBetween val="between"/>
      </c:valAx>
      <c:spPr>
        <a:noFill/>
        <a:ln>
          <a:noFill/>
        </a:ln>
        <a:effectLst/>
      </c:spPr>
    </c:plotArea>
    <c:legend>
      <c:legendPos val="t"/>
      <c:layout>
        <c:manualLayout>
          <c:xMode val="edge"/>
          <c:yMode val="edge"/>
          <c:x val="0.12554781710735341"/>
          <c:y val="4.3119253798738343E-2"/>
          <c:w val="0.8510277396358028"/>
          <c:h val="0.1989194937331171"/>
        </c:manualLayout>
      </c:layout>
      <c:overlay val="1"/>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0.38587</cdr:x>
      <cdr:y>0.59571</cdr:y>
    </cdr:from>
    <cdr:to>
      <cdr:x>0.97984</cdr:x>
      <cdr:y>0.71233</cdr:y>
    </cdr:to>
    <cdr:sp macro="" textlink="">
      <cdr:nvSpPr>
        <cdr:cNvPr id="2" name="TextBox 1"/>
        <cdr:cNvSpPr txBox="1"/>
      </cdr:nvSpPr>
      <cdr:spPr>
        <a:xfrm xmlns:a="http://schemas.openxmlformats.org/drawingml/2006/main">
          <a:off x="2211632" y="2231067"/>
          <a:ext cx="3404308" cy="436786"/>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en-GB" sz="1100"/>
            <a:t>*Calculated</a:t>
          </a:r>
          <a:r>
            <a:rPr lang="en-GB" sz="1100" baseline="0"/>
            <a:t> using March 2015 longevity data, but interest rate and expected inflation data as at given date</a:t>
          </a:r>
          <a:endParaRPr lang="en-GB" sz="1100"/>
        </a:p>
      </cdr:txBody>
    </cdr:sp>
  </cdr:relSizeAnchor>
</c:userShapes>
</file>

<file path=word/drawings/drawing2.xml><?xml version="1.0" encoding="utf-8"?>
<c:userShapes xmlns:c="http://schemas.openxmlformats.org/drawingml/2006/chart">
  <cdr:relSizeAnchor xmlns:cdr="http://schemas.openxmlformats.org/drawingml/2006/chartDrawing">
    <cdr:from>
      <cdr:x>0.27429</cdr:x>
      <cdr:y>0.36961</cdr:y>
    </cdr:from>
    <cdr:to>
      <cdr:x>0.92533</cdr:x>
      <cdr:y>0.48622</cdr:y>
    </cdr:to>
    <cdr:sp macro="" textlink="">
      <cdr:nvSpPr>
        <cdr:cNvPr id="2" name="TextBox 1"/>
        <cdr:cNvSpPr txBox="1"/>
      </cdr:nvSpPr>
      <cdr:spPr>
        <a:xfrm xmlns:a="http://schemas.openxmlformats.org/drawingml/2006/main">
          <a:off x="1572100" y="1384524"/>
          <a:ext cx="3731420" cy="436786"/>
        </a:xfrm>
        <a:prstGeom xmlns:a="http://schemas.openxmlformats.org/drawingml/2006/main" prst="rect">
          <a:avLst/>
        </a:prstGeom>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a:t>*Changes in</a:t>
          </a:r>
          <a:r>
            <a:rPr lang="en-GB" sz="1100" baseline="0"/>
            <a:t> interest rate and expected inflation only</a:t>
          </a:r>
        </a:p>
        <a:p xmlns:a="http://schemas.openxmlformats.org/drawingml/2006/main">
          <a:r>
            <a:rPr lang="en-GB" sz="1100">
              <a:effectLst/>
              <a:latin typeface="+mn-lt"/>
              <a:ea typeface="+mn-ea"/>
              <a:cs typeface="+mn-cs"/>
            </a:rPr>
            <a:t>**Changes in</a:t>
          </a:r>
          <a:r>
            <a:rPr lang="en-GB" sz="1100" baseline="0">
              <a:effectLst/>
              <a:latin typeface="+mn-lt"/>
              <a:ea typeface="+mn-ea"/>
              <a:cs typeface="+mn-cs"/>
            </a:rPr>
            <a:t> interest rate, expected inflation and benefits</a:t>
          </a:r>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6987-8401-468D-A5C1-E6FB58BC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6598</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Sweeting</dc:creator>
  <cp:keywords/>
  <dc:description/>
  <cp:lastModifiedBy>Paul Sweeting</cp:lastModifiedBy>
  <cp:revision>3</cp:revision>
  <dcterms:created xsi:type="dcterms:W3CDTF">2016-10-16T21:33:00Z</dcterms:created>
  <dcterms:modified xsi:type="dcterms:W3CDTF">2016-10-16T21:33:00Z</dcterms:modified>
</cp:coreProperties>
</file>