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6B" w:rsidRDefault="000E636B" w:rsidP="000E636B">
      <w:pPr>
        <w:spacing w:line="480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Supplementary information</w:t>
      </w:r>
    </w:p>
    <w:p w:rsidR="003B723B" w:rsidRPr="00685EC9" w:rsidRDefault="003B723B" w:rsidP="003B723B">
      <w:pPr>
        <w:spacing w:line="480" w:lineRule="auto"/>
        <w:rPr>
          <w:rFonts w:ascii="Calibri" w:hAnsi="Calibri"/>
          <w:b/>
          <w:color w:val="auto"/>
          <w:szCs w:val="22"/>
        </w:rPr>
      </w:pPr>
      <w:r w:rsidRPr="00685EC9">
        <w:rPr>
          <w:rFonts w:ascii="Calibri" w:hAnsi="Calibri"/>
          <w:b/>
          <w:color w:val="auto"/>
          <w:szCs w:val="22"/>
        </w:rPr>
        <w:t>Dynamics and genetics of a disease-driven species decline to near extinction: lessons for conservation.</w:t>
      </w:r>
    </w:p>
    <w:p w:rsidR="000E636B" w:rsidRPr="00683621" w:rsidRDefault="000E636B" w:rsidP="000E636B">
      <w:pPr>
        <w:spacing w:line="480" w:lineRule="auto"/>
        <w:rPr>
          <w:rFonts w:asciiTheme="minorHAnsi" w:hAnsiTheme="minorHAnsi"/>
        </w:rPr>
      </w:pPr>
      <w:r w:rsidRPr="00683621">
        <w:rPr>
          <w:rFonts w:asciiTheme="minorHAnsi" w:hAnsiTheme="minorHAnsi"/>
        </w:rPr>
        <w:t xml:space="preserve">Hudson, M.A., Young, R.P., </w:t>
      </w:r>
      <w:proofErr w:type="spellStart"/>
      <w:r>
        <w:rPr>
          <w:rFonts w:asciiTheme="minorHAnsi" w:hAnsiTheme="minorHAnsi"/>
        </w:rPr>
        <w:t>D’Urban</w:t>
      </w:r>
      <w:proofErr w:type="spellEnd"/>
      <w:r>
        <w:rPr>
          <w:rFonts w:asciiTheme="minorHAnsi" w:hAnsiTheme="minorHAnsi"/>
        </w:rPr>
        <w:t xml:space="preserve"> </w:t>
      </w:r>
      <w:r w:rsidRPr="00683621">
        <w:rPr>
          <w:rFonts w:asciiTheme="minorHAnsi" w:hAnsiTheme="minorHAnsi"/>
        </w:rPr>
        <w:t>Jackson, J., Orozco-</w:t>
      </w:r>
      <w:proofErr w:type="spellStart"/>
      <w:r w:rsidRPr="00683621">
        <w:rPr>
          <w:rFonts w:asciiTheme="minorHAnsi" w:hAnsiTheme="minorHAnsi"/>
        </w:rPr>
        <w:t>terWengel</w:t>
      </w:r>
      <w:proofErr w:type="spellEnd"/>
      <w:r w:rsidRPr="00683621">
        <w:rPr>
          <w:rFonts w:asciiTheme="minorHAnsi" w:hAnsiTheme="minorHAnsi"/>
        </w:rPr>
        <w:t xml:space="preserve">, P., Martin, L., James, A., </w:t>
      </w:r>
      <w:proofErr w:type="spellStart"/>
      <w:r w:rsidRPr="00683621">
        <w:rPr>
          <w:rFonts w:asciiTheme="minorHAnsi" w:hAnsiTheme="minorHAnsi"/>
        </w:rPr>
        <w:t>Sulton</w:t>
      </w:r>
      <w:proofErr w:type="spellEnd"/>
      <w:r w:rsidRPr="00683621">
        <w:rPr>
          <w:rFonts w:asciiTheme="minorHAnsi" w:hAnsiTheme="minorHAnsi"/>
        </w:rPr>
        <w:t xml:space="preserve">, M., Garcia, G., Griffiths, R.A., Thomas, R., </w:t>
      </w:r>
      <w:proofErr w:type="spellStart"/>
      <w:r w:rsidRPr="00683621">
        <w:rPr>
          <w:rFonts w:asciiTheme="minorHAnsi" w:hAnsiTheme="minorHAnsi"/>
        </w:rPr>
        <w:t>Magin</w:t>
      </w:r>
      <w:proofErr w:type="spellEnd"/>
      <w:r w:rsidRPr="00683621">
        <w:rPr>
          <w:rFonts w:asciiTheme="minorHAnsi" w:hAnsiTheme="minorHAnsi"/>
        </w:rPr>
        <w:t>, C.,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Bruford</w:t>
      </w:r>
      <w:proofErr w:type="spellEnd"/>
      <w:r>
        <w:rPr>
          <w:rFonts w:asciiTheme="minorHAnsi" w:hAnsiTheme="minorHAnsi"/>
        </w:rPr>
        <w:t>, M.</w:t>
      </w:r>
      <w:r w:rsidR="004E4D9A">
        <w:rPr>
          <w:rFonts w:asciiTheme="minorHAnsi" w:hAnsiTheme="minorHAnsi"/>
        </w:rPr>
        <w:t>W.</w:t>
      </w:r>
      <w:r w:rsidRPr="00683621">
        <w:rPr>
          <w:rFonts w:asciiTheme="minorHAnsi" w:hAnsiTheme="minorHAnsi"/>
        </w:rPr>
        <w:t>, and Cunningham A.</w:t>
      </w:r>
      <w:r>
        <w:rPr>
          <w:rFonts w:asciiTheme="minorHAnsi" w:hAnsiTheme="minorHAnsi"/>
        </w:rPr>
        <w:t>A.</w:t>
      </w:r>
      <w:r w:rsidRPr="00683621">
        <w:rPr>
          <w:rFonts w:asciiTheme="minorHAnsi" w:hAnsiTheme="minorHAnsi"/>
        </w:rPr>
        <w:t xml:space="preserve"> </w:t>
      </w:r>
    </w:p>
    <w:p w:rsidR="000E636B" w:rsidRDefault="000E636B" w:rsidP="00A355C6">
      <w:pPr>
        <w:spacing w:line="480" w:lineRule="auto"/>
        <w:rPr>
          <w:rFonts w:asciiTheme="minorHAnsi" w:hAnsiTheme="minorHAnsi"/>
          <w:b/>
          <w:szCs w:val="22"/>
        </w:rPr>
      </w:pPr>
    </w:p>
    <w:p w:rsidR="00A355C6" w:rsidRPr="00A44EC3" w:rsidRDefault="001E465C" w:rsidP="00A355C6">
      <w:pPr>
        <w:spacing w:line="480" w:lineRule="auto"/>
        <w:rPr>
          <w:rFonts w:asciiTheme="minorHAnsi" w:hAnsiTheme="minorHAnsi"/>
          <w:b/>
          <w:szCs w:val="22"/>
        </w:rPr>
      </w:pPr>
      <w:r w:rsidRPr="00A44EC3">
        <w:rPr>
          <w:rFonts w:asciiTheme="minorHAnsi" w:hAnsiTheme="minorHAnsi"/>
          <w:b/>
          <w:szCs w:val="22"/>
        </w:rPr>
        <w:t>Supplementary Table 1</w:t>
      </w:r>
      <w:r w:rsidR="004E41E4">
        <w:rPr>
          <w:rFonts w:asciiTheme="minorHAnsi" w:hAnsiTheme="minorHAnsi"/>
          <w:b/>
          <w:szCs w:val="22"/>
        </w:rPr>
        <w:t xml:space="preserve">. </w:t>
      </w:r>
      <w:r w:rsidR="00A355C6" w:rsidRPr="00A44EC3">
        <w:rPr>
          <w:rFonts w:asciiTheme="minorHAnsi" w:hAnsiTheme="minorHAnsi"/>
          <w:b/>
          <w:szCs w:val="22"/>
        </w:rPr>
        <w:t xml:space="preserve">Mountain chickens found dead or with severe signs of </w:t>
      </w:r>
      <w:proofErr w:type="spellStart"/>
      <w:r w:rsidR="00A355C6" w:rsidRPr="00A44EC3">
        <w:rPr>
          <w:rFonts w:asciiTheme="minorHAnsi" w:hAnsiTheme="minorHAnsi"/>
          <w:b/>
          <w:szCs w:val="22"/>
        </w:rPr>
        <w:t>chytridiomycosis</w:t>
      </w:r>
      <w:proofErr w:type="spellEnd"/>
      <w:r w:rsidR="00A355C6" w:rsidRPr="00A44EC3">
        <w:rPr>
          <w:rFonts w:asciiTheme="minorHAnsi" w:hAnsiTheme="minorHAnsi"/>
          <w:b/>
          <w:szCs w:val="22"/>
        </w:rPr>
        <w:t xml:space="preserve"> </w:t>
      </w:r>
      <w:r w:rsidR="00A44EC3">
        <w:rPr>
          <w:rFonts w:asciiTheme="minorHAnsi" w:hAnsiTheme="minorHAnsi"/>
          <w:b/>
          <w:szCs w:val="22"/>
        </w:rPr>
        <w:t xml:space="preserve">on Dominica </w:t>
      </w:r>
      <w:proofErr w:type="gramStart"/>
      <w:r w:rsidR="00A44EC3">
        <w:rPr>
          <w:rFonts w:asciiTheme="minorHAnsi" w:hAnsiTheme="minorHAnsi"/>
          <w:b/>
          <w:szCs w:val="22"/>
        </w:rPr>
        <w:t xml:space="preserve">between </w:t>
      </w:r>
      <w:r w:rsidR="004E41E4">
        <w:rPr>
          <w:rFonts w:asciiTheme="minorHAnsi" w:hAnsiTheme="minorHAnsi"/>
          <w:b/>
          <w:szCs w:val="22"/>
        </w:rPr>
        <w:t>2003-2004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2219"/>
      </w:tblGrid>
      <w:tr w:rsidR="00A355C6" w:rsidRPr="00A355C6" w:rsidTr="00A355C6"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b/>
                <w:szCs w:val="22"/>
              </w:rPr>
            </w:pPr>
            <w:r w:rsidRPr="00A355C6">
              <w:rPr>
                <w:rFonts w:asciiTheme="minorHAnsi" w:hAnsiTheme="minorHAnsi"/>
                <w:b/>
                <w:szCs w:val="22"/>
              </w:rPr>
              <w:t>Date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b/>
                <w:szCs w:val="22"/>
              </w:rPr>
            </w:pPr>
            <w:r w:rsidRPr="00A355C6">
              <w:rPr>
                <w:rFonts w:asciiTheme="minorHAnsi" w:hAnsiTheme="minorHAnsi"/>
                <w:b/>
                <w:szCs w:val="22"/>
              </w:rPr>
              <w:t>Site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b/>
                <w:szCs w:val="22"/>
              </w:rPr>
            </w:pPr>
            <w:r w:rsidRPr="00A355C6">
              <w:rPr>
                <w:rFonts w:asciiTheme="minorHAnsi" w:hAnsiTheme="minorHAnsi"/>
                <w:b/>
                <w:szCs w:val="22"/>
              </w:rPr>
              <w:t>Number dead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:rsidR="00A355C6" w:rsidRPr="00A355C6" w:rsidRDefault="00A355C6" w:rsidP="00A355C6">
            <w:pPr>
              <w:rPr>
                <w:rFonts w:asciiTheme="minorHAnsi" w:hAnsiTheme="minorHAnsi"/>
                <w:b/>
                <w:szCs w:val="22"/>
              </w:rPr>
            </w:pPr>
            <w:r w:rsidRPr="00A355C6">
              <w:rPr>
                <w:rFonts w:asciiTheme="minorHAnsi" w:hAnsiTheme="minorHAnsi"/>
                <w:b/>
                <w:szCs w:val="22"/>
              </w:rPr>
              <w:t>Number with signs</w:t>
            </w:r>
            <w:r w:rsidR="00A44EC3">
              <w:rPr>
                <w:rFonts w:asciiTheme="minorHAnsi" w:hAnsiTheme="minorHAnsi"/>
                <w:b/>
                <w:szCs w:val="22"/>
              </w:rPr>
              <w:t xml:space="preserve"> of </w:t>
            </w:r>
            <w:proofErr w:type="spellStart"/>
            <w:r w:rsidR="00A44EC3">
              <w:rPr>
                <w:rFonts w:asciiTheme="minorHAnsi" w:hAnsiTheme="minorHAnsi"/>
                <w:b/>
                <w:szCs w:val="22"/>
              </w:rPr>
              <w:t>chytridiomycosis</w:t>
            </w:r>
            <w:proofErr w:type="spellEnd"/>
          </w:p>
        </w:tc>
      </w:tr>
      <w:tr w:rsidR="00A355C6" w:rsidRPr="00A355C6" w:rsidTr="00A355C6">
        <w:tc>
          <w:tcPr>
            <w:tcW w:w="1848" w:type="dxa"/>
            <w:tcBorders>
              <w:top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13/12/2002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A355C6">
              <w:rPr>
                <w:rFonts w:asciiTheme="minorHAnsi" w:hAnsiTheme="minorHAnsi"/>
                <w:szCs w:val="22"/>
              </w:rPr>
              <w:t>Gallion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13/01/2003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Bagatelle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24/01/2003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Galion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30/01/2003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A355C6">
              <w:rPr>
                <w:rFonts w:asciiTheme="minorHAnsi" w:hAnsiTheme="minorHAnsi"/>
                <w:szCs w:val="22"/>
              </w:rPr>
              <w:t>Elmshall</w:t>
            </w:r>
            <w:proofErr w:type="spellEnd"/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01/02/2003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La Haut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17/02/2003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 xml:space="preserve">Bois </w:t>
            </w:r>
            <w:proofErr w:type="spellStart"/>
            <w:r w:rsidRPr="00A355C6">
              <w:rPr>
                <w:rFonts w:asciiTheme="minorHAnsi" w:hAnsiTheme="minorHAnsi"/>
                <w:szCs w:val="22"/>
              </w:rPr>
              <w:t>Cotelette</w:t>
            </w:r>
            <w:proofErr w:type="spellEnd"/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19/02/2003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 xml:space="preserve">Petit </w:t>
            </w:r>
            <w:proofErr w:type="spellStart"/>
            <w:r w:rsidRPr="00A355C6">
              <w:rPr>
                <w:rFonts w:asciiTheme="minorHAnsi" w:hAnsiTheme="minorHAnsi"/>
                <w:szCs w:val="22"/>
              </w:rPr>
              <w:t>Coulibri</w:t>
            </w:r>
            <w:proofErr w:type="spellEnd"/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25/02/2003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 xml:space="preserve">Petit </w:t>
            </w:r>
            <w:proofErr w:type="spellStart"/>
            <w:r w:rsidRPr="00A355C6">
              <w:rPr>
                <w:rFonts w:asciiTheme="minorHAnsi" w:hAnsiTheme="minorHAnsi"/>
                <w:szCs w:val="22"/>
              </w:rPr>
              <w:t>Coulibri</w:t>
            </w:r>
            <w:proofErr w:type="spellEnd"/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25/02/2003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Soufriere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06/03/2003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A355C6">
              <w:rPr>
                <w:rFonts w:asciiTheme="minorHAnsi" w:hAnsiTheme="minorHAnsi"/>
                <w:szCs w:val="22"/>
              </w:rPr>
              <w:t>Dublanc</w:t>
            </w:r>
            <w:proofErr w:type="spellEnd"/>
            <w:r w:rsidRPr="00A355C6">
              <w:rPr>
                <w:rFonts w:asciiTheme="minorHAnsi" w:hAnsiTheme="minorHAnsi"/>
                <w:szCs w:val="22"/>
              </w:rPr>
              <w:t xml:space="preserve"> Valley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19/03/2003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Bagatelle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26/03/2003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 xml:space="preserve">Bois </w:t>
            </w:r>
            <w:proofErr w:type="spellStart"/>
            <w:r w:rsidRPr="00A355C6">
              <w:rPr>
                <w:rFonts w:asciiTheme="minorHAnsi" w:hAnsiTheme="minorHAnsi"/>
                <w:szCs w:val="22"/>
              </w:rPr>
              <w:t>Cotelette</w:t>
            </w:r>
            <w:proofErr w:type="spellEnd"/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28/03/2003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A355C6">
              <w:rPr>
                <w:rFonts w:asciiTheme="minorHAnsi" w:hAnsiTheme="minorHAnsi"/>
                <w:szCs w:val="22"/>
              </w:rPr>
              <w:t>Dublanc</w:t>
            </w:r>
            <w:proofErr w:type="spellEnd"/>
            <w:r w:rsidRPr="00A355C6">
              <w:rPr>
                <w:rFonts w:asciiTheme="minorHAnsi" w:hAnsiTheme="minorHAnsi"/>
                <w:szCs w:val="22"/>
              </w:rPr>
              <w:t xml:space="preserve"> Valley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3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01/04/2003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La Haut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4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26/12/2003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Milton Estate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17/01/2004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A355C6">
              <w:rPr>
                <w:rFonts w:asciiTheme="minorHAnsi" w:hAnsiTheme="minorHAnsi"/>
                <w:szCs w:val="22"/>
              </w:rPr>
              <w:t>Elmshall</w:t>
            </w:r>
            <w:proofErr w:type="spellEnd"/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12/02/2004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Upper Kings Hill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14/04/2004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proofErr w:type="spellStart"/>
            <w:r w:rsidRPr="00A355C6">
              <w:rPr>
                <w:rFonts w:asciiTheme="minorHAnsi" w:hAnsiTheme="minorHAnsi"/>
                <w:szCs w:val="22"/>
              </w:rPr>
              <w:t>Coulibistre</w:t>
            </w:r>
            <w:proofErr w:type="spellEnd"/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0</w:t>
            </w:r>
          </w:p>
        </w:tc>
      </w:tr>
      <w:tr w:rsidR="00A355C6" w:rsidRPr="00A355C6" w:rsidTr="00A355C6"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15/06/2003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Fond St. Jean</w:t>
            </w:r>
          </w:p>
        </w:tc>
        <w:tc>
          <w:tcPr>
            <w:tcW w:w="1848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2219" w:type="dxa"/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4</w:t>
            </w:r>
          </w:p>
        </w:tc>
      </w:tr>
      <w:tr w:rsidR="00A355C6" w:rsidRPr="00A355C6" w:rsidTr="00A355C6">
        <w:tc>
          <w:tcPr>
            <w:tcW w:w="1848" w:type="dxa"/>
            <w:tcBorders>
              <w:bottom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26/06/2003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Fond St. Jean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A355C6" w:rsidRPr="00A355C6" w:rsidRDefault="00A355C6" w:rsidP="00775422">
            <w:pPr>
              <w:rPr>
                <w:rFonts w:asciiTheme="minorHAnsi" w:hAnsiTheme="minorHAnsi"/>
                <w:szCs w:val="22"/>
              </w:rPr>
            </w:pPr>
            <w:r w:rsidRPr="00A355C6">
              <w:rPr>
                <w:rFonts w:asciiTheme="minorHAnsi" w:hAnsiTheme="minorHAnsi"/>
                <w:szCs w:val="22"/>
              </w:rPr>
              <w:t>5</w:t>
            </w:r>
          </w:p>
        </w:tc>
      </w:tr>
    </w:tbl>
    <w:p w:rsidR="00A355C6" w:rsidRPr="00A355C6" w:rsidRDefault="00A355C6" w:rsidP="00A355C6">
      <w:pPr>
        <w:spacing w:line="480" w:lineRule="auto"/>
        <w:rPr>
          <w:rFonts w:asciiTheme="minorHAnsi" w:hAnsiTheme="minorHAnsi"/>
          <w:szCs w:val="22"/>
        </w:rPr>
      </w:pPr>
    </w:p>
    <w:p w:rsidR="00A355C6" w:rsidRDefault="00A355C6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355C6">
      <w:pPr>
        <w:rPr>
          <w:rFonts w:asciiTheme="minorHAnsi" w:hAnsiTheme="minorHAnsi"/>
          <w:b/>
          <w:szCs w:val="22"/>
        </w:rPr>
      </w:pPr>
    </w:p>
    <w:p w:rsidR="00A44EC3" w:rsidRDefault="00A44EC3" w:rsidP="00A44EC3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lastRenderedPageBreak/>
        <w:t>Supplementary Table 2. Summary statistics of all loci in all populations</w:t>
      </w:r>
    </w:p>
    <w:p w:rsidR="00A44EC3" w:rsidRPr="00BD34A8" w:rsidRDefault="00A44EC3" w:rsidP="00A44EC3">
      <w:pPr>
        <w:rPr>
          <w:rFonts w:asciiTheme="minorHAnsi" w:hAnsiTheme="minorHAnsi"/>
          <w:sz w:val="20"/>
        </w:rPr>
      </w:pPr>
      <w:r w:rsidRPr="00BD34A8">
        <w:rPr>
          <w:rFonts w:asciiTheme="minorHAnsi" w:hAnsiTheme="minorHAnsi"/>
          <w:sz w:val="20"/>
        </w:rPr>
        <w:t>NA = Number of alleles, H</w:t>
      </w:r>
      <w:r w:rsidRPr="00BD34A8">
        <w:rPr>
          <w:rFonts w:asciiTheme="minorHAnsi" w:hAnsiTheme="minorHAnsi"/>
          <w:sz w:val="20"/>
          <w:vertAlign w:val="subscript"/>
        </w:rPr>
        <w:t>O</w:t>
      </w:r>
      <w:r w:rsidRPr="00BD34A8">
        <w:rPr>
          <w:rFonts w:asciiTheme="minorHAnsi" w:hAnsiTheme="minorHAnsi"/>
          <w:sz w:val="20"/>
        </w:rPr>
        <w:t xml:space="preserve"> = Observed heterozygosity, H</w:t>
      </w:r>
      <w:r w:rsidRPr="00BD34A8">
        <w:rPr>
          <w:rFonts w:asciiTheme="minorHAnsi" w:hAnsiTheme="minorHAnsi"/>
          <w:sz w:val="20"/>
          <w:vertAlign w:val="subscript"/>
        </w:rPr>
        <w:t>E</w:t>
      </w:r>
      <w:r w:rsidRPr="00BD34A8">
        <w:rPr>
          <w:rFonts w:asciiTheme="minorHAnsi" w:hAnsiTheme="minorHAnsi"/>
          <w:sz w:val="20"/>
        </w:rPr>
        <w:t xml:space="preserve"> = Expected heterozygosity. Loci significantly (p=&lt;0.05) deviating from HWE indicated in shaded cell, red = heterozygote deficiency, green = heterozygote excess. Significant (p= &lt;0.05) F</w:t>
      </w:r>
      <w:r w:rsidRPr="00BD34A8">
        <w:rPr>
          <w:rFonts w:asciiTheme="minorHAnsi" w:hAnsiTheme="minorHAnsi"/>
          <w:sz w:val="20"/>
          <w:vertAlign w:val="subscript"/>
        </w:rPr>
        <w:t>IS</w:t>
      </w:r>
      <w:r w:rsidRPr="00BD34A8">
        <w:rPr>
          <w:rFonts w:asciiTheme="minorHAnsi" w:hAnsiTheme="minorHAnsi"/>
          <w:sz w:val="20"/>
        </w:rPr>
        <w:t xml:space="preserve"> values are shown in bold. </w:t>
      </w:r>
    </w:p>
    <w:tbl>
      <w:tblPr>
        <w:tblW w:w="6290" w:type="dxa"/>
        <w:jc w:val="center"/>
        <w:tblLook w:val="04A0" w:firstRow="1" w:lastRow="0" w:firstColumn="1" w:lastColumn="0" w:noHBand="0" w:noVBand="1"/>
      </w:tblPr>
      <w:tblGrid>
        <w:gridCol w:w="1067"/>
        <w:gridCol w:w="1015"/>
        <w:gridCol w:w="595"/>
        <w:gridCol w:w="1053"/>
        <w:gridCol w:w="1480"/>
        <w:gridCol w:w="1080"/>
      </w:tblGrid>
      <w:tr w:rsidR="00A44EC3" w:rsidRPr="00BD34A8" w:rsidTr="00BD34A8">
        <w:trPr>
          <w:trHeight w:val="80"/>
          <w:jc w:val="center"/>
        </w:trPr>
        <w:tc>
          <w:tcPr>
            <w:tcW w:w="10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color w:val="auto"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Locus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NA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vertAlign w:val="subscript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H</w:t>
            </w:r>
            <w:r w:rsidRPr="00BD34A8">
              <w:rPr>
                <w:rFonts w:asciiTheme="minorHAnsi" w:eastAsia="Times New Roman" w:hAnsiTheme="minorHAnsi" w:cs="Times New Roman"/>
                <w:b/>
                <w:sz w:val="20"/>
                <w:vertAlign w:val="subscript"/>
                <w:lang w:eastAsia="zh-CN"/>
              </w:rPr>
              <w:t>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H</w:t>
            </w:r>
            <w:r w:rsidRPr="00BD34A8">
              <w:rPr>
                <w:rFonts w:asciiTheme="minorHAnsi" w:eastAsia="Times New Roman" w:hAnsiTheme="minorHAnsi" w:cs="Times New Roman"/>
                <w:b/>
                <w:sz w:val="20"/>
                <w:vertAlign w:val="subscript"/>
                <w:lang w:eastAsia="zh-CN"/>
              </w:rPr>
              <w:t>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vertAlign w:val="subscript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F</w:t>
            </w:r>
            <w:r w:rsidRPr="00BD34A8">
              <w:rPr>
                <w:rFonts w:asciiTheme="minorHAnsi" w:eastAsia="Times New Roman" w:hAnsiTheme="minorHAnsi" w:cs="Times New Roman"/>
                <w:b/>
                <w:sz w:val="20"/>
                <w:vertAlign w:val="subscript"/>
                <w:lang w:eastAsia="zh-CN"/>
              </w:rPr>
              <w:t>IS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Founders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0673_p1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-0.224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759A_p1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0.818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-0.200</w:t>
            </w:r>
          </w:p>
        </w:tc>
        <w:bookmarkStart w:id="0" w:name="_GoBack"/>
        <w:bookmarkEnd w:id="0"/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0867_p1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-0.263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2969_p1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-0.103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3035_p1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0.259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1628_p1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1.000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3956_p1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0.701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7957_p1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0.909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0.684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-0.351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Wild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0673_p1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-0.072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759A_p1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0.838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-0.158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0867_p1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-0.101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2969_p1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0.044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3035_p1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0.055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1628_p1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0.931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3956_p1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0.844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7957_p1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0.740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0.741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0.001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Post Dom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0673_p1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0.053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759A_p1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0.294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0.539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0867_p1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0.311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2969_p1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0.176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3035_p1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0.235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0.256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1628_p1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0.256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3956_p1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1.000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7957_p1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0.647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0.770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0.164</w:t>
            </w: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Mont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0673_p1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-0.071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759A_p1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-0.108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0867_p1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-0.064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2969_p1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0.052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3035_p1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0.029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1628_p1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0.956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3956_p1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0.100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0.477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0.791</w:t>
            </w:r>
          </w:p>
        </w:tc>
      </w:tr>
      <w:tr w:rsidR="00A44EC3" w:rsidRPr="00BD34A8" w:rsidTr="00775422">
        <w:trPr>
          <w:trHeight w:val="30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7957_p1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-0.059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color w:val="auto"/>
                <w:sz w:val="20"/>
                <w:lang w:eastAsia="zh-CN"/>
              </w:rPr>
            </w:pPr>
          </w:p>
        </w:tc>
      </w:tr>
      <w:tr w:rsidR="00A44EC3" w:rsidRPr="00BD34A8" w:rsidTr="00BD34A8">
        <w:trPr>
          <w:trHeight w:val="80"/>
          <w:jc w:val="center"/>
        </w:trPr>
        <w:tc>
          <w:tcPr>
            <w:tcW w:w="10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Pre Dom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0673_p1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0.168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759A_p1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-0.031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0867_p1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0.069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2969_p1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0.044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3035_p1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0.420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1628_p1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0.616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3956_p1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0.148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0.546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0.733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7957_p1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-0.132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  <w:t>Dom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0673_p1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0.596154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0.677931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0.122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759A_p1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0.615385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0.710232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0.135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0867_p1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0.634615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0.744586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0.149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2969_p1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0.391919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0.082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3035_p1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0.313725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0.558144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0.44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1628_p1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0.230769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0.434653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0.472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3956_p1</w:t>
            </w:r>
          </w:p>
        </w:tc>
        <w:tc>
          <w:tcPr>
            <w:tcW w:w="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0.088889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000000" w:fill="FFCCCC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0.453433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b/>
                <w:bCs/>
                <w:sz w:val="20"/>
                <w:lang w:eastAsia="zh-CN"/>
              </w:rPr>
              <w:t>0.806</w:t>
            </w:r>
          </w:p>
        </w:tc>
      </w:tr>
      <w:tr w:rsidR="00A44EC3" w:rsidRPr="00BD34A8" w:rsidTr="00BD34A8">
        <w:trPr>
          <w:trHeight w:val="70"/>
          <w:jc w:val="center"/>
        </w:trPr>
        <w:tc>
          <w:tcPr>
            <w:tcW w:w="10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b/>
                <w:sz w:val="20"/>
                <w:lang w:eastAsia="zh-CN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7957_p1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0.769231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0.720127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4EC3" w:rsidRPr="00BD34A8" w:rsidRDefault="00A44EC3" w:rsidP="00775422">
            <w:pPr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20"/>
                <w:lang w:eastAsia="zh-CN"/>
              </w:rPr>
            </w:pPr>
            <w:r w:rsidRPr="00BD34A8">
              <w:rPr>
                <w:rFonts w:asciiTheme="minorHAnsi" w:eastAsia="Times New Roman" w:hAnsiTheme="minorHAnsi" w:cs="Times New Roman"/>
                <w:sz w:val="20"/>
                <w:lang w:eastAsia="zh-CN"/>
              </w:rPr>
              <w:t>-0.069</w:t>
            </w:r>
          </w:p>
        </w:tc>
      </w:tr>
    </w:tbl>
    <w:p w:rsidR="00384BAF" w:rsidRDefault="00384BAF" w:rsidP="00577836">
      <w:pPr>
        <w:spacing w:line="480" w:lineRule="auto"/>
        <w:rPr>
          <w:rFonts w:asciiTheme="minorHAnsi" w:hAnsiTheme="minorHAnsi"/>
          <w:b/>
          <w:szCs w:val="22"/>
        </w:rPr>
      </w:pPr>
      <w:r w:rsidRPr="00BC5641">
        <w:rPr>
          <w:rFonts w:asciiTheme="minorHAnsi" w:hAnsiTheme="minorHAnsi"/>
          <w:b/>
          <w:szCs w:val="22"/>
        </w:rPr>
        <w:lastRenderedPageBreak/>
        <w:t xml:space="preserve">Supplementary data </w:t>
      </w:r>
      <w:r>
        <w:rPr>
          <w:rFonts w:asciiTheme="minorHAnsi" w:hAnsiTheme="minorHAnsi"/>
          <w:b/>
          <w:szCs w:val="22"/>
        </w:rPr>
        <w:t>1</w:t>
      </w:r>
      <w:r w:rsidRPr="00BC5641">
        <w:rPr>
          <w:rFonts w:asciiTheme="minorHAnsi" w:hAnsiTheme="minorHAnsi"/>
          <w:b/>
          <w:szCs w:val="22"/>
        </w:rPr>
        <w:t xml:space="preserve">. </w:t>
      </w:r>
      <w:r>
        <w:rPr>
          <w:rFonts w:asciiTheme="minorHAnsi" w:hAnsiTheme="minorHAnsi"/>
          <w:b/>
          <w:szCs w:val="22"/>
        </w:rPr>
        <w:t>Mitochondrial DNA sequences</w:t>
      </w: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A 463bp fragment of the cytochrome oxidase subunit I gene was amplified for 32 individuals (16 randomly chosen samples from each island) using universal amphibian primers developed by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Che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</w:t>
      </w:r>
      <w:r w:rsidRPr="00577836">
        <w:rPr>
          <w:rFonts w:asciiTheme="minorHAnsi" w:eastAsia="Times New Roman" w:hAnsiTheme="minorHAnsi" w:cs="Times New Roman"/>
          <w:i/>
          <w:iCs/>
          <w:color w:val="auto"/>
          <w:szCs w:val="22"/>
        </w:rPr>
        <w:t>et al.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(2012): Chmf4, 5’ - TYT CWA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CWA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AYC AYA AAG AYA TCG G – 3’;Chmr4, 5’ - ACY TCR GGR TGR CCR AAR AAT CA - 3’. To produce a final PCR reaction volume of 10µl, the following reagents were included, 5µl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Qiagen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Multiplex mix, 0.6µl of 0.1pmol/µl reverse and forward primer, 1µl of DNA and 2.8µl of nuclease free ddH</w:t>
      </w:r>
      <w:r w:rsidRPr="00577836">
        <w:rPr>
          <w:rFonts w:asciiTheme="minorHAnsi" w:eastAsia="Times New Roman" w:hAnsiTheme="minorHAnsi" w:cs="Times New Roman"/>
          <w:color w:val="auto"/>
          <w:szCs w:val="22"/>
          <w:vertAlign w:val="subscript"/>
        </w:rPr>
        <w:t>2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>O. The PCR conditions were as follows: 95</w:t>
      </w:r>
      <w:r w:rsidRPr="00577836">
        <w:rPr>
          <w:rFonts w:asciiTheme="minorHAnsi" w:eastAsia="Times New Roman" w:hAnsiTheme="minorHAnsi" w:cs="Cambria Math"/>
          <w:color w:val="auto"/>
          <w:szCs w:val="22"/>
        </w:rPr>
        <w:t>⁰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>C for 15min, followed by 35 cycles of: 94</w:t>
      </w:r>
      <w:r w:rsidRPr="00577836">
        <w:rPr>
          <w:rFonts w:asciiTheme="minorHAnsi" w:eastAsia="Times New Roman" w:hAnsiTheme="minorHAnsi" w:cs="Cambria Math"/>
          <w:color w:val="auto"/>
          <w:szCs w:val="22"/>
        </w:rPr>
        <w:t>⁰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>C for 1min, 56</w:t>
      </w:r>
      <w:r w:rsidRPr="00577836">
        <w:rPr>
          <w:rFonts w:asciiTheme="minorHAnsi" w:eastAsia="Times New Roman" w:hAnsiTheme="minorHAnsi" w:cs="Cambria Math"/>
          <w:color w:val="auto"/>
          <w:szCs w:val="22"/>
        </w:rPr>
        <w:t>⁰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>C for 1min, extension for 1min at 72</w:t>
      </w:r>
      <w:r w:rsidRPr="00577836">
        <w:rPr>
          <w:rFonts w:asciiTheme="minorHAnsi" w:eastAsia="Times New Roman" w:hAnsiTheme="minorHAnsi" w:cs="Cambria Math"/>
          <w:color w:val="auto"/>
          <w:szCs w:val="22"/>
        </w:rPr>
        <w:t>⁰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>C; and a final extension of 10min at 72</w:t>
      </w:r>
      <w:r w:rsidRPr="00577836">
        <w:rPr>
          <w:rFonts w:asciiTheme="minorHAnsi" w:eastAsia="Times New Roman" w:hAnsiTheme="minorHAnsi" w:cs="Cambria Math"/>
          <w:color w:val="auto"/>
          <w:szCs w:val="22"/>
        </w:rPr>
        <w:t>⁰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C. Un-purified PCR products were sequenced in both directions using the </w:t>
      </w:r>
      <w:r w:rsidRPr="00577836">
        <w:rPr>
          <w:rFonts w:asciiTheme="minorHAnsi" w:eastAsia="Times New Roman" w:hAnsiTheme="minorHAnsi" w:cs="Times New Roman"/>
          <w:szCs w:val="22"/>
        </w:rPr>
        <w:t xml:space="preserve">Eurofins MWG Operon's DNA sequencing service. Sequences were verified using </w:t>
      </w:r>
      <w:proofErr w:type="spellStart"/>
      <w:r w:rsidRPr="00577836">
        <w:rPr>
          <w:rFonts w:asciiTheme="minorHAnsi" w:eastAsia="Times New Roman" w:hAnsiTheme="minorHAnsi" w:cs="Times New Roman"/>
          <w:szCs w:val="22"/>
        </w:rPr>
        <w:t>Sequencher</w:t>
      </w:r>
      <w:proofErr w:type="spellEnd"/>
      <w:r w:rsidRPr="00577836">
        <w:rPr>
          <w:rFonts w:asciiTheme="minorHAnsi" w:eastAsia="Times New Roman" w:hAnsiTheme="minorHAnsi" w:cs="Times New Roman"/>
          <w:szCs w:val="22"/>
        </w:rPr>
        <w:t xml:space="preserve"> ® (version 5.1) and subsequently 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aligned by the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ClustalW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multiple sequence alignment algorithm (Thompson </w:t>
      </w:r>
      <w:r w:rsidRPr="00577836">
        <w:rPr>
          <w:rFonts w:asciiTheme="minorHAnsi" w:eastAsia="Times New Roman" w:hAnsiTheme="minorHAnsi" w:cs="Times New Roman"/>
          <w:i/>
          <w:iCs/>
          <w:color w:val="auto"/>
          <w:szCs w:val="22"/>
        </w:rPr>
        <w:t>et al.,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2002) implemented in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BioEdit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Sequence Alignment Editor (Hall, 1999; version 7.1.11) with the default parameters. A single haplotype was present in all individuals (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GenBank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accession number </w:t>
      </w:r>
      <w:r w:rsidRPr="00577836">
        <w:rPr>
          <w:rFonts w:asciiTheme="minorHAnsi" w:eastAsia="Times New Roman" w:hAnsiTheme="minorHAnsi"/>
          <w:color w:val="auto"/>
          <w:szCs w:val="22"/>
        </w:rPr>
        <w:t>KX579492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>).</w:t>
      </w: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Che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, J., H.-M. Chen, J.-X. Yang, J.-Q.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Jin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, K. Jiang, Z.-Y. Yuan, R. W. Murphy, and Y.-P. Zhang. 2012. Universal COI primers for DNA barcoding amphibians. </w:t>
      </w:r>
      <w:r w:rsidRPr="00577836">
        <w:rPr>
          <w:rFonts w:asciiTheme="minorHAnsi" w:eastAsia="Times New Roman" w:hAnsiTheme="minorHAnsi" w:cs="Times New Roman"/>
          <w:i/>
          <w:iCs/>
          <w:color w:val="auto"/>
          <w:szCs w:val="22"/>
        </w:rPr>
        <w:t>Molecular Ecology Resources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12:247–58.</w:t>
      </w: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Hall, T.A., 1999.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BioEdit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: a user-friendly biological sequence alignment editor and analysis program for Windows 95/98/NT. </w:t>
      </w:r>
      <w:r w:rsidRPr="00577836">
        <w:rPr>
          <w:rFonts w:asciiTheme="minorHAnsi" w:eastAsia="Times New Roman" w:hAnsiTheme="minorHAnsi" w:cs="Times New Roman"/>
          <w:i/>
          <w:iCs/>
          <w:color w:val="auto"/>
          <w:szCs w:val="22"/>
        </w:rPr>
        <w:t>Nucleic acids symposium series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41: 95-98).</w:t>
      </w: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Sequencher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® version 5.4.5 sequence analysis software, Gene Codes Corporation, Ann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Arbor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, MI USA </w:t>
      </w:r>
      <w:hyperlink r:id="rId5" w:tgtFrame="_blank" w:history="1">
        <w:r w:rsidRPr="00577836">
          <w:rPr>
            <w:rFonts w:asciiTheme="minorHAnsi" w:eastAsia="Times New Roman" w:hAnsiTheme="minorHAnsi" w:cs="Times New Roman"/>
            <w:color w:val="0000FF"/>
            <w:szCs w:val="22"/>
            <w:u w:val="single"/>
          </w:rPr>
          <w:t>http://www.genecodes.com</w:t>
        </w:r>
      </w:hyperlink>
    </w:p>
    <w:p w:rsid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  <w:r w:rsidRPr="00577836">
        <w:rPr>
          <w:rFonts w:asciiTheme="minorHAnsi" w:eastAsia="Times New Roman" w:hAnsiTheme="minorHAnsi" w:cs="Times New Roman"/>
          <w:color w:val="auto"/>
          <w:szCs w:val="22"/>
        </w:rPr>
        <w:t> </w:t>
      </w:r>
    </w:p>
    <w:p w:rsidR="00577836" w:rsidRPr="00577836" w:rsidRDefault="00577836" w:rsidP="00577836">
      <w:pPr>
        <w:spacing w:line="480" w:lineRule="auto"/>
        <w:rPr>
          <w:rFonts w:asciiTheme="minorHAnsi" w:eastAsia="Times New Roman" w:hAnsiTheme="minorHAnsi" w:cs="Times New Roman"/>
          <w:color w:val="auto"/>
          <w:szCs w:val="22"/>
        </w:rPr>
      </w:pP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Thompson, J.D., Gibson, T. and Higgins, D.G., 2002. Multiple sequence alignment using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ClustalW</w:t>
      </w:r>
      <w:proofErr w:type="spellEnd"/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and </w:t>
      </w:r>
      <w:proofErr w:type="spellStart"/>
      <w:r w:rsidRPr="00577836">
        <w:rPr>
          <w:rFonts w:asciiTheme="minorHAnsi" w:eastAsia="Times New Roman" w:hAnsiTheme="minorHAnsi" w:cs="Times New Roman"/>
          <w:color w:val="auto"/>
          <w:szCs w:val="22"/>
        </w:rPr>
        <w:t>ClustalX</w:t>
      </w:r>
      <w:proofErr w:type="spellEnd"/>
      <w:r w:rsidRPr="00577836">
        <w:rPr>
          <w:rFonts w:asciiTheme="minorHAnsi" w:eastAsia="Times New Roman" w:hAnsiTheme="minorHAnsi" w:cs="Times New Roman"/>
          <w:i/>
          <w:iCs/>
          <w:color w:val="auto"/>
          <w:szCs w:val="22"/>
        </w:rPr>
        <w:t>. Current protocols in bioinformatics,</w:t>
      </w:r>
      <w:r w:rsidRPr="00577836">
        <w:rPr>
          <w:rFonts w:asciiTheme="minorHAnsi" w:eastAsia="Times New Roman" w:hAnsiTheme="minorHAnsi" w:cs="Times New Roman"/>
          <w:color w:val="auto"/>
          <w:szCs w:val="22"/>
        </w:rPr>
        <w:t xml:space="preserve"> pp.2-3.</w:t>
      </w:r>
    </w:p>
    <w:p w:rsidR="00775422" w:rsidRPr="00A44EC3" w:rsidRDefault="00A44EC3" w:rsidP="00A44EC3">
      <w:pPr>
        <w:rPr>
          <w:rFonts w:asciiTheme="minorHAnsi" w:hAnsiTheme="minorHAnsi"/>
          <w:b/>
          <w:szCs w:val="22"/>
        </w:rPr>
      </w:pPr>
      <w:r w:rsidRPr="00A44EC3">
        <w:rPr>
          <w:rFonts w:asciiTheme="minorHAnsi" w:hAnsiTheme="minorHAnsi"/>
          <w:b/>
          <w:szCs w:val="22"/>
        </w:rPr>
        <w:lastRenderedPageBreak/>
        <w:t xml:space="preserve">Supplementary data </w:t>
      </w:r>
      <w:r w:rsidR="00384BAF">
        <w:rPr>
          <w:rFonts w:asciiTheme="minorHAnsi" w:hAnsiTheme="minorHAnsi"/>
          <w:b/>
          <w:szCs w:val="22"/>
        </w:rPr>
        <w:t>2</w:t>
      </w:r>
      <w:r w:rsidRPr="00A44EC3">
        <w:rPr>
          <w:rFonts w:asciiTheme="minorHAnsi" w:hAnsiTheme="minorHAnsi"/>
          <w:b/>
          <w:szCs w:val="22"/>
        </w:rPr>
        <w:t>.</w:t>
      </w:r>
      <w:r>
        <w:rPr>
          <w:rFonts w:asciiTheme="minorHAnsi" w:hAnsiTheme="minorHAnsi"/>
          <w:b/>
          <w:szCs w:val="22"/>
        </w:rPr>
        <w:t xml:space="preserve"> </w:t>
      </w:r>
      <w:r w:rsidR="00BC5641">
        <w:rPr>
          <w:rFonts w:asciiTheme="minorHAnsi" w:hAnsiTheme="minorHAnsi"/>
          <w:b/>
          <w:szCs w:val="22"/>
        </w:rPr>
        <w:t>Definitions of e</w:t>
      </w:r>
      <w:r>
        <w:rPr>
          <w:rFonts w:asciiTheme="minorHAnsi" w:hAnsiTheme="minorHAnsi"/>
          <w:b/>
          <w:szCs w:val="22"/>
        </w:rPr>
        <w:t>xtent of occurrence (EOO) and area of occupancy (AOO)</w:t>
      </w:r>
    </w:p>
    <w:p w:rsidR="00A44EC3" w:rsidRDefault="00A44EC3" w:rsidP="00A44EC3">
      <w:pPr>
        <w:spacing w:line="480" w:lineRule="auto"/>
        <w:rPr>
          <w:rFonts w:asciiTheme="minorHAnsi" w:hAnsiTheme="minorHAnsi"/>
          <w:szCs w:val="22"/>
        </w:rPr>
      </w:pPr>
    </w:p>
    <w:p w:rsidR="00A44EC3" w:rsidRDefault="00A44EC3" w:rsidP="00A44EC3">
      <w:pPr>
        <w:spacing w:line="480" w:lineRule="auto"/>
        <w:rPr>
          <w:rFonts w:asciiTheme="minorHAnsi" w:hAnsiTheme="minorHAnsi"/>
          <w:szCs w:val="22"/>
        </w:rPr>
      </w:pPr>
      <w:r w:rsidRPr="00310E45">
        <w:rPr>
          <w:rFonts w:asciiTheme="minorHAnsi" w:hAnsiTheme="minorHAnsi"/>
          <w:szCs w:val="22"/>
        </w:rPr>
        <w:t>The EOO is defined as “The area contained within the shortest continuous imaginary boundary which can be drawn to encompass all the known,</w:t>
      </w:r>
      <w:r>
        <w:rPr>
          <w:rFonts w:asciiTheme="minorHAnsi" w:hAnsiTheme="minorHAnsi"/>
          <w:szCs w:val="22"/>
        </w:rPr>
        <w:t xml:space="preserve"> inferred or projected sites of present</w:t>
      </w:r>
      <w:r w:rsidRPr="00310E45">
        <w:rPr>
          <w:rFonts w:asciiTheme="minorHAnsi" w:hAnsiTheme="minorHAnsi"/>
          <w:szCs w:val="22"/>
        </w:rPr>
        <w:t xml:space="preserve"> occurrence of a </w:t>
      </w:r>
      <w:proofErr w:type="spellStart"/>
      <w:r w:rsidRPr="00310E45">
        <w:rPr>
          <w:rFonts w:asciiTheme="minorHAnsi" w:hAnsiTheme="minorHAnsi"/>
          <w:szCs w:val="22"/>
        </w:rPr>
        <w:t>taxon</w:t>
      </w:r>
      <w:proofErr w:type="spellEnd"/>
      <w:r w:rsidRPr="00310E45">
        <w:rPr>
          <w:rFonts w:asciiTheme="minorHAnsi" w:hAnsiTheme="minorHAnsi"/>
          <w:szCs w:val="22"/>
        </w:rPr>
        <w:t xml:space="preserve">” (IUCN, 2001). This was calculated by drawing a minimum convex polygon around the midpoints of all transects on which </w:t>
      </w:r>
      <w:r>
        <w:rPr>
          <w:rFonts w:asciiTheme="minorHAnsi" w:hAnsiTheme="minorHAnsi"/>
          <w:szCs w:val="22"/>
        </w:rPr>
        <w:t xml:space="preserve">mountain chickens </w:t>
      </w:r>
      <w:r w:rsidRPr="00310E45">
        <w:rPr>
          <w:rFonts w:asciiTheme="minorHAnsi" w:hAnsiTheme="minorHAnsi"/>
          <w:szCs w:val="22"/>
        </w:rPr>
        <w:t xml:space="preserve">had been observed. This likely represented an overestimate as it </w:t>
      </w:r>
      <w:r>
        <w:rPr>
          <w:rFonts w:asciiTheme="minorHAnsi" w:hAnsiTheme="minorHAnsi"/>
          <w:szCs w:val="22"/>
        </w:rPr>
        <w:t>almost certainly</w:t>
      </w:r>
      <w:r w:rsidRPr="00310E45">
        <w:rPr>
          <w:rFonts w:asciiTheme="minorHAnsi" w:hAnsiTheme="minorHAnsi"/>
          <w:szCs w:val="22"/>
        </w:rPr>
        <w:t xml:space="preserve"> included areas of unsuitable habitat.</w:t>
      </w:r>
      <w:r>
        <w:rPr>
          <w:rFonts w:asciiTheme="minorHAnsi" w:hAnsiTheme="minorHAnsi"/>
          <w:szCs w:val="22"/>
        </w:rPr>
        <w:t xml:space="preserve"> </w:t>
      </w:r>
      <w:r w:rsidRPr="00310E45">
        <w:rPr>
          <w:rFonts w:asciiTheme="minorHAnsi" w:hAnsiTheme="minorHAnsi"/>
          <w:szCs w:val="22"/>
        </w:rPr>
        <w:t>The AOO is defined as “The area within its 'extent of occurrence'</w:t>
      </w:r>
      <w:r>
        <w:rPr>
          <w:rFonts w:asciiTheme="minorHAnsi" w:hAnsiTheme="minorHAnsi"/>
          <w:szCs w:val="22"/>
        </w:rPr>
        <w:t>,</w:t>
      </w:r>
      <w:r w:rsidRPr="00310E45">
        <w:rPr>
          <w:rFonts w:asciiTheme="minorHAnsi" w:hAnsiTheme="minorHAnsi"/>
          <w:szCs w:val="22"/>
        </w:rPr>
        <w:t xml:space="preserve"> which is occupied by a taxon, excluding cases of vagrancy” </w:t>
      </w:r>
      <w:r>
        <w:rPr>
          <w:rFonts w:asciiTheme="minorHAnsi" w:hAnsiTheme="minorHAnsi"/>
          <w:szCs w:val="22"/>
        </w:rPr>
        <w:fldChar w:fldCharType="begin"/>
      </w:r>
      <w:r>
        <w:rPr>
          <w:rFonts w:asciiTheme="minorHAnsi" w:hAnsiTheme="minorHAnsi"/>
          <w:szCs w:val="22"/>
        </w:rPr>
        <w:instrText xml:space="preserve"> ADDIN ZOTERO_ITEM CSL_CITATION {"citationID":"2ev9shfooh","properties":{"formattedCitation":"(IUCN, 2001)","plainCitation":"(IUCN, 2001)"},"citationItems":[{"id":399,"uris":["http://zotero.org/users/1872304/items/EWQQIKX9"],"uri":["http://zotero.org/users/1872304/items/EWQQIKX9"],"itemData":{"id":399,"type":"report","title":"IUCN Red List Categories and Criteria version 3.1.","URL":"http://www.iucnredlist.org/technical-documents/categories-and-criteria/2001-categories-criteria","author":[{"family":"IUCN","given":""}],"issued":{"date-parts":[["2001"]]},"accessed":{"date-parts":[["2015",12,9]]}}}],"schema":"https://github.com/citation-style-language/schema/raw/master/csl-citation.json"} </w:instrText>
      </w:r>
      <w:r>
        <w:rPr>
          <w:rFonts w:asciiTheme="minorHAnsi" w:hAnsiTheme="minorHAnsi"/>
          <w:szCs w:val="22"/>
        </w:rPr>
        <w:fldChar w:fldCharType="separate"/>
      </w:r>
      <w:r w:rsidRPr="004C62AD">
        <w:rPr>
          <w:rFonts w:ascii="Calibri" w:hAnsi="Calibri"/>
        </w:rPr>
        <w:t>(IUCN, 2001)</w:t>
      </w:r>
      <w:r>
        <w:rPr>
          <w:rFonts w:asciiTheme="minorHAnsi" w:hAnsiTheme="minorHAnsi"/>
          <w:szCs w:val="22"/>
        </w:rPr>
        <w:fldChar w:fldCharType="end"/>
      </w:r>
      <w:r w:rsidRPr="00310E45">
        <w:rPr>
          <w:rFonts w:asciiTheme="minorHAnsi" w:hAnsiTheme="minorHAnsi"/>
          <w:szCs w:val="22"/>
        </w:rPr>
        <w:t>. This was calculated by overlaying a 500</w:t>
      </w:r>
      <w:r>
        <w:rPr>
          <w:rFonts w:asciiTheme="minorHAnsi" w:hAnsiTheme="minorHAnsi"/>
          <w:szCs w:val="22"/>
        </w:rPr>
        <w:t xml:space="preserve"> </w:t>
      </w:r>
      <w:r w:rsidRPr="00310E45">
        <w:rPr>
          <w:rFonts w:asciiTheme="minorHAnsi" w:hAnsiTheme="minorHAnsi"/>
          <w:szCs w:val="22"/>
        </w:rPr>
        <w:t xml:space="preserve">m grid on both islands and assuming full occupancy of a grid square if </w:t>
      </w:r>
      <w:r>
        <w:rPr>
          <w:rFonts w:asciiTheme="minorHAnsi" w:hAnsiTheme="minorHAnsi"/>
          <w:szCs w:val="22"/>
        </w:rPr>
        <w:t xml:space="preserve">mountain chicken </w:t>
      </w:r>
      <w:r w:rsidRPr="00310E45">
        <w:rPr>
          <w:rFonts w:asciiTheme="minorHAnsi" w:hAnsiTheme="minorHAnsi"/>
          <w:szCs w:val="22"/>
        </w:rPr>
        <w:t>presence had been confirmed on a transect which had its midpoint within a grid square. A 500</w:t>
      </w:r>
      <w:r>
        <w:rPr>
          <w:rFonts w:asciiTheme="minorHAnsi" w:hAnsiTheme="minorHAnsi"/>
          <w:szCs w:val="22"/>
        </w:rPr>
        <w:t xml:space="preserve"> </w:t>
      </w:r>
      <w:r w:rsidRPr="00310E45">
        <w:rPr>
          <w:rFonts w:asciiTheme="minorHAnsi" w:hAnsiTheme="minorHAnsi"/>
          <w:szCs w:val="22"/>
        </w:rPr>
        <w:t>m grid size was chosen as it represents the best current guess of the home range size of</w:t>
      </w:r>
      <w:r>
        <w:rPr>
          <w:rFonts w:asciiTheme="minorHAnsi" w:hAnsiTheme="minorHAnsi"/>
          <w:szCs w:val="22"/>
        </w:rPr>
        <w:t xml:space="preserve"> the mountain chicken</w:t>
      </w:r>
      <w:r w:rsidRPr="00310E45">
        <w:rPr>
          <w:rFonts w:asciiTheme="minorHAnsi" w:hAnsiTheme="minorHAnsi"/>
          <w:szCs w:val="22"/>
        </w:rPr>
        <w:t xml:space="preserve"> (</w:t>
      </w:r>
      <w:r>
        <w:rPr>
          <w:rFonts w:asciiTheme="minorHAnsi" w:hAnsiTheme="minorHAnsi"/>
          <w:szCs w:val="22"/>
        </w:rPr>
        <w:t>authors’</w:t>
      </w:r>
      <w:r w:rsidRPr="00310E45">
        <w:rPr>
          <w:rFonts w:asciiTheme="minorHAnsi" w:hAnsiTheme="minorHAnsi"/>
          <w:szCs w:val="22"/>
        </w:rPr>
        <w:t xml:space="preserve"> unpublished data).</w:t>
      </w:r>
    </w:p>
    <w:p w:rsidR="00BC5641" w:rsidRDefault="00BC5641" w:rsidP="00A44EC3">
      <w:pPr>
        <w:spacing w:line="480" w:lineRule="auto"/>
        <w:rPr>
          <w:rFonts w:asciiTheme="minorHAnsi" w:hAnsiTheme="minorHAnsi"/>
          <w:szCs w:val="22"/>
        </w:rPr>
      </w:pPr>
    </w:p>
    <w:p w:rsidR="00384BAF" w:rsidRPr="00384BAF" w:rsidRDefault="00384BAF" w:rsidP="00A44EC3">
      <w:pPr>
        <w:spacing w:line="480" w:lineRule="auto"/>
        <w:rPr>
          <w:rFonts w:asciiTheme="minorHAnsi" w:hAnsiTheme="minorHAnsi"/>
          <w:szCs w:val="22"/>
        </w:rPr>
      </w:pPr>
      <w:r w:rsidRPr="00384BAF">
        <w:rPr>
          <w:rFonts w:asciiTheme="minorHAnsi" w:hAnsiTheme="minorHAnsi"/>
          <w:szCs w:val="22"/>
        </w:rPr>
        <w:t>Reference:</w:t>
      </w:r>
    </w:p>
    <w:p w:rsidR="00384BAF" w:rsidRPr="00384BAF" w:rsidRDefault="00384BAF" w:rsidP="00384BAF">
      <w:pPr>
        <w:pStyle w:val="Bibliography"/>
        <w:rPr>
          <w:rFonts w:asciiTheme="minorHAnsi" w:hAnsiTheme="minorHAnsi"/>
        </w:rPr>
      </w:pPr>
      <w:r w:rsidRPr="00384BAF">
        <w:rPr>
          <w:rFonts w:asciiTheme="minorHAnsi" w:hAnsiTheme="minorHAnsi"/>
          <w:szCs w:val="22"/>
        </w:rPr>
        <w:t xml:space="preserve">IUCN (International Union for the Conservation of Nature), 2001. </w:t>
      </w:r>
      <w:r w:rsidRPr="00384BAF">
        <w:rPr>
          <w:rFonts w:asciiTheme="minorHAnsi" w:hAnsiTheme="minorHAnsi"/>
        </w:rPr>
        <w:t>IUCN Red List Categories and Criteria version 3.1.</w:t>
      </w:r>
    </w:p>
    <w:p w:rsidR="00384BAF" w:rsidRDefault="00384BAF" w:rsidP="00A44EC3">
      <w:pPr>
        <w:spacing w:line="480" w:lineRule="auto"/>
        <w:rPr>
          <w:rFonts w:asciiTheme="minorHAnsi" w:hAnsiTheme="minorHAnsi"/>
          <w:szCs w:val="22"/>
        </w:rPr>
      </w:pPr>
    </w:p>
    <w:p w:rsidR="00BC5641" w:rsidRDefault="00BC5641" w:rsidP="00A44EC3">
      <w:pPr>
        <w:spacing w:line="480" w:lineRule="auto"/>
        <w:rPr>
          <w:rFonts w:asciiTheme="minorHAnsi" w:hAnsiTheme="minorHAnsi"/>
          <w:szCs w:val="22"/>
        </w:rPr>
      </w:pPr>
    </w:p>
    <w:p w:rsidR="00384BAF" w:rsidRDefault="00384BAF" w:rsidP="00A44EC3">
      <w:pPr>
        <w:spacing w:line="480" w:lineRule="auto"/>
        <w:rPr>
          <w:rFonts w:asciiTheme="minorHAnsi" w:hAnsiTheme="minorHAnsi"/>
          <w:szCs w:val="22"/>
        </w:rPr>
      </w:pPr>
    </w:p>
    <w:p w:rsidR="00BC5641" w:rsidRDefault="00BC5641" w:rsidP="00A44EC3">
      <w:pPr>
        <w:spacing w:line="480" w:lineRule="auto"/>
        <w:rPr>
          <w:rFonts w:asciiTheme="minorHAnsi" w:hAnsiTheme="minorHAnsi"/>
          <w:szCs w:val="22"/>
        </w:rPr>
      </w:pPr>
    </w:p>
    <w:p w:rsidR="00BC5641" w:rsidRDefault="00BC5641" w:rsidP="00A44EC3">
      <w:pPr>
        <w:spacing w:line="480" w:lineRule="auto"/>
        <w:rPr>
          <w:rFonts w:asciiTheme="minorHAnsi" w:hAnsiTheme="minorHAnsi"/>
          <w:szCs w:val="22"/>
        </w:rPr>
      </w:pPr>
    </w:p>
    <w:p w:rsidR="00BC5641" w:rsidRDefault="00BC5641" w:rsidP="00A44EC3">
      <w:pPr>
        <w:spacing w:line="480" w:lineRule="auto"/>
        <w:rPr>
          <w:rFonts w:asciiTheme="minorHAnsi" w:hAnsiTheme="minorHAnsi"/>
          <w:szCs w:val="22"/>
        </w:rPr>
      </w:pPr>
    </w:p>
    <w:p w:rsidR="00BC5641" w:rsidRDefault="00BC5641" w:rsidP="00A44EC3">
      <w:pPr>
        <w:spacing w:line="480" w:lineRule="auto"/>
        <w:rPr>
          <w:rFonts w:asciiTheme="minorHAnsi" w:hAnsiTheme="minorHAnsi"/>
          <w:szCs w:val="22"/>
        </w:rPr>
      </w:pPr>
    </w:p>
    <w:p w:rsidR="00BC5641" w:rsidRPr="00BC5641" w:rsidRDefault="00BC5641" w:rsidP="00A44EC3">
      <w:pPr>
        <w:spacing w:line="480" w:lineRule="auto"/>
        <w:rPr>
          <w:rFonts w:asciiTheme="minorHAnsi" w:hAnsiTheme="minorHAnsi"/>
          <w:b/>
          <w:szCs w:val="22"/>
        </w:rPr>
      </w:pPr>
      <w:r w:rsidRPr="00BC5641">
        <w:rPr>
          <w:rFonts w:asciiTheme="minorHAnsi" w:hAnsiTheme="minorHAnsi"/>
          <w:b/>
          <w:szCs w:val="22"/>
        </w:rPr>
        <w:t xml:space="preserve">Supplementary data </w:t>
      </w:r>
      <w:r w:rsidR="00384BAF">
        <w:rPr>
          <w:rFonts w:asciiTheme="minorHAnsi" w:hAnsiTheme="minorHAnsi"/>
          <w:b/>
          <w:szCs w:val="22"/>
        </w:rPr>
        <w:t>3</w:t>
      </w:r>
      <w:r w:rsidRPr="00BC5641">
        <w:rPr>
          <w:rFonts w:asciiTheme="minorHAnsi" w:hAnsiTheme="minorHAnsi"/>
          <w:b/>
          <w:szCs w:val="22"/>
        </w:rPr>
        <w:t xml:space="preserve">. </w:t>
      </w:r>
      <w:r>
        <w:rPr>
          <w:rFonts w:asciiTheme="minorHAnsi" w:hAnsiTheme="minorHAnsi"/>
          <w:b/>
          <w:szCs w:val="22"/>
        </w:rPr>
        <w:t>Microsatellite primer development</w:t>
      </w:r>
    </w:p>
    <w:p w:rsidR="00BC5641" w:rsidRPr="00BC5641" w:rsidRDefault="00BC5641" w:rsidP="00BC5641">
      <w:pPr>
        <w:spacing w:line="480" w:lineRule="auto"/>
        <w:rPr>
          <w:rFonts w:asciiTheme="minorHAnsi" w:hAnsiTheme="minorHAnsi"/>
          <w:szCs w:val="22"/>
        </w:rPr>
      </w:pPr>
      <w:r w:rsidRPr="00BC5641">
        <w:rPr>
          <w:rFonts w:asciiTheme="minorHAnsi" w:hAnsiTheme="minorHAnsi"/>
          <w:szCs w:val="22"/>
        </w:rPr>
        <w:t xml:space="preserve">Microsatellite primers for the mountain chicken were isolated commercially by </w:t>
      </w:r>
      <w:proofErr w:type="spellStart"/>
      <w:r w:rsidRPr="00BC5641">
        <w:rPr>
          <w:rFonts w:asciiTheme="minorHAnsi" w:hAnsiTheme="minorHAnsi"/>
          <w:szCs w:val="22"/>
        </w:rPr>
        <w:t>Ecogenics</w:t>
      </w:r>
      <w:proofErr w:type="spellEnd"/>
      <w:r w:rsidRPr="00BC5641">
        <w:rPr>
          <w:rFonts w:asciiTheme="minorHAnsi" w:hAnsiTheme="minorHAnsi"/>
          <w:szCs w:val="22"/>
        </w:rPr>
        <w:t xml:space="preserve"> (Switzerland). Eight polymorphic markers (</w:t>
      </w:r>
      <w:r w:rsidRPr="00BC5641">
        <w:rPr>
          <w:rFonts w:asciiTheme="minorHAnsi" w:hAnsiTheme="minorHAnsi"/>
        </w:rPr>
        <w:t xml:space="preserve">Supplementary </w:t>
      </w:r>
      <w:r w:rsidRPr="00BC5641">
        <w:rPr>
          <w:rFonts w:asciiTheme="minorHAnsi" w:hAnsiTheme="minorHAnsi"/>
          <w:szCs w:val="22"/>
        </w:rPr>
        <w:t xml:space="preserve">Table </w:t>
      </w:r>
      <w:r w:rsidRPr="00BC5641">
        <w:rPr>
          <w:rFonts w:asciiTheme="minorHAnsi" w:hAnsiTheme="minorHAnsi"/>
        </w:rPr>
        <w:t>3</w:t>
      </w:r>
      <w:r w:rsidRPr="00BC5641">
        <w:rPr>
          <w:rFonts w:asciiTheme="minorHAnsi" w:hAnsiTheme="minorHAnsi"/>
          <w:szCs w:val="22"/>
        </w:rPr>
        <w:t xml:space="preserve">) were then standardised using a </w:t>
      </w:r>
      <w:proofErr w:type="spellStart"/>
      <w:r w:rsidRPr="00BC5641">
        <w:rPr>
          <w:rFonts w:asciiTheme="minorHAnsi" w:hAnsiTheme="minorHAnsi"/>
          <w:szCs w:val="22"/>
        </w:rPr>
        <w:t>Qiagen</w:t>
      </w:r>
      <w:proofErr w:type="spellEnd"/>
      <w:r w:rsidRPr="00BC5641">
        <w:rPr>
          <w:rFonts w:asciiTheme="minorHAnsi" w:hAnsiTheme="minorHAnsi"/>
          <w:szCs w:val="22"/>
        </w:rPr>
        <w:t xml:space="preserve"> Multiplex PCR Kit using the following reaction mix: 5 µl of Multiplex mix, 0.2ul of 0.2 </w:t>
      </w:r>
      <w:proofErr w:type="spellStart"/>
      <w:r w:rsidRPr="00BC5641">
        <w:rPr>
          <w:rFonts w:asciiTheme="minorHAnsi" w:hAnsiTheme="minorHAnsi"/>
          <w:szCs w:val="22"/>
        </w:rPr>
        <w:t>pmol</w:t>
      </w:r>
      <w:proofErr w:type="spellEnd"/>
      <w:r w:rsidRPr="00BC5641">
        <w:rPr>
          <w:rFonts w:asciiTheme="minorHAnsi" w:hAnsiTheme="minorHAnsi"/>
          <w:szCs w:val="22"/>
        </w:rPr>
        <w:t xml:space="preserve">/µl </w:t>
      </w:r>
      <w:r w:rsidRPr="00BC5641">
        <w:rPr>
          <w:rFonts w:asciiTheme="minorHAnsi" w:hAnsiTheme="minorHAnsi"/>
          <w:szCs w:val="22"/>
        </w:rPr>
        <w:lastRenderedPageBreak/>
        <w:t>of forward primer, 0.2µl of 0.2pmol/µl of reverse primer, 1µl of DNA and 3.6µl of nuclease free ddH</w:t>
      </w:r>
      <w:r w:rsidRPr="00BC5641">
        <w:rPr>
          <w:rFonts w:asciiTheme="minorHAnsi" w:hAnsiTheme="minorHAnsi"/>
          <w:szCs w:val="22"/>
          <w:vertAlign w:val="subscript"/>
        </w:rPr>
        <w:t>2</w:t>
      </w:r>
      <w:r w:rsidRPr="00BC5641">
        <w:rPr>
          <w:rFonts w:asciiTheme="minorHAnsi" w:hAnsiTheme="minorHAnsi"/>
          <w:szCs w:val="22"/>
        </w:rPr>
        <w:t>O. PCR conditions were as follows: initial denaturation at 95⁰C for 15min, followed by 35 cycles of: 30s at 94⁰C, 90s at specific annealing temperature (</w:t>
      </w:r>
      <w:r w:rsidRPr="00BC5641">
        <w:rPr>
          <w:rFonts w:asciiTheme="minorHAnsi" w:hAnsiTheme="minorHAnsi"/>
        </w:rPr>
        <w:t>Supplementary Table 3</w:t>
      </w:r>
      <w:r w:rsidRPr="00BC5641">
        <w:rPr>
          <w:rFonts w:asciiTheme="minorHAnsi" w:hAnsiTheme="minorHAnsi"/>
          <w:szCs w:val="22"/>
        </w:rPr>
        <w:t xml:space="preserve">), extension for 60s at 72⁰C; and a final extension of 30min at 72⁰C. All genotyping was performed at DNA Sequencing and Services (Dundee) </w:t>
      </w:r>
      <w:r w:rsidRPr="00BC5641">
        <w:rPr>
          <w:rFonts w:asciiTheme="minorHAnsi" w:hAnsiTheme="minorHAnsi"/>
          <w:szCs w:val="22"/>
          <w:highlight w:val="white"/>
        </w:rPr>
        <w:t xml:space="preserve">and microsatellite scoring was performed using </w:t>
      </w:r>
      <w:proofErr w:type="spellStart"/>
      <w:r w:rsidRPr="00BC5641">
        <w:rPr>
          <w:rFonts w:asciiTheme="minorHAnsi" w:hAnsiTheme="minorHAnsi"/>
          <w:szCs w:val="22"/>
          <w:highlight w:val="white"/>
        </w:rPr>
        <w:t>GeneMapper</w:t>
      </w:r>
      <w:proofErr w:type="spellEnd"/>
      <w:r w:rsidRPr="00BC5641">
        <w:rPr>
          <w:rFonts w:asciiTheme="minorHAnsi" w:hAnsiTheme="minorHAnsi"/>
          <w:szCs w:val="22"/>
          <w:highlight w:val="white"/>
        </w:rPr>
        <w:t xml:space="preserve"> (v4).</w:t>
      </w:r>
    </w:p>
    <w:p w:rsidR="00BC5641" w:rsidRPr="00BC5641" w:rsidRDefault="00BC5641" w:rsidP="00BC5641">
      <w:pPr>
        <w:spacing w:line="480" w:lineRule="auto"/>
        <w:rPr>
          <w:rFonts w:asciiTheme="minorHAnsi" w:hAnsiTheme="minorHAnsi"/>
          <w:szCs w:val="22"/>
        </w:rPr>
      </w:pPr>
    </w:p>
    <w:p w:rsidR="00BC5641" w:rsidRPr="00BC5641" w:rsidRDefault="00BC5641" w:rsidP="00BC5641">
      <w:pPr>
        <w:spacing w:line="480" w:lineRule="auto"/>
        <w:rPr>
          <w:rFonts w:asciiTheme="minorHAnsi" w:eastAsia="Times New Roman" w:hAnsiTheme="minorHAnsi"/>
        </w:rPr>
      </w:pPr>
      <w:r w:rsidRPr="00BC5641">
        <w:rPr>
          <w:rFonts w:asciiTheme="minorHAnsi" w:eastAsia="Times New Roman" w:hAnsiTheme="minorHAnsi"/>
        </w:rPr>
        <w:t>The microsatellite genotypes will be submitted to Dryad upon acceptance of this manuscript for publication, and the corresponding accession code will be provided here.</w:t>
      </w:r>
    </w:p>
    <w:p w:rsidR="00BC5641" w:rsidRDefault="00BC5641" w:rsidP="00A44EC3">
      <w:pPr>
        <w:spacing w:line="480" w:lineRule="auto"/>
        <w:rPr>
          <w:rFonts w:asciiTheme="minorHAnsi" w:hAnsiTheme="minorHAnsi"/>
          <w:szCs w:val="22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384BAF" w:rsidRDefault="00384BAF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384BAF" w:rsidRDefault="00384BAF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384BAF" w:rsidRDefault="00384BAF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384BAF" w:rsidRDefault="00384BAF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384BAF" w:rsidRDefault="00384BAF" w:rsidP="00BC5641">
      <w:pPr>
        <w:spacing w:line="480" w:lineRule="auto"/>
        <w:rPr>
          <w:rFonts w:asciiTheme="minorHAnsi" w:hAnsiTheme="minorHAnsi"/>
          <w:b/>
          <w:color w:val="000000" w:themeColor="text1"/>
        </w:rPr>
      </w:pPr>
    </w:p>
    <w:p w:rsidR="00BC5641" w:rsidRDefault="00BC5641" w:rsidP="00BC5641">
      <w:pPr>
        <w:spacing w:line="480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Supplementary </w:t>
      </w:r>
      <w:r w:rsidRPr="005878BE">
        <w:rPr>
          <w:rFonts w:asciiTheme="minorHAnsi" w:hAnsiTheme="minorHAnsi"/>
          <w:b/>
          <w:color w:val="000000" w:themeColor="text1"/>
        </w:rPr>
        <w:t xml:space="preserve">Table </w:t>
      </w:r>
      <w:r>
        <w:rPr>
          <w:rFonts w:asciiTheme="minorHAnsi" w:hAnsiTheme="minorHAnsi"/>
          <w:b/>
          <w:color w:val="000000" w:themeColor="text1"/>
        </w:rPr>
        <w:t>3</w:t>
      </w:r>
      <w:r w:rsidRPr="005878BE">
        <w:rPr>
          <w:rFonts w:asciiTheme="minorHAnsi" w:hAnsiTheme="minorHAnsi"/>
          <w:b/>
          <w:color w:val="000000" w:themeColor="text1"/>
        </w:rPr>
        <w:t>.</w:t>
      </w:r>
      <w:r w:rsidR="004E41E4">
        <w:rPr>
          <w:rFonts w:asciiTheme="minorHAnsi" w:hAnsiTheme="minorHAnsi"/>
          <w:b/>
          <w:color w:val="000000" w:themeColor="text1"/>
        </w:rPr>
        <w:t xml:space="preserve"> </w:t>
      </w:r>
      <w:r w:rsidRPr="005878BE">
        <w:rPr>
          <w:rFonts w:asciiTheme="minorHAnsi" w:hAnsiTheme="minorHAnsi"/>
          <w:b/>
          <w:color w:val="000000" w:themeColor="text1"/>
        </w:rPr>
        <w:t xml:space="preserve">Polymorphic microsatellites identified for </w:t>
      </w:r>
      <w:proofErr w:type="spellStart"/>
      <w:r w:rsidRPr="005878BE">
        <w:rPr>
          <w:rFonts w:asciiTheme="minorHAnsi" w:hAnsiTheme="minorHAnsi"/>
          <w:b/>
          <w:i/>
          <w:color w:val="000000" w:themeColor="text1"/>
        </w:rPr>
        <w:t>Leptodactylus</w:t>
      </w:r>
      <w:proofErr w:type="spellEnd"/>
      <w:r w:rsidRPr="005878BE">
        <w:rPr>
          <w:rFonts w:asciiTheme="minorHAnsi" w:hAnsiTheme="minorHAnsi"/>
          <w:b/>
          <w:i/>
          <w:color w:val="000000" w:themeColor="text1"/>
        </w:rPr>
        <w:t xml:space="preserve"> </w:t>
      </w:r>
      <w:proofErr w:type="spellStart"/>
      <w:r w:rsidRPr="005878BE">
        <w:rPr>
          <w:rFonts w:asciiTheme="minorHAnsi" w:hAnsiTheme="minorHAnsi"/>
          <w:b/>
          <w:i/>
          <w:color w:val="000000" w:themeColor="text1"/>
        </w:rPr>
        <w:t>fallax</w:t>
      </w:r>
      <w:proofErr w:type="spellEnd"/>
    </w:p>
    <w:p w:rsidR="00BC5641" w:rsidRPr="005878BE" w:rsidRDefault="00BC5641" w:rsidP="00BC5641">
      <w:pPr>
        <w:spacing w:line="480" w:lineRule="auto"/>
        <w:rPr>
          <w:rFonts w:asciiTheme="minorHAnsi" w:eastAsia="Times New Roman" w:hAnsiTheme="minorHAnsi"/>
          <w:b/>
          <w:sz w:val="24"/>
          <w:szCs w:val="24"/>
        </w:rPr>
      </w:pPr>
      <w:r w:rsidRPr="005878BE">
        <w:rPr>
          <w:rFonts w:asciiTheme="minorHAnsi" w:hAnsiTheme="minorHAnsi"/>
          <w:color w:val="000000" w:themeColor="text1"/>
        </w:rPr>
        <w:t xml:space="preserve">For each marker the annealing temperature (Tm </w:t>
      </w:r>
      <w:r w:rsidRPr="005878BE">
        <w:rPr>
          <w:rFonts w:asciiTheme="minorHAnsi" w:eastAsia="Times New Roman" w:hAnsiTheme="minorHAnsi" w:cs="Cambria Math"/>
          <w:color w:val="000000" w:themeColor="text1"/>
          <w:shd w:val="clear" w:color="auto" w:fill="FFFFFF"/>
        </w:rPr>
        <w:t>⁰</w:t>
      </w:r>
      <w:r w:rsidRPr="005878BE">
        <w:rPr>
          <w:rFonts w:asciiTheme="minorHAnsi" w:eastAsia="Times New Roman" w:hAnsiTheme="minorHAnsi"/>
          <w:color w:val="000000" w:themeColor="text1"/>
          <w:shd w:val="clear" w:color="auto" w:fill="FFFFFF"/>
        </w:rPr>
        <w:t>C), number of observed alleles (NOA), repeat motif (mot), PCR products allele size range in base pairs (range), combinations of primers for multiplexing (M) are shown.</w:t>
      </w:r>
    </w:p>
    <w:p w:rsidR="00BC5641" w:rsidRDefault="00BC5641" w:rsidP="00BC5641">
      <w:pPr>
        <w:spacing w:line="480" w:lineRule="auto"/>
        <w:rPr>
          <w:rFonts w:eastAsia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992"/>
        <w:gridCol w:w="2977"/>
        <w:gridCol w:w="708"/>
        <w:gridCol w:w="1134"/>
        <w:gridCol w:w="1134"/>
        <w:gridCol w:w="426"/>
      </w:tblGrid>
      <w:tr w:rsidR="00BC5641" w:rsidRPr="00C666A4" w:rsidTr="00C666A4"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C666A4">
              <w:rPr>
                <w:rFonts w:asciiTheme="minorHAnsi" w:eastAsia="Times New Roman" w:hAnsiTheme="minorHAnsi"/>
                <w:b/>
                <w:sz w:val="20"/>
              </w:rPr>
              <w:t>Primer Code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C666A4">
              <w:rPr>
                <w:rFonts w:asciiTheme="minorHAnsi" w:eastAsia="Times New Roman" w:hAnsiTheme="minorHAnsi"/>
                <w:b/>
                <w:sz w:val="20"/>
              </w:rPr>
              <w:t>Tm (°C)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C666A4">
              <w:rPr>
                <w:rFonts w:asciiTheme="minorHAnsi" w:eastAsia="Times New Roman" w:hAnsiTheme="minorHAnsi"/>
                <w:b/>
                <w:sz w:val="20"/>
              </w:rPr>
              <w:t>Primer sequence (5’-3’)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C666A4">
              <w:rPr>
                <w:rFonts w:asciiTheme="minorHAnsi" w:eastAsia="Times New Roman" w:hAnsiTheme="minorHAnsi"/>
                <w:b/>
                <w:sz w:val="20"/>
              </w:rPr>
              <w:t>NOA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jc w:val="center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C666A4">
              <w:rPr>
                <w:rFonts w:asciiTheme="minorHAnsi" w:eastAsia="Times New Roman" w:hAnsiTheme="minorHAnsi"/>
                <w:b/>
                <w:sz w:val="20"/>
              </w:rPr>
              <w:t>Mot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C666A4">
              <w:rPr>
                <w:rFonts w:asciiTheme="minorHAnsi" w:eastAsia="Times New Roman" w:hAnsiTheme="minorHAnsi"/>
                <w:b/>
                <w:sz w:val="20"/>
              </w:rPr>
              <w:t>Range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b/>
                <w:sz w:val="20"/>
              </w:rPr>
            </w:pPr>
            <w:r w:rsidRPr="00C666A4">
              <w:rPr>
                <w:rFonts w:asciiTheme="minorHAnsi" w:eastAsia="Times New Roman" w:hAnsiTheme="minorHAnsi"/>
                <w:b/>
                <w:sz w:val="20"/>
              </w:rPr>
              <w:t>M</w:t>
            </w:r>
          </w:p>
        </w:tc>
      </w:tr>
      <w:tr w:rsidR="00BC5641" w:rsidRPr="00C666A4" w:rsidTr="00C666A4">
        <w:tc>
          <w:tcPr>
            <w:tcW w:w="166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66A4" w:rsidRPr="00C666A4" w:rsidRDefault="00BC5641" w:rsidP="00C666A4">
            <w:pPr>
              <w:spacing w:line="0" w:lineRule="atLeast"/>
              <w:ind w:left="100"/>
              <w:rPr>
                <w:rFonts w:asciiTheme="minorHAnsi" w:eastAsia="Times New Roman" w:hAnsiTheme="minorHAnsi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Lepfal_010673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 xml:space="preserve">AGCAATTCTTGTTGCCTCCC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(TAGA)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217-241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3</w:t>
            </w: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AGCCTAAGTTCTTGCAGGGC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C666A4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Lepfal_015759A</w:t>
            </w:r>
            <w:r w:rsidRPr="00C666A4">
              <w:rPr>
                <w:rFonts w:asciiTheme="minorHAnsi" w:eastAsia="Times New Roman" w:hAnsiTheme="minorHAnsi"/>
                <w:sz w:val="20"/>
                <w:shd w:val="clear" w:color="auto" w:fill="F2F2F2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64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AAGATCAGCCAGGGACAGAC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(TTTC)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189-234</w:t>
            </w: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3</w:t>
            </w: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CACTGTGATATTTAGGGGTGC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666A4" w:rsidRPr="00C666A4" w:rsidRDefault="00BC5641" w:rsidP="00C666A4">
            <w:pPr>
              <w:spacing w:line="0" w:lineRule="atLeast"/>
              <w:ind w:left="100"/>
              <w:rPr>
                <w:rFonts w:asciiTheme="minorHAnsi" w:eastAsia="Times New Roman" w:hAnsiTheme="minorHAnsi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Lepfal_000867</w:t>
            </w: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64</w:t>
            </w: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CGTGAGAAAGACTAGGGCAC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(TAGA)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200-244</w:t>
            </w: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C666A4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1</w:t>
            </w: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AAAAGGGAGCACTCCACAGG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Lepfal_002969</w:t>
            </w: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60</w:t>
            </w: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AGCATCACAGGGAACCAGTC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(AC)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169-191</w:t>
            </w: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2</w:t>
            </w: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GCTCCTGAAGTACAAACGCC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Lepfal_003035</w:t>
            </w: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62</w:t>
            </w: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ACATACAGAACTGCTTACATGTCC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(TG)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126-134</w:t>
            </w: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1</w:t>
            </w: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GCTTTGTCACTGGCTCCAAG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Lepfal_011628</w:t>
            </w: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60</w:t>
            </w: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C666A4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ATGATTGGCCCCAGTGTATG</w:t>
            </w:r>
            <w:r w:rsidRPr="00C666A4">
              <w:rPr>
                <w:rFonts w:asciiTheme="minorHAnsi" w:eastAsia="Times New Roman" w:hAnsiTheme="minorHAnsi"/>
                <w:sz w:val="20"/>
                <w:highlight w:val="yellow"/>
                <w:shd w:val="clear" w:color="auto" w:fill="F2F2F2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(CA)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207-234</w:t>
            </w: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2</w:t>
            </w: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GATCGCAGAACCTGGACCTC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Lepfal_013956</w:t>
            </w: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C666A4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58</w:t>
            </w: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AGCGTTCGATTAGTAGCTGTG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C666A4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(AC)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134-162</w:t>
            </w: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2</w:t>
            </w: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AGTTCACCCCAACGTAGGAC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C666A4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</w:rPr>
            </w:pPr>
          </w:p>
        </w:tc>
      </w:tr>
      <w:tr w:rsidR="00BC5641" w:rsidRPr="00C666A4" w:rsidTr="00C666A4">
        <w:tc>
          <w:tcPr>
            <w:tcW w:w="166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C666A4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Lepfal_017957</w:t>
            </w:r>
          </w:p>
        </w:tc>
        <w:tc>
          <w:tcPr>
            <w:tcW w:w="992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58</w:t>
            </w:r>
          </w:p>
        </w:tc>
        <w:tc>
          <w:tcPr>
            <w:tcW w:w="29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C666A4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TGTATGATGTGGGCCTTCCC</w:t>
            </w:r>
          </w:p>
        </w:tc>
        <w:tc>
          <w:tcPr>
            <w:tcW w:w="7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/>
                <w:sz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(TG)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189-242</w:t>
            </w:r>
          </w:p>
        </w:tc>
        <w:tc>
          <w:tcPr>
            <w:tcW w:w="426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775422">
            <w:pPr>
              <w:spacing w:line="0" w:lineRule="atLeast"/>
              <w:ind w:left="100"/>
              <w:jc w:val="center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 w:rsidRPr="00C666A4">
              <w:rPr>
                <w:rFonts w:asciiTheme="minorHAnsi" w:eastAsia="Times New Roman" w:hAnsiTheme="minorHAnsi"/>
                <w:sz w:val="20"/>
              </w:rPr>
              <w:t>1</w:t>
            </w:r>
          </w:p>
        </w:tc>
      </w:tr>
      <w:tr w:rsidR="00BC5641" w:rsidRPr="0085173F" w:rsidTr="00C666A4"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C666A4" w:rsidP="00C666A4">
            <w:pPr>
              <w:spacing w:line="0" w:lineRule="atLeast"/>
              <w:ind w:left="100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  <w:r>
              <w:rPr>
                <w:rFonts w:asciiTheme="minorHAnsi" w:eastAsia="Times New Roman" w:hAnsiTheme="minorHAnsi" w:cs="Times New Roman"/>
                <w:sz w:val="20"/>
              </w:rPr>
              <w:t>CACCACTGAAATAACCTATCATTTGTC</w:t>
            </w:r>
            <w:r w:rsidRPr="00C666A4">
              <w:rPr>
                <w:rFonts w:asciiTheme="minorHAnsi" w:eastAsia="Times New Roman" w:hAnsiTheme="minorHAnsi"/>
                <w:sz w:val="20"/>
                <w:highlight w:val="yellow"/>
                <w:shd w:val="clear" w:color="auto" w:fill="F2F2F2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5641" w:rsidRPr="00C666A4" w:rsidRDefault="00BC5641" w:rsidP="00775422">
            <w:pPr>
              <w:keepNext/>
              <w:spacing w:line="240" w:lineRule="auto"/>
              <w:rPr>
                <w:rFonts w:asciiTheme="minorHAnsi" w:eastAsia="Times New Roman" w:hAnsiTheme="minorHAnsi" w:cs="Times New Roman"/>
                <w:sz w:val="20"/>
                <w:highlight w:val="yellow"/>
              </w:rPr>
            </w:pPr>
          </w:p>
        </w:tc>
      </w:tr>
    </w:tbl>
    <w:p w:rsidR="00BC5641" w:rsidRDefault="00BC5641" w:rsidP="00BC5641">
      <w:pPr>
        <w:spacing w:line="480" w:lineRule="auto"/>
        <w:rPr>
          <w:rFonts w:asciiTheme="minorHAnsi" w:hAnsiTheme="minorHAnsi"/>
          <w:szCs w:val="22"/>
        </w:rPr>
      </w:pPr>
    </w:p>
    <w:sectPr w:rsidR="00BC5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sie">
    <w15:presenceInfo w15:providerId="None" w15:userId="Jos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C6"/>
    <w:rsid w:val="000E636B"/>
    <w:rsid w:val="001E465C"/>
    <w:rsid w:val="001F0412"/>
    <w:rsid w:val="0029488E"/>
    <w:rsid w:val="00384BAF"/>
    <w:rsid w:val="003B723B"/>
    <w:rsid w:val="0040719F"/>
    <w:rsid w:val="004E41E4"/>
    <w:rsid w:val="004E4D9A"/>
    <w:rsid w:val="00577836"/>
    <w:rsid w:val="00670CDC"/>
    <w:rsid w:val="006D193D"/>
    <w:rsid w:val="00775422"/>
    <w:rsid w:val="00A355C6"/>
    <w:rsid w:val="00A44EC3"/>
    <w:rsid w:val="00BC0D57"/>
    <w:rsid w:val="00BC5641"/>
    <w:rsid w:val="00BD34A8"/>
    <w:rsid w:val="00BF4291"/>
    <w:rsid w:val="00C25017"/>
    <w:rsid w:val="00C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55C6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384BAF"/>
  </w:style>
  <w:style w:type="character" w:styleId="Hyperlink">
    <w:name w:val="Hyperlink"/>
    <w:basedOn w:val="DefaultParagraphFont"/>
    <w:uiPriority w:val="99"/>
    <w:semiHidden/>
    <w:unhideWhenUsed/>
    <w:rsid w:val="00577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55C6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384BAF"/>
  </w:style>
  <w:style w:type="character" w:styleId="Hyperlink">
    <w:name w:val="Hyperlink"/>
    <w:basedOn w:val="DefaultParagraphFont"/>
    <w:uiPriority w:val="99"/>
    <w:semiHidden/>
    <w:unhideWhenUsed/>
    <w:rsid w:val="00577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74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13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0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4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4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8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0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9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zsl.org/owa/redir.aspx?SURL=I-2rrrE9IEmlWyV7eBLqPfF88vwomj0sCWOl5vUWblpWz8PodbDTCGgAdAB0AHAAOgAvAC8AdwB3AHcALgBnAGUAbgBlAGMAbwBkAGUAcwAuAGMAbwBtAA..&amp;URL=http%3a%2f%2fwww.genecod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Hudson</dc:creator>
  <cp:lastModifiedBy>Michael Hudson</cp:lastModifiedBy>
  <cp:revision>2</cp:revision>
  <cp:lastPrinted>2016-06-21T11:12:00Z</cp:lastPrinted>
  <dcterms:created xsi:type="dcterms:W3CDTF">2016-07-20T08:48:00Z</dcterms:created>
  <dcterms:modified xsi:type="dcterms:W3CDTF">2016-07-20T08:48:00Z</dcterms:modified>
</cp:coreProperties>
</file>