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283" w:rsidRPr="00F638FD" w:rsidRDefault="00A334B4" w:rsidP="002205E0">
      <w:pPr>
        <w:spacing w:after="0" w:line="360" w:lineRule="auto"/>
      </w:pPr>
      <w:r w:rsidRPr="00F638FD">
        <w:t>Title</w:t>
      </w:r>
    </w:p>
    <w:p w:rsidR="00003283" w:rsidRPr="0004620F" w:rsidRDefault="009C5873" w:rsidP="002205E0">
      <w:pPr>
        <w:spacing w:after="0" w:line="360" w:lineRule="auto"/>
        <w:rPr>
          <w:b/>
        </w:rPr>
      </w:pPr>
      <w:r w:rsidRPr="0004620F">
        <w:rPr>
          <w:b/>
        </w:rPr>
        <w:t>Integration, influence and change in p</w:t>
      </w:r>
      <w:r w:rsidR="00004232" w:rsidRPr="0004620F">
        <w:rPr>
          <w:b/>
        </w:rPr>
        <w:t xml:space="preserve">ublic health: </w:t>
      </w:r>
      <w:r w:rsidRPr="0004620F">
        <w:rPr>
          <w:b/>
        </w:rPr>
        <w:t>findings from a survey of Directors of Public Health</w:t>
      </w:r>
      <w:r w:rsidR="008F5147" w:rsidRPr="0004620F">
        <w:rPr>
          <w:b/>
        </w:rPr>
        <w:t xml:space="preserve"> in England</w:t>
      </w:r>
      <w:r w:rsidRPr="0004620F">
        <w:rPr>
          <w:b/>
        </w:rPr>
        <w:t xml:space="preserve">. </w:t>
      </w:r>
    </w:p>
    <w:p w:rsidR="00482CCB" w:rsidRPr="009A0348" w:rsidRDefault="00482CCB" w:rsidP="002205E0">
      <w:pPr>
        <w:spacing w:after="0" w:line="360" w:lineRule="auto"/>
      </w:pPr>
    </w:p>
    <w:p w:rsidR="00004232" w:rsidRPr="00F638FD" w:rsidRDefault="00A334B4" w:rsidP="002205E0">
      <w:pPr>
        <w:spacing w:after="0" w:line="360" w:lineRule="auto"/>
      </w:pPr>
      <w:r w:rsidRPr="00F638FD">
        <w:t>Authors</w:t>
      </w:r>
    </w:p>
    <w:p w:rsidR="002A0128" w:rsidRPr="008E1F76" w:rsidRDefault="002A0128" w:rsidP="002205E0">
      <w:pPr>
        <w:spacing w:after="0" w:line="360" w:lineRule="auto"/>
      </w:pPr>
      <w:r w:rsidRPr="008E1F76">
        <w:t>L. M. Jenkins, Public Health Specialist, Centre for Health Services Studies, University of Kent, Canterbury CT2 7NF, UK</w:t>
      </w:r>
    </w:p>
    <w:p w:rsidR="002A0128" w:rsidRPr="008E1F76" w:rsidRDefault="00352499" w:rsidP="002205E0">
      <w:pPr>
        <w:spacing w:after="0" w:line="360" w:lineRule="auto"/>
      </w:pPr>
      <w:r>
        <w:t xml:space="preserve">Dr </w:t>
      </w:r>
      <w:r w:rsidR="002A0128" w:rsidRPr="008E1F76">
        <w:t xml:space="preserve">D. </w:t>
      </w:r>
      <w:proofErr w:type="spellStart"/>
      <w:r w:rsidR="002A0128" w:rsidRPr="008E1F76">
        <w:t>Bramwell</w:t>
      </w:r>
      <w:proofErr w:type="spellEnd"/>
      <w:r w:rsidR="002A0128" w:rsidRPr="008E1F76">
        <w:t xml:space="preserve">, </w:t>
      </w:r>
      <w:r w:rsidR="002205E0">
        <w:t xml:space="preserve">Research Associate, </w:t>
      </w:r>
      <w:r w:rsidR="002A0128" w:rsidRPr="008E1F76">
        <w:t>Centre for Primary Care, University of Manchester, Manchester M13 9PL, UK</w:t>
      </w:r>
    </w:p>
    <w:p w:rsidR="002A0128" w:rsidRPr="008E1F76" w:rsidRDefault="00352499" w:rsidP="002205E0">
      <w:pPr>
        <w:spacing w:after="0" w:line="360" w:lineRule="auto"/>
      </w:pPr>
      <w:r>
        <w:t xml:space="preserve">Dr </w:t>
      </w:r>
      <w:r w:rsidR="002A0128" w:rsidRPr="008E1F76">
        <w:t xml:space="preserve">A. Coleman, </w:t>
      </w:r>
      <w:r w:rsidR="002205E0">
        <w:t xml:space="preserve">Research Fellow, </w:t>
      </w:r>
      <w:r w:rsidR="002A0128" w:rsidRPr="008E1F76">
        <w:t>Centre for Primary Care, University of Manchester, Manchester M13 9PL, UK</w:t>
      </w:r>
    </w:p>
    <w:p w:rsidR="002A0128" w:rsidRPr="008E1F76" w:rsidRDefault="00352499" w:rsidP="002205E0">
      <w:pPr>
        <w:spacing w:after="0" w:line="360" w:lineRule="auto"/>
      </w:pPr>
      <w:r>
        <w:t xml:space="preserve">Dr </w:t>
      </w:r>
      <w:r w:rsidR="002A0128" w:rsidRPr="008E1F76">
        <w:t>E</w:t>
      </w:r>
      <w:r w:rsidR="002A0128">
        <w:t>. W</w:t>
      </w:r>
      <w:r w:rsidR="002A0128" w:rsidRPr="008E1F76">
        <w:t xml:space="preserve">. Gadsby, </w:t>
      </w:r>
      <w:r w:rsidR="002205E0">
        <w:t xml:space="preserve">Research Fellow, </w:t>
      </w:r>
      <w:r w:rsidR="002A0128" w:rsidRPr="008E1F76">
        <w:t>Centre for Health Services Studies, University of Kent, Canterbury CT2 7NF, UK</w:t>
      </w:r>
    </w:p>
    <w:p w:rsidR="002A0128" w:rsidRPr="008E1F76" w:rsidRDefault="00352499" w:rsidP="002205E0">
      <w:pPr>
        <w:spacing w:after="0" w:line="360" w:lineRule="auto"/>
      </w:pPr>
      <w:r>
        <w:t xml:space="preserve">Professor </w:t>
      </w:r>
      <w:r w:rsidR="002A0128" w:rsidRPr="008E1F76">
        <w:t xml:space="preserve">S. Peckham, </w:t>
      </w:r>
      <w:proofErr w:type="gramStart"/>
      <w:r w:rsidR="002205E0">
        <w:t>Director &amp;</w:t>
      </w:r>
      <w:proofErr w:type="gramEnd"/>
      <w:r w:rsidR="002205E0">
        <w:t xml:space="preserve"> Professor of Health Policy, </w:t>
      </w:r>
      <w:r w:rsidR="002A0128" w:rsidRPr="008E1F76">
        <w:t>Centre for Health Services Studies, University of Kent, Canterbury CT2 7NF, UK</w:t>
      </w:r>
    </w:p>
    <w:p w:rsidR="002A0128" w:rsidRPr="008E1F76" w:rsidRDefault="002A0128" w:rsidP="002205E0">
      <w:pPr>
        <w:spacing w:after="0" w:line="360" w:lineRule="auto"/>
      </w:pPr>
      <w:r w:rsidRPr="008E1F76">
        <w:t xml:space="preserve">N. Perkins, </w:t>
      </w:r>
      <w:r w:rsidR="002205E0">
        <w:t xml:space="preserve">Research Associate, </w:t>
      </w:r>
      <w:r w:rsidRPr="008E1F76">
        <w:t>Centre for Primary Care, University of Manchester, Manchester M13 9PL, UK</w:t>
      </w:r>
    </w:p>
    <w:p w:rsidR="002A0128" w:rsidRPr="008E1F76" w:rsidRDefault="00352499" w:rsidP="002205E0">
      <w:pPr>
        <w:spacing w:after="0" w:line="360" w:lineRule="auto"/>
      </w:pPr>
      <w:r>
        <w:t xml:space="preserve">Dr </w:t>
      </w:r>
      <w:r w:rsidR="002A0128" w:rsidRPr="008E1F76">
        <w:t xml:space="preserve">J. Segar, </w:t>
      </w:r>
      <w:r w:rsidR="002205E0">
        <w:t xml:space="preserve">Research Fellow, </w:t>
      </w:r>
      <w:r w:rsidR="002A0128" w:rsidRPr="008E1F76">
        <w:t>Centre for Primary Care, University of Manchester, Manchester M13 9PL, UK</w:t>
      </w:r>
    </w:p>
    <w:p w:rsidR="004A010E" w:rsidRPr="009A0348" w:rsidRDefault="004A010E" w:rsidP="002205E0">
      <w:pPr>
        <w:spacing w:after="0" w:line="360" w:lineRule="auto"/>
      </w:pPr>
    </w:p>
    <w:p w:rsidR="0092563D" w:rsidRPr="009A0348" w:rsidRDefault="0092563D" w:rsidP="002205E0">
      <w:pPr>
        <w:spacing w:after="0" w:line="360" w:lineRule="auto"/>
      </w:pPr>
      <w:r w:rsidRPr="009A0348">
        <w:t>Corresponding author</w:t>
      </w:r>
    </w:p>
    <w:p w:rsidR="004A010E" w:rsidRPr="009A0348" w:rsidRDefault="002A0128" w:rsidP="002205E0">
      <w:pPr>
        <w:spacing w:after="0" w:line="360" w:lineRule="auto"/>
      </w:pPr>
      <w:r>
        <w:t>L</w:t>
      </w:r>
      <w:r w:rsidR="00352499">
        <w:t xml:space="preserve">inda </w:t>
      </w:r>
      <w:r>
        <w:t>J</w:t>
      </w:r>
      <w:r w:rsidR="00352499">
        <w:t>enkins l.m.jenkins@kent.ac.uk</w:t>
      </w:r>
    </w:p>
    <w:p w:rsidR="0004620F" w:rsidRDefault="0004620F" w:rsidP="002205E0">
      <w:pPr>
        <w:spacing w:after="0" w:line="360" w:lineRule="auto"/>
      </w:pPr>
    </w:p>
    <w:p w:rsidR="0004620F" w:rsidRPr="0004620F" w:rsidRDefault="0004620F" w:rsidP="002205E0">
      <w:pPr>
        <w:spacing w:after="0" w:line="360" w:lineRule="auto"/>
        <w:rPr>
          <w:b/>
          <w:sz w:val="17"/>
          <w:szCs w:val="17"/>
        </w:rPr>
      </w:pPr>
      <w:r w:rsidRPr="0004620F">
        <w:rPr>
          <w:b/>
          <w:sz w:val="17"/>
          <w:szCs w:val="17"/>
        </w:rPr>
        <w:t>Published in Journal of Public Health 26 October 2015</w:t>
      </w:r>
    </w:p>
    <w:p w:rsidR="0004620F" w:rsidRPr="0004620F" w:rsidRDefault="0004620F" w:rsidP="0004620F">
      <w:pPr>
        <w:pStyle w:val="main"/>
        <w:rPr>
          <w:rFonts w:asciiTheme="minorHAnsi" w:hAnsiTheme="minorHAnsi"/>
          <w:b/>
          <w:bCs/>
          <w:color w:val="000000"/>
        </w:rPr>
      </w:pPr>
      <w:r w:rsidRPr="0004620F">
        <w:rPr>
          <w:rFonts w:asciiTheme="minorHAnsi" w:hAnsiTheme="minorHAnsi"/>
          <w:b/>
          <w:bCs/>
          <w:color w:val="000000"/>
        </w:rPr>
        <w:t>Abstract:</w:t>
      </w:r>
    </w:p>
    <w:p w:rsidR="0004620F" w:rsidRPr="0004620F" w:rsidRDefault="0004620F" w:rsidP="0004620F">
      <w:pPr>
        <w:pStyle w:val="main"/>
        <w:rPr>
          <w:rFonts w:asciiTheme="minorHAnsi" w:hAnsiTheme="minorHAnsi"/>
        </w:rPr>
      </w:pPr>
      <w:hyperlink r:id="rId9" w:tgtFrame="_blank" w:history="1">
        <w:r w:rsidRPr="0004620F">
          <w:rPr>
            <w:rStyle w:val="Hyperlink"/>
            <w:rFonts w:asciiTheme="minorHAnsi" w:hAnsiTheme="minorHAnsi"/>
          </w:rPr>
          <w:t>http://jpubhealth.oxfordjournals.org/cgi/content/abstract/fdv139?</w:t>
        </w:r>
        <w:r w:rsidRPr="0004620F">
          <w:rPr>
            <w:rFonts w:asciiTheme="minorHAnsi" w:hAnsiTheme="minorHAnsi"/>
            <w:color w:val="0000FF"/>
            <w:u w:val="single"/>
          </w:rPr>
          <w:br/>
        </w:r>
        <w:proofErr w:type="spellStart"/>
        <w:r w:rsidRPr="0004620F">
          <w:rPr>
            <w:rStyle w:val="Hyperlink"/>
            <w:rFonts w:asciiTheme="minorHAnsi" w:hAnsiTheme="minorHAnsi"/>
          </w:rPr>
          <w:t>ijkey</w:t>
        </w:r>
        <w:proofErr w:type="spellEnd"/>
        <w:r w:rsidRPr="0004620F">
          <w:rPr>
            <w:rStyle w:val="Hyperlink"/>
            <w:rFonts w:asciiTheme="minorHAnsi" w:hAnsiTheme="minorHAnsi"/>
          </w:rPr>
          <w:t xml:space="preserve">=xZT86neru7XDMuF&amp;keytype=ref </w:t>
        </w:r>
      </w:hyperlink>
    </w:p>
    <w:p w:rsidR="0004620F" w:rsidRPr="0004620F" w:rsidRDefault="0004620F" w:rsidP="0004620F">
      <w:pPr>
        <w:spacing w:before="120" w:line="240" w:lineRule="atLeast"/>
        <w:rPr>
          <w:sz w:val="17"/>
          <w:szCs w:val="17"/>
        </w:rPr>
      </w:pPr>
      <w:r w:rsidRPr="0004620F">
        <w:rPr>
          <w:b/>
          <w:bCs/>
          <w:color w:val="000000"/>
          <w:sz w:val="17"/>
          <w:szCs w:val="17"/>
        </w:rPr>
        <w:t>Full Text:</w:t>
      </w:r>
      <w:bookmarkStart w:id="0" w:name="_GoBack"/>
      <w:bookmarkEnd w:id="0"/>
    </w:p>
    <w:p w:rsidR="0004620F" w:rsidRPr="0004620F" w:rsidRDefault="0004620F" w:rsidP="0004620F">
      <w:pPr>
        <w:pStyle w:val="main"/>
        <w:rPr>
          <w:rFonts w:asciiTheme="minorHAnsi" w:hAnsiTheme="minorHAnsi"/>
        </w:rPr>
      </w:pPr>
      <w:hyperlink r:id="rId10" w:tgtFrame="_blank" w:history="1">
        <w:r w:rsidRPr="0004620F">
          <w:rPr>
            <w:rStyle w:val="Hyperlink"/>
            <w:rFonts w:asciiTheme="minorHAnsi" w:hAnsiTheme="minorHAnsi"/>
          </w:rPr>
          <w:t>http://jpubhealth.oxfordjournals.org/cgi/content/full/fdv139?</w:t>
        </w:r>
        <w:r w:rsidRPr="0004620F">
          <w:rPr>
            <w:rFonts w:asciiTheme="minorHAnsi" w:hAnsiTheme="minorHAnsi"/>
            <w:color w:val="0000FF"/>
            <w:u w:val="single"/>
          </w:rPr>
          <w:br/>
        </w:r>
        <w:proofErr w:type="spellStart"/>
        <w:r w:rsidRPr="0004620F">
          <w:rPr>
            <w:rStyle w:val="Hyperlink"/>
            <w:rFonts w:asciiTheme="minorHAnsi" w:hAnsiTheme="minorHAnsi"/>
          </w:rPr>
          <w:t>ijkey</w:t>
        </w:r>
        <w:proofErr w:type="spellEnd"/>
        <w:r w:rsidRPr="0004620F">
          <w:rPr>
            <w:rStyle w:val="Hyperlink"/>
            <w:rFonts w:asciiTheme="minorHAnsi" w:hAnsiTheme="minorHAnsi"/>
          </w:rPr>
          <w:t xml:space="preserve">=xZT86neru7XDMuF&amp;keytype=ref </w:t>
        </w:r>
      </w:hyperlink>
    </w:p>
    <w:p w:rsidR="0004620F" w:rsidRPr="0004620F" w:rsidRDefault="0004620F" w:rsidP="0004620F">
      <w:pPr>
        <w:spacing w:before="120" w:line="240" w:lineRule="atLeast"/>
        <w:rPr>
          <w:sz w:val="17"/>
          <w:szCs w:val="17"/>
        </w:rPr>
      </w:pPr>
      <w:r w:rsidRPr="0004620F">
        <w:rPr>
          <w:b/>
          <w:bCs/>
          <w:color w:val="000000"/>
          <w:sz w:val="17"/>
          <w:szCs w:val="17"/>
        </w:rPr>
        <w:t>PDF:</w:t>
      </w:r>
    </w:p>
    <w:p w:rsidR="002C69D1" w:rsidRPr="002C69D1" w:rsidRDefault="002C69D1" w:rsidP="0004620F">
      <w:pPr>
        <w:spacing w:before="120" w:line="240" w:lineRule="atLeast"/>
        <w:rPr>
          <w:sz w:val="17"/>
          <w:szCs w:val="17"/>
        </w:rPr>
      </w:pPr>
      <w:hyperlink r:id="rId11" w:tgtFrame="_blank" w:history="1">
        <w:r w:rsidRPr="002C69D1">
          <w:rPr>
            <w:rStyle w:val="Hyperlink"/>
            <w:sz w:val="17"/>
            <w:szCs w:val="17"/>
          </w:rPr>
          <w:t>http://jpubhealth.oxfordjournals.org/cgi/reprint/fdv139?</w:t>
        </w:r>
        <w:r w:rsidRPr="002C69D1">
          <w:rPr>
            <w:color w:val="0000FF"/>
            <w:sz w:val="17"/>
            <w:szCs w:val="17"/>
            <w:u w:val="single"/>
          </w:rPr>
          <w:br/>
        </w:r>
        <w:proofErr w:type="spellStart"/>
        <w:r w:rsidRPr="002C69D1">
          <w:rPr>
            <w:rStyle w:val="Hyperlink"/>
            <w:sz w:val="17"/>
            <w:szCs w:val="17"/>
          </w:rPr>
          <w:t>ijkey</w:t>
        </w:r>
        <w:proofErr w:type="spellEnd"/>
        <w:r w:rsidRPr="002C69D1">
          <w:rPr>
            <w:rStyle w:val="Hyperlink"/>
            <w:sz w:val="17"/>
            <w:szCs w:val="17"/>
          </w:rPr>
          <w:t xml:space="preserve">=xZT86neru7XDMuF&amp;keytype=ref </w:t>
        </w:r>
      </w:hyperlink>
    </w:p>
    <w:p w:rsidR="0004620F" w:rsidRPr="0004620F" w:rsidRDefault="0004620F" w:rsidP="0004620F">
      <w:pPr>
        <w:spacing w:before="120" w:line="240" w:lineRule="atLeast"/>
        <w:rPr>
          <w:b/>
          <w:sz w:val="17"/>
          <w:szCs w:val="17"/>
        </w:rPr>
      </w:pPr>
      <w:r w:rsidRPr="0004620F">
        <w:rPr>
          <w:b/>
          <w:sz w:val="17"/>
          <w:szCs w:val="17"/>
        </w:rPr>
        <w:t>Full citation is:</w:t>
      </w:r>
    </w:p>
    <w:p w:rsidR="00352499" w:rsidRDefault="0004620F" w:rsidP="0004620F">
      <w:pPr>
        <w:spacing w:before="120" w:line="240" w:lineRule="atLeast"/>
      </w:pPr>
      <w:r w:rsidRPr="0004620F">
        <w:rPr>
          <w:rStyle w:val="Emphasis"/>
          <w:sz w:val="17"/>
          <w:szCs w:val="17"/>
        </w:rPr>
        <w:t>Integration, influence and change in public health: findings from a survey of Directors of Public Health in England</w:t>
      </w:r>
      <w:r w:rsidRPr="0004620F">
        <w:rPr>
          <w:rStyle w:val="Emphasis"/>
          <w:sz w:val="17"/>
          <w:szCs w:val="17"/>
        </w:rPr>
        <w:t xml:space="preserve">. </w:t>
      </w:r>
      <w:r w:rsidRPr="0004620F">
        <w:rPr>
          <w:sz w:val="17"/>
          <w:szCs w:val="17"/>
        </w:rPr>
        <w:t xml:space="preserve">L.M. Jenkins; D. </w:t>
      </w:r>
      <w:proofErr w:type="spellStart"/>
      <w:r w:rsidRPr="0004620F">
        <w:rPr>
          <w:sz w:val="17"/>
          <w:szCs w:val="17"/>
        </w:rPr>
        <w:t>Bramwell</w:t>
      </w:r>
      <w:proofErr w:type="spellEnd"/>
      <w:r w:rsidRPr="0004620F">
        <w:rPr>
          <w:sz w:val="17"/>
          <w:szCs w:val="17"/>
        </w:rPr>
        <w:t xml:space="preserve">; A. Coleman; E.W. </w:t>
      </w:r>
      <w:proofErr w:type="spellStart"/>
      <w:r w:rsidRPr="0004620F">
        <w:rPr>
          <w:sz w:val="17"/>
          <w:szCs w:val="17"/>
        </w:rPr>
        <w:t>Gadsby</w:t>
      </w:r>
      <w:proofErr w:type="spellEnd"/>
      <w:r w:rsidRPr="0004620F">
        <w:rPr>
          <w:sz w:val="17"/>
          <w:szCs w:val="17"/>
        </w:rPr>
        <w:t>; S. Peckham; N. Perkins; J. Segar</w:t>
      </w:r>
      <w:r w:rsidRPr="0004620F">
        <w:rPr>
          <w:sz w:val="17"/>
          <w:szCs w:val="17"/>
        </w:rPr>
        <w:t xml:space="preserve">. </w:t>
      </w:r>
      <w:r w:rsidRPr="0004620F">
        <w:rPr>
          <w:sz w:val="17"/>
          <w:szCs w:val="17"/>
        </w:rPr>
        <w:t>Journal of Public Health 2015;</w:t>
      </w:r>
      <w:r w:rsidRPr="0004620F">
        <w:rPr>
          <w:sz w:val="17"/>
          <w:szCs w:val="17"/>
        </w:rPr>
        <w:t xml:space="preserve"> </w:t>
      </w:r>
      <w:proofErr w:type="spellStart"/>
      <w:r w:rsidRPr="0004620F">
        <w:rPr>
          <w:sz w:val="17"/>
          <w:szCs w:val="17"/>
        </w:rPr>
        <w:t>doi</w:t>
      </w:r>
      <w:proofErr w:type="spellEnd"/>
      <w:r w:rsidRPr="0004620F">
        <w:rPr>
          <w:sz w:val="17"/>
          <w:szCs w:val="17"/>
        </w:rPr>
        <w:t>: 10.1093/</w:t>
      </w:r>
      <w:proofErr w:type="spellStart"/>
      <w:r w:rsidRPr="0004620F">
        <w:rPr>
          <w:sz w:val="17"/>
          <w:szCs w:val="17"/>
        </w:rPr>
        <w:t>pubmed</w:t>
      </w:r>
      <w:proofErr w:type="spellEnd"/>
      <w:r w:rsidRPr="0004620F">
        <w:rPr>
          <w:sz w:val="17"/>
          <w:szCs w:val="17"/>
        </w:rPr>
        <w:t>/fdv139</w:t>
      </w:r>
      <w:r w:rsidR="00352499">
        <w:br w:type="page"/>
      </w:r>
    </w:p>
    <w:p w:rsidR="00482CCB" w:rsidRPr="00F638FD" w:rsidRDefault="00A334B4" w:rsidP="00352499">
      <w:pPr>
        <w:spacing w:after="0" w:line="360" w:lineRule="auto"/>
      </w:pPr>
      <w:r w:rsidRPr="00F638FD">
        <w:lastRenderedPageBreak/>
        <w:t>Abstract</w:t>
      </w:r>
    </w:p>
    <w:p w:rsidR="002A0128" w:rsidRPr="008E1F76" w:rsidRDefault="002A0128" w:rsidP="00352499">
      <w:pPr>
        <w:spacing w:after="0" w:line="360" w:lineRule="auto"/>
      </w:pPr>
      <w:r w:rsidRPr="008E1F76">
        <w:t>Background</w:t>
      </w:r>
    </w:p>
    <w:p w:rsidR="002A0128" w:rsidRPr="008E1F76" w:rsidRDefault="002A0128" w:rsidP="00352499">
      <w:pPr>
        <w:spacing w:after="0" w:line="360" w:lineRule="auto"/>
      </w:pPr>
      <w:r>
        <w:rPr>
          <w:rFonts w:cs="Arial"/>
        </w:rPr>
        <w:t xml:space="preserve">Following </w:t>
      </w:r>
      <w:r w:rsidRPr="008E1F76">
        <w:rPr>
          <w:rFonts w:cs="Arial"/>
        </w:rPr>
        <w:t xml:space="preserve">the Health and Social Care Act </w:t>
      </w:r>
      <w:r>
        <w:rPr>
          <w:rFonts w:cs="Arial"/>
        </w:rPr>
        <w:t>in England</w:t>
      </w:r>
      <w:r w:rsidRPr="008E1F76">
        <w:rPr>
          <w:rFonts w:cs="Arial"/>
        </w:rPr>
        <w:t xml:space="preserve">, public health teams </w:t>
      </w:r>
      <w:r>
        <w:rPr>
          <w:rFonts w:cs="Arial"/>
        </w:rPr>
        <w:t xml:space="preserve">were formally transferred </w:t>
      </w:r>
      <w:r w:rsidRPr="008E1F76">
        <w:rPr>
          <w:rFonts w:cs="Arial"/>
        </w:rPr>
        <w:t>from the NHS to local authorities</w:t>
      </w:r>
      <w:r>
        <w:rPr>
          <w:rFonts w:cs="Arial"/>
        </w:rPr>
        <w:t xml:space="preserve"> in April 2013</w:t>
      </w:r>
      <w:r w:rsidRPr="008E1F76">
        <w:rPr>
          <w:rFonts w:cs="Arial"/>
        </w:rPr>
        <w:t xml:space="preserve">. </w:t>
      </w:r>
    </w:p>
    <w:p w:rsidR="002A0128" w:rsidRPr="008E1F76" w:rsidRDefault="002A0128" w:rsidP="00352499">
      <w:pPr>
        <w:spacing w:after="0" w:line="360" w:lineRule="auto"/>
      </w:pPr>
      <w:r w:rsidRPr="008E1F76">
        <w:t>Methods</w:t>
      </w:r>
    </w:p>
    <w:p w:rsidR="002A0128" w:rsidRPr="008E1F76" w:rsidRDefault="002A0128" w:rsidP="00352499">
      <w:pPr>
        <w:spacing w:after="0" w:line="360" w:lineRule="auto"/>
      </w:pPr>
      <w:r w:rsidRPr="008E1F76">
        <w:t xml:space="preserve">Online survey of Directors of Public Health </w:t>
      </w:r>
      <w:r>
        <w:t>(</w:t>
      </w:r>
      <w:proofErr w:type="spellStart"/>
      <w:r>
        <w:t>DsPH</w:t>
      </w:r>
      <w:proofErr w:type="spellEnd"/>
      <w:r>
        <w:t xml:space="preserve">) </w:t>
      </w:r>
      <w:r w:rsidRPr="008E1F76">
        <w:t xml:space="preserve">in </w:t>
      </w:r>
      <w:r>
        <w:t xml:space="preserve">local authorities </w:t>
      </w:r>
      <w:r w:rsidRPr="008E1F76">
        <w:t>in England (N=152) to investigate the</w:t>
      </w:r>
      <w:r>
        <w:t>ir</w:t>
      </w:r>
      <w:r w:rsidRPr="008E1F76">
        <w:t xml:space="preserve"> experience within local government one year on.  Tests of association </w:t>
      </w:r>
      <w:r>
        <w:t xml:space="preserve">were used </w:t>
      </w:r>
      <w:r w:rsidRPr="008E1F76">
        <w:t xml:space="preserve">to explore relationships between the </w:t>
      </w:r>
      <w:r w:rsidR="004049CB">
        <w:t xml:space="preserve">perceived integration and </w:t>
      </w:r>
      <w:r w:rsidRPr="008E1F76">
        <w:t xml:space="preserve">influence of public health, </w:t>
      </w:r>
      <w:r w:rsidR="004049CB">
        <w:t xml:space="preserve">and </w:t>
      </w:r>
      <w:r w:rsidRPr="008E1F76">
        <w:t xml:space="preserve">changes in how </w:t>
      </w:r>
      <w:r w:rsidR="004B6F89">
        <w:t xml:space="preserve">the public health </w:t>
      </w:r>
      <w:r w:rsidRPr="008E1F76">
        <w:t>budget was being spent.</w:t>
      </w:r>
    </w:p>
    <w:p w:rsidR="002A0128" w:rsidRPr="008E1F76" w:rsidRDefault="002A0128" w:rsidP="00352499">
      <w:pPr>
        <w:spacing w:after="0" w:line="360" w:lineRule="auto"/>
      </w:pPr>
      <w:r w:rsidRPr="008E1F76">
        <w:t>Results</w:t>
      </w:r>
    </w:p>
    <w:p w:rsidR="002A0128" w:rsidRPr="008E1F76" w:rsidRDefault="002A0128" w:rsidP="00352499">
      <w:pPr>
        <w:spacing w:after="0" w:line="360" w:lineRule="auto"/>
      </w:pPr>
      <w:r>
        <w:t>The organisation of and managerial arrangements for p</w:t>
      </w:r>
      <w:r w:rsidRPr="008E1F76">
        <w:t xml:space="preserve">ublic health </w:t>
      </w:r>
      <w:r>
        <w:t>within councils varied</w:t>
      </w:r>
      <w:r w:rsidRPr="008E1F76">
        <w:t xml:space="preserve">.  </w:t>
      </w:r>
      <w:r>
        <w:t>M</w:t>
      </w:r>
      <w:r w:rsidRPr="008E1F76">
        <w:t xml:space="preserve">ost </w:t>
      </w:r>
      <w:proofErr w:type="spellStart"/>
      <w:r w:rsidRPr="008E1F76">
        <w:t>DsPH</w:t>
      </w:r>
      <w:proofErr w:type="spellEnd"/>
      <w:r>
        <w:t xml:space="preserve"> felt</w:t>
      </w:r>
      <w:r w:rsidRPr="008E1F76">
        <w:t xml:space="preserve"> good relationships had been established within the </w:t>
      </w:r>
      <w:r>
        <w:t>council</w:t>
      </w:r>
      <w:r w:rsidRPr="008E1F76">
        <w:t>, and the move had made them more able to influence priorities for health improvement, even though most felt their influence was limited.  Changes to commissioning using the public health budget were already widespread and included the de-commissioning of services.</w:t>
      </w:r>
    </w:p>
    <w:p w:rsidR="002A0128" w:rsidRPr="008E1F76" w:rsidRDefault="002A0128" w:rsidP="00352499">
      <w:pPr>
        <w:spacing w:after="0" w:line="360" w:lineRule="auto"/>
      </w:pPr>
      <w:r w:rsidRPr="008E1F76">
        <w:t>Conclusions</w:t>
      </w:r>
    </w:p>
    <w:p w:rsidR="002A0128" w:rsidRPr="008E1F76" w:rsidRDefault="002A0128" w:rsidP="00352499">
      <w:pPr>
        <w:spacing w:after="0" w:line="360" w:lineRule="auto"/>
      </w:pPr>
      <w:r w:rsidRPr="008E1F76">
        <w:t>The</w:t>
      </w:r>
      <w:r w:rsidR="004049CB">
        <w:t>re was</w:t>
      </w:r>
      <w:r w:rsidRPr="008E1F76">
        <w:t xml:space="preserve"> a widespread feeling among</w:t>
      </w:r>
      <w:r>
        <w:t>st</w:t>
      </w:r>
      <w:r w:rsidRPr="008E1F76">
        <w:t xml:space="preserve"> </w:t>
      </w:r>
      <w:proofErr w:type="spellStart"/>
      <w:r w:rsidRPr="008E1F76">
        <w:t>DsPH</w:t>
      </w:r>
      <w:proofErr w:type="spellEnd"/>
      <w:r w:rsidRPr="008E1F76">
        <w:t xml:space="preserve"> that they had greater influence since the reforms, and that this went across the local authority and beyond.  Public health’s influence was most apparent when the transfer of staff to local government had gone well, when collaborative working relationships had developed</w:t>
      </w:r>
      <w:r>
        <w:t>,</w:t>
      </w:r>
      <w:r w:rsidRPr="008E1F76">
        <w:t xml:space="preserve"> and </w:t>
      </w:r>
      <w:r>
        <w:t xml:space="preserve">when local partnership groups </w:t>
      </w:r>
      <w:r w:rsidRPr="008E1F76">
        <w:t>were seen as being effective.</w:t>
      </w:r>
    </w:p>
    <w:p w:rsidR="0092563D" w:rsidRPr="00F638FD" w:rsidRDefault="00A334B4" w:rsidP="002205E0">
      <w:pPr>
        <w:spacing w:after="0" w:line="360" w:lineRule="auto"/>
      </w:pPr>
      <w:r w:rsidRPr="00F638FD">
        <w:br w:type="page"/>
      </w:r>
    </w:p>
    <w:p w:rsidR="0029185E" w:rsidRPr="00F638FD" w:rsidRDefault="00A334B4" w:rsidP="002205E0">
      <w:pPr>
        <w:spacing w:after="0" w:line="360" w:lineRule="auto"/>
      </w:pPr>
      <w:r w:rsidRPr="00F638FD">
        <w:lastRenderedPageBreak/>
        <w:t>Background</w:t>
      </w:r>
    </w:p>
    <w:p w:rsidR="00C30A45" w:rsidRDefault="0002342A" w:rsidP="002205E0">
      <w:pPr>
        <w:spacing w:after="0" w:line="360" w:lineRule="auto"/>
        <w:rPr>
          <w:rFonts w:cs="Arial"/>
        </w:rPr>
      </w:pPr>
      <w:r w:rsidRPr="009A0348">
        <w:rPr>
          <w:rFonts w:cs="Arial"/>
        </w:rPr>
        <w:t>Significant changes were made to the English public health system a</w:t>
      </w:r>
      <w:r w:rsidR="00CA501B" w:rsidRPr="009A0348">
        <w:rPr>
          <w:rFonts w:cs="Arial"/>
        </w:rPr>
        <w:t>s part of the Health and Social Care Act 2012</w:t>
      </w:r>
      <w:r w:rsidRPr="00A43D7D">
        <w:rPr>
          <w:rFonts w:cs="Arial"/>
        </w:rPr>
        <w:t>:</w:t>
      </w:r>
      <w:r w:rsidR="00CA501B" w:rsidRPr="009A0348">
        <w:rPr>
          <w:rFonts w:cs="Arial"/>
        </w:rPr>
        <w:t xml:space="preserve"> a new national public health service (Public Health England)</w:t>
      </w:r>
      <w:r w:rsidRPr="009A0348">
        <w:rPr>
          <w:rFonts w:cs="Arial"/>
        </w:rPr>
        <w:t xml:space="preserve"> was created</w:t>
      </w:r>
      <w:r w:rsidR="00CA501B" w:rsidRPr="009A0348">
        <w:rPr>
          <w:rFonts w:cs="Arial"/>
        </w:rPr>
        <w:t xml:space="preserve">, health improvement responsibilities </w:t>
      </w:r>
      <w:r w:rsidRPr="009A0348">
        <w:rPr>
          <w:rFonts w:cs="Arial"/>
        </w:rPr>
        <w:t xml:space="preserve">were transferred </w:t>
      </w:r>
      <w:r w:rsidR="00CA501B" w:rsidRPr="009A0348">
        <w:rPr>
          <w:rFonts w:cs="Arial"/>
        </w:rPr>
        <w:t>from Primary Care Trusts to local authorities</w:t>
      </w:r>
      <w:r w:rsidRPr="009A0348">
        <w:rPr>
          <w:rFonts w:cs="Arial"/>
        </w:rPr>
        <w:t>, and a renewed emphasis was placed on the full role of NHS providers in tackling inequalities and ensuring every clinical contact counts</w:t>
      </w:r>
      <w:r w:rsidR="00CA501B" w:rsidRPr="009A0348">
        <w:rPr>
          <w:rFonts w:cs="Arial"/>
        </w:rPr>
        <w:t>.</w:t>
      </w:r>
      <w:r w:rsidR="00380572" w:rsidRPr="009A0348">
        <w:rPr>
          <w:rFonts w:cs="Arial"/>
        </w:rPr>
        <w:t xml:space="preserve"> There is now a more complex commissioning and service delivery environment, with re</w:t>
      </w:r>
      <w:r w:rsidR="00CA501B" w:rsidRPr="009A0348">
        <w:rPr>
          <w:rFonts w:cs="Arial"/>
        </w:rPr>
        <w:t>sponsibilit</w:t>
      </w:r>
      <w:r w:rsidR="00380572" w:rsidRPr="009A0348">
        <w:rPr>
          <w:rFonts w:cs="Arial"/>
        </w:rPr>
        <w:t>ies</w:t>
      </w:r>
      <w:r w:rsidR="00CA501B" w:rsidRPr="009A0348">
        <w:rPr>
          <w:rFonts w:cs="Arial"/>
        </w:rPr>
        <w:t xml:space="preserve"> split between a number of organisations.</w:t>
      </w:r>
      <w:r w:rsidR="004C61B0">
        <w:rPr>
          <w:rFonts w:cs="Arial"/>
          <w:vertAlign w:val="superscript"/>
        </w:rPr>
        <w:t>1</w:t>
      </w:r>
      <w:proofErr w:type="gramStart"/>
      <w:r w:rsidR="004C61B0">
        <w:rPr>
          <w:rFonts w:cs="Arial"/>
          <w:vertAlign w:val="superscript"/>
        </w:rPr>
        <w:t>,2</w:t>
      </w:r>
      <w:proofErr w:type="gramEnd"/>
      <w:r w:rsidR="009B5705" w:rsidRPr="009A0348">
        <w:rPr>
          <w:rFonts w:cs="Arial"/>
          <w:color w:val="000000"/>
        </w:rPr>
        <w:t xml:space="preserve"> </w:t>
      </w:r>
      <w:r w:rsidR="00380572" w:rsidRPr="009A0348">
        <w:rPr>
          <w:rFonts w:cs="Arial"/>
          <w:color w:val="000000"/>
        </w:rPr>
        <w:t>The move to embed public health within local authorities</w:t>
      </w:r>
      <w:r w:rsidR="009B5705" w:rsidRPr="009A0348">
        <w:rPr>
          <w:rFonts w:cs="Arial"/>
          <w:color w:val="000000"/>
        </w:rPr>
        <w:t xml:space="preserve"> was broadly welcomed,</w:t>
      </w:r>
      <w:r w:rsidR="004C61B0">
        <w:rPr>
          <w:rFonts w:cs="Arial"/>
          <w:color w:val="000000"/>
          <w:vertAlign w:val="superscript"/>
        </w:rPr>
        <w:t>3</w:t>
      </w:r>
      <w:r w:rsidR="009B5705" w:rsidRPr="009A0348">
        <w:rPr>
          <w:rFonts w:cs="Arial"/>
          <w:color w:val="000000"/>
        </w:rPr>
        <w:t xml:space="preserve"> </w:t>
      </w:r>
      <w:r w:rsidR="00380572" w:rsidRPr="009A0348">
        <w:rPr>
          <w:rFonts w:cs="Arial"/>
          <w:color w:val="000000"/>
        </w:rPr>
        <w:t xml:space="preserve">and </w:t>
      </w:r>
      <w:r w:rsidR="009B5705" w:rsidRPr="009A0348">
        <w:rPr>
          <w:rFonts w:cs="Arial"/>
          <w:color w:val="000000"/>
        </w:rPr>
        <w:t xml:space="preserve">justified for a variety </w:t>
      </w:r>
      <w:r w:rsidR="00380572" w:rsidRPr="009A0348">
        <w:rPr>
          <w:rFonts w:cs="Arial"/>
          <w:color w:val="000000"/>
        </w:rPr>
        <w:t xml:space="preserve">of </w:t>
      </w:r>
      <w:r w:rsidR="009B5705" w:rsidRPr="009A0348">
        <w:rPr>
          <w:rFonts w:cs="Arial"/>
          <w:color w:val="000000"/>
        </w:rPr>
        <w:t>reasons</w:t>
      </w:r>
      <w:r w:rsidR="00514BED">
        <w:rPr>
          <w:rFonts w:cs="Arial"/>
          <w:color w:val="000000"/>
        </w:rPr>
        <w:t>,</w:t>
      </w:r>
      <w:r w:rsidR="00380572" w:rsidRPr="009A0348">
        <w:rPr>
          <w:rFonts w:cs="Arial"/>
          <w:color w:val="000000"/>
        </w:rPr>
        <w:t xml:space="preserve"> </w:t>
      </w:r>
      <w:r w:rsidR="009B5705" w:rsidRPr="009A0348">
        <w:rPr>
          <w:rFonts w:cs="Arial"/>
          <w:color w:val="000000"/>
        </w:rPr>
        <w:t xml:space="preserve">including </w:t>
      </w:r>
      <w:r w:rsidR="00BE1F59">
        <w:rPr>
          <w:rFonts w:cs="Arial"/>
          <w:color w:val="000000"/>
        </w:rPr>
        <w:t xml:space="preserve">the </w:t>
      </w:r>
      <w:r w:rsidR="009B5705" w:rsidRPr="009A0348">
        <w:rPr>
          <w:rFonts w:cs="Arial"/>
          <w:color w:val="000000"/>
        </w:rPr>
        <w:t>ability to shape services to meet local needs, ability to influence the wider determinants of health and ability to tackle health inequalities, all of which are much wider than health service provision.</w:t>
      </w:r>
      <w:r w:rsidR="009B5705" w:rsidRPr="009A0348">
        <w:rPr>
          <w:rFonts w:cs="Arial"/>
        </w:rPr>
        <w:t xml:space="preserve"> </w:t>
      </w:r>
      <w:r w:rsidR="00380572" w:rsidRPr="009A0348">
        <w:rPr>
          <w:rFonts w:cs="Arial"/>
        </w:rPr>
        <w:t xml:space="preserve"> </w:t>
      </w:r>
    </w:p>
    <w:p w:rsidR="00C30A45" w:rsidRDefault="00C30A45" w:rsidP="002205E0">
      <w:pPr>
        <w:spacing w:after="0" w:line="360" w:lineRule="auto"/>
        <w:rPr>
          <w:rFonts w:cs="Arial"/>
        </w:rPr>
      </w:pPr>
    </w:p>
    <w:p w:rsidR="006E0B75" w:rsidRDefault="00C30A45" w:rsidP="002205E0">
      <w:pPr>
        <w:spacing w:after="0" w:line="360" w:lineRule="auto"/>
        <w:rPr>
          <w:rFonts w:cs="Arial"/>
        </w:rPr>
      </w:pPr>
      <w:r>
        <w:rPr>
          <w:rFonts w:cs="Arial"/>
        </w:rPr>
        <w:t>The reforms have also prompted concerns, h</w:t>
      </w:r>
      <w:r w:rsidR="009B5705" w:rsidRPr="009A0348">
        <w:rPr>
          <w:rFonts w:cs="Arial"/>
        </w:rPr>
        <w:t xml:space="preserve">owever, about the </w:t>
      </w:r>
      <w:r w:rsidR="004A7B3D">
        <w:rPr>
          <w:rFonts w:cs="Arial"/>
        </w:rPr>
        <w:t>potential loss of status</w:t>
      </w:r>
      <w:r w:rsidR="009B5705" w:rsidRPr="009A0348">
        <w:rPr>
          <w:rFonts w:cs="Arial"/>
        </w:rPr>
        <w:t xml:space="preserve"> </w:t>
      </w:r>
      <w:r w:rsidR="00EA0E48" w:rsidRPr="009A0348">
        <w:rPr>
          <w:rFonts w:cs="Arial"/>
        </w:rPr>
        <w:t xml:space="preserve">and influence </w:t>
      </w:r>
      <w:r w:rsidR="009B5705" w:rsidRPr="009A0348">
        <w:rPr>
          <w:rFonts w:cs="Arial"/>
        </w:rPr>
        <w:t>of D</w:t>
      </w:r>
      <w:r w:rsidR="00EA0E48" w:rsidRPr="009A0348">
        <w:rPr>
          <w:rFonts w:cs="Arial"/>
        </w:rPr>
        <w:t xml:space="preserve">irectors of </w:t>
      </w:r>
      <w:r w:rsidR="009B5705" w:rsidRPr="009A0348">
        <w:rPr>
          <w:rFonts w:cs="Arial"/>
        </w:rPr>
        <w:t>P</w:t>
      </w:r>
      <w:r w:rsidR="00EA0E48" w:rsidRPr="009A0348">
        <w:rPr>
          <w:rFonts w:cs="Arial"/>
        </w:rPr>
        <w:t xml:space="preserve">ublic </w:t>
      </w:r>
      <w:r w:rsidR="009B5705" w:rsidRPr="009A0348">
        <w:rPr>
          <w:rFonts w:cs="Arial"/>
        </w:rPr>
        <w:t>H</w:t>
      </w:r>
      <w:r w:rsidR="00EA0E48" w:rsidRPr="009A0348">
        <w:rPr>
          <w:rFonts w:cs="Arial"/>
        </w:rPr>
        <w:t>ealth (</w:t>
      </w:r>
      <w:proofErr w:type="spellStart"/>
      <w:r w:rsidR="00EA0E48" w:rsidRPr="009A0348">
        <w:rPr>
          <w:rFonts w:cs="Arial"/>
        </w:rPr>
        <w:t>DsPH</w:t>
      </w:r>
      <w:proofErr w:type="spellEnd"/>
      <w:r w:rsidR="00EA0E48" w:rsidRPr="009A0348">
        <w:rPr>
          <w:rFonts w:cs="Arial"/>
        </w:rPr>
        <w:t>)</w:t>
      </w:r>
      <w:r w:rsidR="004A7B3D">
        <w:rPr>
          <w:rFonts w:cs="Arial"/>
        </w:rPr>
        <w:t>, about</w:t>
      </w:r>
      <w:r w:rsidR="004077D1">
        <w:rPr>
          <w:rFonts w:cs="Arial"/>
        </w:rPr>
        <w:t xml:space="preserve"> </w:t>
      </w:r>
      <w:r w:rsidR="009B5705" w:rsidRPr="009A0348">
        <w:rPr>
          <w:rFonts w:cs="Arial"/>
        </w:rPr>
        <w:t xml:space="preserve">the impact on </w:t>
      </w:r>
      <w:r w:rsidR="00EA0E48" w:rsidRPr="009A0348">
        <w:rPr>
          <w:rFonts w:cs="Arial"/>
        </w:rPr>
        <w:t xml:space="preserve">the </w:t>
      </w:r>
      <w:r w:rsidR="009B5705" w:rsidRPr="009A0348">
        <w:rPr>
          <w:rFonts w:cs="Arial"/>
        </w:rPr>
        <w:t>public health workforce</w:t>
      </w:r>
      <w:r w:rsidR="00EA0E48" w:rsidRPr="009A0348">
        <w:rPr>
          <w:rFonts w:cs="Arial"/>
        </w:rPr>
        <w:t xml:space="preserve"> – particularly in terms of </w:t>
      </w:r>
      <w:r w:rsidR="009B5705" w:rsidRPr="009A0348">
        <w:rPr>
          <w:rFonts w:cs="Arial"/>
        </w:rPr>
        <w:t xml:space="preserve">independence </w:t>
      </w:r>
      <w:r w:rsidR="00EA0E48" w:rsidRPr="009A0348">
        <w:rPr>
          <w:rFonts w:cs="Arial"/>
        </w:rPr>
        <w:t>and fragmentation</w:t>
      </w:r>
      <w:r w:rsidR="00207E9E">
        <w:rPr>
          <w:rFonts w:cs="Arial"/>
        </w:rPr>
        <w:t xml:space="preserve"> -</w:t>
      </w:r>
      <w:r w:rsidR="00772B6A" w:rsidRPr="009A0348">
        <w:rPr>
          <w:rFonts w:cs="Arial"/>
        </w:rPr>
        <w:t xml:space="preserve"> </w:t>
      </w:r>
      <w:r w:rsidR="00EA0E48" w:rsidRPr="009A0348">
        <w:rPr>
          <w:rFonts w:cs="Arial"/>
        </w:rPr>
        <w:t>and the future of core public health functions and services within cash-strapped local government</w:t>
      </w:r>
      <w:r w:rsidR="009B5705" w:rsidRPr="009A0348">
        <w:rPr>
          <w:rFonts w:cs="Arial"/>
        </w:rPr>
        <w:t>.</w:t>
      </w:r>
      <w:r w:rsidR="004C61B0">
        <w:rPr>
          <w:rFonts w:cs="Arial"/>
          <w:vertAlign w:val="superscript"/>
        </w:rPr>
        <w:t>4</w:t>
      </w:r>
      <w:r w:rsidR="00C31407">
        <w:rPr>
          <w:rFonts w:cs="Arial"/>
          <w:vertAlign w:val="superscript"/>
        </w:rPr>
        <w:t>,5</w:t>
      </w:r>
      <w:r w:rsidR="0063663E">
        <w:rPr>
          <w:rFonts w:cs="Arial"/>
        </w:rPr>
        <w:t xml:space="preserve">  </w:t>
      </w:r>
      <w:r w:rsidR="006E0B75">
        <w:rPr>
          <w:rFonts w:cs="Arial"/>
        </w:rPr>
        <w:t>Other</w:t>
      </w:r>
      <w:r w:rsidR="000738A1">
        <w:rPr>
          <w:rFonts w:cs="Arial"/>
        </w:rPr>
        <w:t xml:space="preserve"> re</w:t>
      </w:r>
      <w:r w:rsidR="006E0B75">
        <w:rPr>
          <w:rFonts w:cs="Arial"/>
        </w:rPr>
        <w:t>s</w:t>
      </w:r>
      <w:r w:rsidR="000738A1">
        <w:rPr>
          <w:rFonts w:cs="Arial"/>
        </w:rPr>
        <w:t>earch</w:t>
      </w:r>
      <w:r w:rsidR="006E0B75">
        <w:rPr>
          <w:rFonts w:cs="Arial"/>
        </w:rPr>
        <w:t xml:space="preserve"> ha</w:t>
      </w:r>
      <w:r w:rsidR="000738A1">
        <w:rPr>
          <w:rFonts w:cs="Arial"/>
        </w:rPr>
        <w:t>s</w:t>
      </w:r>
      <w:r w:rsidR="006E0B75">
        <w:rPr>
          <w:rFonts w:cs="Arial"/>
        </w:rPr>
        <w:t xml:space="preserve"> identified the leadership skills that public health</w:t>
      </w:r>
      <w:r w:rsidR="00207E9E">
        <w:rPr>
          <w:rFonts w:cs="Arial"/>
        </w:rPr>
        <w:t xml:space="preserve"> practitioners </w:t>
      </w:r>
      <w:r w:rsidR="006E0B75">
        <w:rPr>
          <w:rFonts w:cs="Arial"/>
        </w:rPr>
        <w:t xml:space="preserve"> will need, such as </w:t>
      </w:r>
      <w:r w:rsidR="004077D1">
        <w:rPr>
          <w:rFonts w:cs="Arial"/>
        </w:rPr>
        <w:t>making effective relationships</w:t>
      </w:r>
      <w:r w:rsidR="006E0B75">
        <w:rPr>
          <w:rFonts w:cs="Arial"/>
        </w:rPr>
        <w:t xml:space="preserve"> and </w:t>
      </w:r>
      <w:r w:rsidR="004077D1">
        <w:rPr>
          <w:rFonts w:cs="Arial"/>
        </w:rPr>
        <w:t>powerful</w:t>
      </w:r>
      <w:r w:rsidR="006E0B75">
        <w:rPr>
          <w:rFonts w:cs="Arial"/>
        </w:rPr>
        <w:t xml:space="preserve"> role</w:t>
      </w:r>
      <w:r w:rsidR="004077D1">
        <w:rPr>
          <w:rFonts w:cs="Arial"/>
        </w:rPr>
        <w:t>s</w:t>
      </w:r>
      <w:r w:rsidR="006E0B75">
        <w:rPr>
          <w:rFonts w:cs="Arial"/>
        </w:rPr>
        <w:t xml:space="preserve"> within the policy/decision-making process</w:t>
      </w:r>
      <w:r w:rsidR="00C31407">
        <w:rPr>
          <w:rFonts w:cs="Arial"/>
          <w:vertAlign w:val="superscript"/>
        </w:rPr>
        <w:t>6,7</w:t>
      </w:r>
      <w:r w:rsidR="00CA75C4">
        <w:rPr>
          <w:rFonts w:cs="Arial"/>
        </w:rPr>
        <w:t>.</w:t>
      </w:r>
      <w:r w:rsidR="006E0B75">
        <w:rPr>
          <w:rFonts w:cs="Arial"/>
        </w:rPr>
        <w:t xml:space="preserve"> </w:t>
      </w:r>
      <w:r w:rsidR="00CA75C4">
        <w:rPr>
          <w:rFonts w:cs="Arial"/>
        </w:rPr>
        <w:t>Research by Willmott</w:t>
      </w:r>
      <w:r w:rsidR="00BC0FB3">
        <w:rPr>
          <w:rFonts w:cs="Arial"/>
        </w:rPr>
        <w:t xml:space="preserve"> et al</w:t>
      </w:r>
      <w:r w:rsidR="00CA75C4">
        <w:rPr>
          <w:rFonts w:cs="Arial"/>
        </w:rPr>
        <w:t xml:space="preserve"> </w:t>
      </w:r>
      <w:r w:rsidR="00060540">
        <w:rPr>
          <w:rFonts w:cs="Arial"/>
        </w:rPr>
        <w:t>found public health leaders to be aware of the need to achieve a balance between following traditional public health approaches and meet</w:t>
      </w:r>
      <w:r w:rsidR="00B70B05">
        <w:rPr>
          <w:rFonts w:cs="Arial"/>
        </w:rPr>
        <w:t>ing</w:t>
      </w:r>
      <w:r w:rsidR="00060540">
        <w:rPr>
          <w:rFonts w:cs="Arial"/>
        </w:rPr>
        <w:t xml:space="preserve"> the requirements of local politics and democratic accountability</w:t>
      </w:r>
      <w:r w:rsidR="00C31407">
        <w:rPr>
          <w:rFonts w:cs="Arial"/>
          <w:vertAlign w:val="superscript"/>
        </w:rPr>
        <w:t>8</w:t>
      </w:r>
      <w:r w:rsidR="00CA75C4">
        <w:rPr>
          <w:rFonts w:cs="Arial"/>
        </w:rPr>
        <w:t>.</w:t>
      </w:r>
      <w:r w:rsidR="000738A1">
        <w:rPr>
          <w:rFonts w:cs="Arial"/>
        </w:rPr>
        <w:t xml:space="preserve"> </w:t>
      </w:r>
      <w:r w:rsidR="00CA75C4">
        <w:rPr>
          <w:rFonts w:cs="Arial"/>
        </w:rPr>
        <w:t>Furthermore</w:t>
      </w:r>
      <w:r w:rsidR="00740D6E">
        <w:rPr>
          <w:rFonts w:cs="Arial"/>
        </w:rPr>
        <w:t>, a</w:t>
      </w:r>
      <w:r w:rsidR="00CA75C4">
        <w:rPr>
          <w:rFonts w:cs="Arial"/>
        </w:rPr>
        <w:t xml:space="preserve"> study by Yost et al </w:t>
      </w:r>
      <w:r w:rsidR="004077D1">
        <w:rPr>
          <w:rFonts w:cs="Arial"/>
        </w:rPr>
        <w:t>noted</w:t>
      </w:r>
      <w:r w:rsidR="00B70B05">
        <w:rPr>
          <w:rFonts w:cs="Arial"/>
        </w:rPr>
        <w:t xml:space="preserve"> the</w:t>
      </w:r>
      <w:r w:rsidR="006E0B75">
        <w:rPr>
          <w:rFonts w:cs="Arial"/>
        </w:rPr>
        <w:t xml:space="preserve"> range of tools to support</w:t>
      </w:r>
      <w:r w:rsidR="00325E53">
        <w:rPr>
          <w:rFonts w:cs="Arial"/>
        </w:rPr>
        <w:t xml:space="preserve"> evidence-informed public health</w:t>
      </w:r>
      <w:r w:rsidR="006E0B75">
        <w:rPr>
          <w:rFonts w:cs="Arial"/>
        </w:rPr>
        <w:t xml:space="preserve"> </w:t>
      </w:r>
      <w:r w:rsidR="00325E53">
        <w:rPr>
          <w:rFonts w:cs="Arial"/>
        </w:rPr>
        <w:t>decision making</w:t>
      </w:r>
      <w:r w:rsidR="00C31407">
        <w:rPr>
          <w:rFonts w:cs="Arial"/>
          <w:vertAlign w:val="superscript"/>
        </w:rPr>
        <w:t>9</w:t>
      </w:r>
      <w:r w:rsidR="00325E53">
        <w:rPr>
          <w:rFonts w:cs="Arial"/>
        </w:rPr>
        <w:t>.</w:t>
      </w:r>
    </w:p>
    <w:p w:rsidR="008A25D4" w:rsidRDefault="008A25D4" w:rsidP="002205E0">
      <w:pPr>
        <w:spacing w:after="0" w:line="360" w:lineRule="auto"/>
        <w:rPr>
          <w:rFonts w:cs="Arial"/>
        </w:rPr>
      </w:pPr>
    </w:p>
    <w:p w:rsidR="00C30A45" w:rsidRDefault="00CA501B" w:rsidP="002205E0">
      <w:pPr>
        <w:spacing w:after="0" w:line="360" w:lineRule="auto"/>
        <w:rPr>
          <w:rFonts w:cs="Arial"/>
        </w:rPr>
      </w:pPr>
      <w:r w:rsidRPr="00A43D7D">
        <w:rPr>
          <w:rFonts w:cs="Arial"/>
        </w:rPr>
        <w:t>Previous empirical work</w:t>
      </w:r>
      <w:r w:rsidR="008A25D4">
        <w:rPr>
          <w:rFonts w:cs="Arial"/>
        </w:rPr>
        <w:t>,</w:t>
      </w:r>
      <w:r w:rsidRPr="00A43D7D">
        <w:rPr>
          <w:rFonts w:cs="Arial"/>
        </w:rPr>
        <w:t xml:space="preserve"> </w:t>
      </w:r>
      <w:r w:rsidR="00A3660D">
        <w:rPr>
          <w:rFonts w:cs="Arial"/>
        </w:rPr>
        <w:t>similar to this study</w:t>
      </w:r>
      <w:r w:rsidR="008A25D4">
        <w:rPr>
          <w:rFonts w:cs="Arial"/>
        </w:rPr>
        <w:t>,</w:t>
      </w:r>
      <w:r w:rsidR="00A3660D">
        <w:rPr>
          <w:rFonts w:cs="Arial"/>
        </w:rPr>
        <w:t xml:space="preserve"> </w:t>
      </w:r>
      <w:r w:rsidRPr="00A43D7D">
        <w:rPr>
          <w:rFonts w:cs="Arial"/>
        </w:rPr>
        <w:t>has highlighted the huge chall</w:t>
      </w:r>
      <w:r w:rsidRPr="0051357F">
        <w:rPr>
          <w:rFonts w:cs="Arial"/>
        </w:rPr>
        <w:t xml:space="preserve">enges of structural </w:t>
      </w:r>
      <w:r w:rsidR="008D48F4">
        <w:rPr>
          <w:rFonts w:cs="Arial"/>
        </w:rPr>
        <w:t>reform</w:t>
      </w:r>
      <w:r w:rsidR="00C30A45">
        <w:rPr>
          <w:rFonts w:cs="Arial"/>
        </w:rPr>
        <w:t>,</w:t>
      </w:r>
      <w:r w:rsidR="008D48F4">
        <w:rPr>
          <w:rFonts w:cs="Arial"/>
        </w:rPr>
        <w:t xml:space="preserve"> the different </w:t>
      </w:r>
      <w:r w:rsidRPr="0051357F">
        <w:rPr>
          <w:rFonts w:cs="Arial"/>
        </w:rPr>
        <w:t xml:space="preserve">cultural </w:t>
      </w:r>
      <w:r w:rsidR="008D48F4">
        <w:rPr>
          <w:rFonts w:cs="Arial"/>
        </w:rPr>
        <w:t>context</w:t>
      </w:r>
      <w:r w:rsidR="00C30A45">
        <w:rPr>
          <w:rFonts w:cs="Arial"/>
        </w:rPr>
        <w:t>s</w:t>
      </w:r>
      <w:r w:rsidR="008D48F4">
        <w:rPr>
          <w:rFonts w:cs="Arial"/>
        </w:rPr>
        <w:t xml:space="preserve"> public health has encountered</w:t>
      </w:r>
      <w:r w:rsidR="00AC2C55">
        <w:rPr>
          <w:rFonts w:cs="Arial"/>
        </w:rPr>
        <w:t xml:space="preserve"> in local government</w:t>
      </w:r>
      <w:r w:rsidRPr="0051357F">
        <w:rPr>
          <w:rFonts w:cs="Arial"/>
        </w:rPr>
        <w:t>, and the variety of structural models that have evolved</w:t>
      </w:r>
      <w:r w:rsidRPr="00F75DEE">
        <w:rPr>
          <w:rFonts w:cs="Arial"/>
        </w:rPr>
        <w:t>.</w:t>
      </w:r>
      <w:r w:rsidR="00C31407">
        <w:rPr>
          <w:rFonts w:cs="Arial"/>
          <w:vertAlign w:val="superscript"/>
        </w:rPr>
        <w:t>10</w:t>
      </w:r>
      <w:r w:rsidR="00FF038E">
        <w:rPr>
          <w:rFonts w:cs="Arial"/>
          <w:vertAlign w:val="superscript"/>
        </w:rPr>
        <w:t>-1</w:t>
      </w:r>
      <w:r w:rsidR="00C31407">
        <w:rPr>
          <w:rFonts w:cs="Arial"/>
          <w:vertAlign w:val="superscript"/>
        </w:rPr>
        <w:t>7</w:t>
      </w:r>
      <w:r w:rsidRPr="00F75DEE">
        <w:rPr>
          <w:rFonts w:cs="Arial"/>
        </w:rPr>
        <w:t xml:space="preserve">  </w:t>
      </w:r>
      <w:r w:rsidR="007925AF" w:rsidRPr="00F75DEE">
        <w:rPr>
          <w:rFonts w:cs="Arial"/>
        </w:rPr>
        <w:t>T</w:t>
      </w:r>
      <w:r w:rsidRPr="00F75DEE">
        <w:rPr>
          <w:rFonts w:cs="Arial"/>
        </w:rPr>
        <w:t xml:space="preserve">he potential opportunities for </w:t>
      </w:r>
      <w:r w:rsidR="00D5651A" w:rsidRPr="00BE1F59">
        <w:rPr>
          <w:rFonts w:cs="Arial"/>
        </w:rPr>
        <w:t xml:space="preserve">a broader engagement in public health outcomes – through </w:t>
      </w:r>
      <w:r w:rsidR="00BE1F59">
        <w:rPr>
          <w:rFonts w:cs="Arial"/>
        </w:rPr>
        <w:t>H</w:t>
      </w:r>
      <w:r w:rsidRPr="00BE1F59">
        <w:rPr>
          <w:rFonts w:cs="Arial"/>
        </w:rPr>
        <w:t xml:space="preserve">ealth and </w:t>
      </w:r>
      <w:r w:rsidR="00BE1F59">
        <w:rPr>
          <w:rFonts w:cs="Arial"/>
        </w:rPr>
        <w:t>W</w:t>
      </w:r>
      <w:r w:rsidRPr="00BE1F59">
        <w:rPr>
          <w:rFonts w:cs="Arial"/>
        </w:rPr>
        <w:t xml:space="preserve">ellbeing </w:t>
      </w:r>
      <w:r w:rsidR="00BE1F59">
        <w:rPr>
          <w:rFonts w:cs="Arial"/>
        </w:rPr>
        <w:t>B</w:t>
      </w:r>
      <w:r w:rsidRPr="00BE1F59">
        <w:rPr>
          <w:rFonts w:cs="Arial"/>
        </w:rPr>
        <w:t xml:space="preserve">oards and </w:t>
      </w:r>
      <w:r w:rsidR="00D5651A" w:rsidRPr="00BE1F59">
        <w:rPr>
          <w:rFonts w:cs="Arial"/>
        </w:rPr>
        <w:t xml:space="preserve">across </w:t>
      </w:r>
      <w:r w:rsidRPr="00BE1F59">
        <w:rPr>
          <w:rFonts w:cs="Arial"/>
        </w:rPr>
        <w:t xml:space="preserve">local authority directorates </w:t>
      </w:r>
      <w:r w:rsidR="00D5651A" w:rsidRPr="00BE1F59">
        <w:rPr>
          <w:rFonts w:cs="Arial"/>
        </w:rPr>
        <w:t>– have been acknowledged.</w:t>
      </w:r>
      <w:r w:rsidR="00A71645">
        <w:rPr>
          <w:rFonts w:cs="Arial"/>
          <w:vertAlign w:val="superscript"/>
        </w:rPr>
        <w:t>4,1</w:t>
      </w:r>
      <w:r w:rsidR="00C31407">
        <w:rPr>
          <w:rFonts w:cs="Arial"/>
          <w:vertAlign w:val="superscript"/>
        </w:rPr>
        <w:t>8</w:t>
      </w:r>
      <w:r w:rsidR="00A71645">
        <w:rPr>
          <w:rFonts w:cs="Arial"/>
        </w:rPr>
        <w:t xml:space="preserve"> </w:t>
      </w:r>
      <w:r w:rsidR="00D5651A" w:rsidRPr="00BE1F59">
        <w:rPr>
          <w:rFonts w:cs="Arial"/>
        </w:rPr>
        <w:t xml:space="preserve"> </w:t>
      </w:r>
      <w:r w:rsidR="00C30A45">
        <w:rPr>
          <w:rFonts w:cs="Arial"/>
        </w:rPr>
        <w:t>T</w:t>
      </w:r>
      <w:r w:rsidR="00D5651A" w:rsidRPr="006D0F24">
        <w:rPr>
          <w:rFonts w:cs="Arial"/>
        </w:rPr>
        <w:t xml:space="preserve">he ability of public health leaders to influence others in the new system, and the </w:t>
      </w:r>
      <w:r w:rsidR="00C30A45">
        <w:rPr>
          <w:rFonts w:cs="Arial"/>
        </w:rPr>
        <w:t>consequent changes to the public health function</w:t>
      </w:r>
      <w:r w:rsidR="00D5651A" w:rsidRPr="006D0F24">
        <w:rPr>
          <w:rFonts w:cs="Arial"/>
        </w:rPr>
        <w:t xml:space="preserve">, are </w:t>
      </w:r>
      <w:r w:rsidR="004077D1">
        <w:rPr>
          <w:rFonts w:cs="Arial"/>
        </w:rPr>
        <w:t>beginning to</w:t>
      </w:r>
      <w:r w:rsidR="00092748">
        <w:rPr>
          <w:rFonts w:cs="Arial"/>
        </w:rPr>
        <w:t xml:space="preserve"> emerg</w:t>
      </w:r>
      <w:r w:rsidR="004077D1">
        <w:rPr>
          <w:rFonts w:cs="Arial"/>
        </w:rPr>
        <w:t>e</w:t>
      </w:r>
      <w:r w:rsidR="00D5651A" w:rsidRPr="0068675C">
        <w:rPr>
          <w:rFonts w:cs="Arial"/>
        </w:rPr>
        <w:t xml:space="preserve">. </w:t>
      </w:r>
      <w:r w:rsidRPr="009A0348">
        <w:rPr>
          <w:rFonts w:cs="Arial"/>
        </w:rPr>
        <w:t xml:space="preserve"> </w:t>
      </w:r>
    </w:p>
    <w:p w:rsidR="00C30A45" w:rsidRDefault="00C30A45" w:rsidP="002205E0">
      <w:pPr>
        <w:spacing w:after="0" w:line="360" w:lineRule="auto"/>
        <w:rPr>
          <w:rFonts w:cs="Arial"/>
        </w:rPr>
      </w:pPr>
    </w:p>
    <w:p w:rsidR="00CD636F" w:rsidRDefault="00CA501B" w:rsidP="002205E0">
      <w:pPr>
        <w:spacing w:after="0" w:line="360" w:lineRule="auto"/>
        <w:rPr>
          <w:rFonts w:cs="Arial"/>
        </w:rPr>
      </w:pPr>
      <w:r w:rsidRPr="009A0348">
        <w:rPr>
          <w:rFonts w:cs="Arial"/>
        </w:rPr>
        <w:t>This</w:t>
      </w:r>
      <w:r w:rsidR="009B5705" w:rsidRPr="009A0348">
        <w:rPr>
          <w:rFonts w:cs="Arial"/>
        </w:rPr>
        <w:t xml:space="preserve"> </w:t>
      </w:r>
      <w:r w:rsidRPr="009A0348">
        <w:rPr>
          <w:rFonts w:cs="Arial"/>
        </w:rPr>
        <w:t xml:space="preserve">paper reports on the findings of a national survey of </w:t>
      </w:r>
      <w:proofErr w:type="spellStart"/>
      <w:r w:rsidRPr="009A0348">
        <w:rPr>
          <w:rFonts w:cs="Arial"/>
        </w:rPr>
        <w:t>D</w:t>
      </w:r>
      <w:r w:rsidR="00BE1F59">
        <w:rPr>
          <w:rFonts w:cs="Arial"/>
        </w:rPr>
        <w:t>sPH</w:t>
      </w:r>
      <w:proofErr w:type="spellEnd"/>
      <w:r w:rsidRPr="009A0348">
        <w:rPr>
          <w:rFonts w:cs="Arial"/>
        </w:rPr>
        <w:t xml:space="preserve"> undertaken as part of a larger Department of </w:t>
      </w:r>
      <w:r w:rsidR="00A309E1" w:rsidRPr="00A43D7D">
        <w:rPr>
          <w:rFonts w:cs="Arial"/>
        </w:rPr>
        <w:t>H</w:t>
      </w:r>
      <w:r w:rsidRPr="0051357F">
        <w:rPr>
          <w:rFonts w:cs="Arial"/>
        </w:rPr>
        <w:t xml:space="preserve">ealth funded project </w:t>
      </w:r>
      <w:r w:rsidR="00216398" w:rsidRPr="00AF5746">
        <w:t>examin</w:t>
      </w:r>
      <w:r w:rsidR="00216398">
        <w:t>ing</w:t>
      </w:r>
      <w:r w:rsidR="00216398" w:rsidRPr="00AF5746">
        <w:t xml:space="preserve"> the impact of structural changes to the health and care system in England</w:t>
      </w:r>
      <w:r w:rsidR="0063663E">
        <w:t>,</w:t>
      </w:r>
      <w:r w:rsidR="00216398" w:rsidRPr="00AF5746">
        <w:t xml:space="preserve"> on the functioning of the public health system, and on the approaches taken to improving the public’s health</w:t>
      </w:r>
      <w:r w:rsidRPr="009A0348">
        <w:rPr>
          <w:rFonts w:cs="Arial"/>
        </w:rPr>
        <w:t>.</w:t>
      </w:r>
      <w:r w:rsidR="00D5651A" w:rsidRPr="009A0348">
        <w:rPr>
          <w:rFonts w:cs="Arial"/>
        </w:rPr>
        <w:t xml:space="preserve"> </w:t>
      </w:r>
      <w:r w:rsidR="008A0FA0">
        <w:rPr>
          <w:rFonts w:cs="Arial"/>
        </w:rPr>
        <w:t xml:space="preserve"> </w:t>
      </w:r>
      <w:r w:rsidR="00D5651A" w:rsidRPr="009A0348">
        <w:rPr>
          <w:rFonts w:cs="Arial"/>
        </w:rPr>
        <w:t xml:space="preserve">The </w:t>
      </w:r>
      <w:r w:rsidR="008A0FA0">
        <w:rPr>
          <w:rFonts w:cs="Arial"/>
        </w:rPr>
        <w:t xml:space="preserve">study </w:t>
      </w:r>
      <w:r w:rsidR="00216398">
        <w:rPr>
          <w:rFonts w:cs="Arial"/>
        </w:rPr>
        <w:t xml:space="preserve">involved </w:t>
      </w:r>
      <w:r w:rsidR="008A0FA0">
        <w:rPr>
          <w:rFonts w:cs="Arial"/>
        </w:rPr>
        <w:t>a scoping phase</w:t>
      </w:r>
      <w:r w:rsidR="00207E9E">
        <w:rPr>
          <w:rFonts w:cs="Arial"/>
        </w:rPr>
        <w:t>,</w:t>
      </w:r>
      <w:r w:rsidR="008A0FA0">
        <w:rPr>
          <w:rFonts w:cs="Arial"/>
        </w:rPr>
        <w:t xml:space="preserve"> </w:t>
      </w:r>
      <w:r w:rsidR="000A5791">
        <w:rPr>
          <w:rFonts w:cs="Arial"/>
        </w:rPr>
        <w:t xml:space="preserve">two </w:t>
      </w:r>
      <w:r w:rsidR="008A0FA0">
        <w:rPr>
          <w:rFonts w:cs="Arial"/>
        </w:rPr>
        <w:t xml:space="preserve">surveys </w:t>
      </w:r>
      <w:r w:rsidR="000A5791">
        <w:rPr>
          <w:rFonts w:cs="Arial"/>
        </w:rPr>
        <w:t xml:space="preserve">of </w:t>
      </w:r>
      <w:proofErr w:type="spellStart"/>
      <w:r w:rsidR="000A5791">
        <w:rPr>
          <w:rFonts w:cs="Arial"/>
        </w:rPr>
        <w:t>DsPH</w:t>
      </w:r>
      <w:proofErr w:type="spellEnd"/>
      <w:r w:rsidR="000A5791">
        <w:rPr>
          <w:rFonts w:cs="Arial"/>
        </w:rPr>
        <w:t xml:space="preserve"> and </w:t>
      </w:r>
      <w:r w:rsidR="00C30A45">
        <w:rPr>
          <w:rFonts w:cs="Arial"/>
        </w:rPr>
        <w:lastRenderedPageBreak/>
        <w:t>c</w:t>
      </w:r>
      <w:r w:rsidR="000A5791">
        <w:rPr>
          <w:rFonts w:cs="Arial"/>
        </w:rPr>
        <w:t>ouncillors with a lead responsibility for public health</w:t>
      </w:r>
      <w:r w:rsidR="00C30A45">
        <w:rPr>
          <w:rFonts w:cs="Arial"/>
        </w:rPr>
        <w:t>,</w:t>
      </w:r>
      <w:r w:rsidR="000A5791">
        <w:rPr>
          <w:rFonts w:cs="Arial"/>
        </w:rPr>
        <w:t xml:space="preserve"> </w:t>
      </w:r>
      <w:r w:rsidR="008A0FA0">
        <w:rPr>
          <w:rFonts w:cs="Arial"/>
        </w:rPr>
        <w:t xml:space="preserve">and case studies </w:t>
      </w:r>
      <w:r w:rsidR="000A5791">
        <w:rPr>
          <w:rFonts w:cs="Arial"/>
        </w:rPr>
        <w:t>in five areas of England</w:t>
      </w:r>
      <w:r w:rsidR="00207E9E">
        <w:rPr>
          <w:rFonts w:cs="Arial"/>
        </w:rPr>
        <w:t>. The case studies</w:t>
      </w:r>
      <w:r w:rsidR="000A5791">
        <w:rPr>
          <w:rFonts w:cs="Arial"/>
        </w:rPr>
        <w:t xml:space="preserve"> are closely </w:t>
      </w:r>
      <w:r w:rsidR="008A0FA0">
        <w:rPr>
          <w:rFonts w:cs="Arial"/>
        </w:rPr>
        <w:t>examin</w:t>
      </w:r>
      <w:r w:rsidR="000A5791">
        <w:rPr>
          <w:rFonts w:cs="Arial"/>
        </w:rPr>
        <w:t>ing</w:t>
      </w:r>
      <w:r w:rsidR="008A0FA0">
        <w:rPr>
          <w:rFonts w:cs="Arial"/>
        </w:rPr>
        <w:t xml:space="preserve"> the structures, processes and effectiveness of integrating public health functions in local authorities</w:t>
      </w:r>
      <w:r w:rsidR="00C31407">
        <w:rPr>
          <w:rFonts w:cs="Arial"/>
          <w:vertAlign w:val="superscript"/>
        </w:rPr>
        <w:t>19</w:t>
      </w:r>
      <w:r w:rsidR="008A0FA0">
        <w:rPr>
          <w:rFonts w:cs="Arial"/>
        </w:rPr>
        <w:t>.  F</w:t>
      </w:r>
      <w:r w:rsidR="00D5651A" w:rsidRPr="009A0348">
        <w:rPr>
          <w:rFonts w:cs="Arial"/>
        </w:rPr>
        <w:t xml:space="preserve">indings presented here focus on </w:t>
      </w:r>
      <w:r w:rsidR="00325E53">
        <w:rPr>
          <w:rFonts w:cs="Arial"/>
        </w:rPr>
        <w:t xml:space="preserve">public health identity, leadership and </w:t>
      </w:r>
      <w:r w:rsidR="00D5651A" w:rsidRPr="009A0348">
        <w:rPr>
          <w:rFonts w:cs="Arial"/>
        </w:rPr>
        <w:t xml:space="preserve">the influence </w:t>
      </w:r>
      <w:r w:rsidR="005971F8">
        <w:rPr>
          <w:rFonts w:cs="Arial"/>
        </w:rPr>
        <w:t xml:space="preserve">that </w:t>
      </w:r>
      <w:r w:rsidR="00D5651A" w:rsidRPr="009A0348">
        <w:rPr>
          <w:rFonts w:cs="Arial"/>
        </w:rPr>
        <w:t>public health leaders</w:t>
      </w:r>
      <w:r w:rsidR="005971F8">
        <w:rPr>
          <w:rFonts w:cs="Arial"/>
        </w:rPr>
        <w:t xml:space="preserve"> feel they have</w:t>
      </w:r>
      <w:r w:rsidR="0063663E">
        <w:rPr>
          <w:rFonts w:cs="Arial"/>
        </w:rPr>
        <w:t>, and also on</w:t>
      </w:r>
      <w:r w:rsidR="00D5651A" w:rsidRPr="0051357F">
        <w:rPr>
          <w:rFonts w:cs="Arial"/>
        </w:rPr>
        <w:t xml:space="preserve"> changes</w:t>
      </w:r>
      <w:r w:rsidR="005971F8">
        <w:rPr>
          <w:rFonts w:cs="Arial"/>
        </w:rPr>
        <w:t xml:space="preserve"> </w:t>
      </w:r>
      <w:r w:rsidR="00D5651A" w:rsidRPr="0051357F">
        <w:rPr>
          <w:rFonts w:cs="Arial"/>
        </w:rPr>
        <w:t>in commissioning for health improvement since the reforms.</w:t>
      </w:r>
    </w:p>
    <w:p w:rsidR="008A25D4" w:rsidRDefault="008A25D4" w:rsidP="002205E0">
      <w:pPr>
        <w:spacing w:after="0" w:line="360" w:lineRule="auto"/>
        <w:rPr>
          <w:rFonts w:cs="Arial"/>
        </w:rPr>
      </w:pPr>
    </w:p>
    <w:p w:rsidR="00912A2F" w:rsidRPr="00656425" w:rsidRDefault="00A334B4" w:rsidP="002205E0">
      <w:pPr>
        <w:spacing w:after="0" w:line="360" w:lineRule="auto"/>
      </w:pPr>
      <w:r w:rsidRPr="00656425">
        <w:t>Method</w:t>
      </w:r>
      <w:r w:rsidR="008A25D4">
        <w:t>s</w:t>
      </w:r>
    </w:p>
    <w:p w:rsidR="00A03CF8" w:rsidRDefault="00BA0C92" w:rsidP="002205E0">
      <w:pPr>
        <w:spacing w:after="0" w:line="360" w:lineRule="auto"/>
      </w:pPr>
      <w:r w:rsidRPr="009A0348">
        <w:t>A</w:t>
      </w:r>
      <w:r w:rsidR="00DD576D" w:rsidRPr="009A0348">
        <w:t>n online</w:t>
      </w:r>
      <w:r w:rsidRPr="009A0348">
        <w:t xml:space="preserve"> survey</w:t>
      </w:r>
      <w:r w:rsidR="005F6F21">
        <w:t xml:space="preserve"> (Appendix A)</w:t>
      </w:r>
      <w:r w:rsidR="004941A8" w:rsidRPr="009A0348">
        <w:t xml:space="preserve"> was developed to explore the experience of public health teams within local government</w:t>
      </w:r>
      <w:r w:rsidR="00DD576D" w:rsidRPr="00A43D7D">
        <w:t xml:space="preserve">.  </w:t>
      </w:r>
      <w:r w:rsidR="00954F4A" w:rsidRPr="0051357F">
        <w:t>The survey’s</w:t>
      </w:r>
      <w:r w:rsidR="00DD576D" w:rsidRPr="0051357F">
        <w:t xml:space="preserve"> content</w:t>
      </w:r>
      <w:r w:rsidR="00954F4A" w:rsidRPr="0051357F">
        <w:t xml:space="preserve"> and design</w:t>
      </w:r>
      <w:r w:rsidR="00DD576D" w:rsidRPr="0051357F">
        <w:t xml:space="preserve"> w</w:t>
      </w:r>
      <w:r w:rsidR="00954F4A" w:rsidRPr="0051357F">
        <w:t>ere</w:t>
      </w:r>
      <w:r w:rsidR="00DD576D" w:rsidRPr="0051357F">
        <w:t xml:space="preserve"> informed by pre-existing research and </w:t>
      </w:r>
      <w:r w:rsidR="00954F4A" w:rsidRPr="0051357F">
        <w:t>consultation with</w:t>
      </w:r>
      <w:r w:rsidR="00DD576D" w:rsidRPr="004B6CFE">
        <w:t xml:space="preserve"> external experts, including the Association of Directors of Public Health</w:t>
      </w:r>
      <w:r w:rsidR="0051357F">
        <w:t xml:space="preserve"> (ADPH)</w:t>
      </w:r>
      <w:r w:rsidR="00954F4A" w:rsidRPr="0051357F">
        <w:t>.  After pilot-testing and obtaining</w:t>
      </w:r>
      <w:r w:rsidR="00A03CF8" w:rsidRPr="0051357F">
        <w:t xml:space="preserve"> ethical approval</w:t>
      </w:r>
      <w:r w:rsidR="00954F4A" w:rsidRPr="0051357F">
        <w:t>,</w:t>
      </w:r>
      <w:r w:rsidR="00DD576D" w:rsidRPr="0051357F">
        <w:t xml:space="preserve"> </w:t>
      </w:r>
      <w:r w:rsidR="00954F4A" w:rsidRPr="004B6CFE">
        <w:t>the survey</w:t>
      </w:r>
      <w:r w:rsidR="00DD576D" w:rsidRPr="009A0348">
        <w:t xml:space="preserve"> was sent out</w:t>
      </w:r>
      <w:r w:rsidR="00C532EE" w:rsidRPr="009A0348">
        <w:t xml:space="preserve"> </w:t>
      </w:r>
      <w:r w:rsidR="008563FD">
        <w:t>electronically</w:t>
      </w:r>
      <w:r w:rsidR="008A25D4">
        <w:t>,</w:t>
      </w:r>
      <w:r w:rsidR="008563FD">
        <w:t xml:space="preserve"> </w:t>
      </w:r>
      <w:r w:rsidR="00C532EE" w:rsidRPr="009A0348">
        <w:t>during July 2014</w:t>
      </w:r>
      <w:r w:rsidR="008A25D4">
        <w:t>,</w:t>
      </w:r>
      <w:r w:rsidR="00DD576D" w:rsidRPr="009A0348">
        <w:t xml:space="preserve"> under personalised emails to </w:t>
      </w:r>
      <w:proofErr w:type="spellStart"/>
      <w:r w:rsidR="00092172" w:rsidRPr="009A0348">
        <w:t>DsPH</w:t>
      </w:r>
      <w:proofErr w:type="spellEnd"/>
      <w:r w:rsidR="00DD576D" w:rsidRPr="009A0348">
        <w:t xml:space="preserve"> in all unitary and </w:t>
      </w:r>
      <w:r w:rsidR="00EB7414" w:rsidRPr="009A0348">
        <w:t>upper</w:t>
      </w:r>
      <w:r w:rsidR="00DD576D" w:rsidRPr="009A0348">
        <w:t xml:space="preserve">-tier county councils in England (N = 152), </w:t>
      </w:r>
      <w:r w:rsidR="00092172" w:rsidRPr="009A0348">
        <w:t>followed by up to</w:t>
      </w:r>
      <w:r w:rsidR="00954F4A" w:rsidRPr="009A0348">
        <w:t xml:space="preserve"> two reminders</w:t>
      </w:r>
      <w:r w:rsidR="00A03CF8" w:rsidRPr="009A0348">
        <w:t>.</w:t>
      </w:r>
      <w:r w:rsidR="00444340" w:rsidRPr="009A0348">
        <w:t xml:space="preserve">  </w:t>
      </w:r>
      <w:proofErr w:type="spellStart"/>
      <w:r w:rsidR="005971F8">
        <w:t>DsPH</w:t>
      </w:r>
      <w:proofErr w:type="spellEnd"/>
      <w:r w:rsidR="005971F8">
        <w:t xml:space="preserve"> with responsibility for more than one authority were </w:t>
      </w:r>
      <w:r w:rsidR="005F6F21">
        <w:t xml:space="preserve">sent </w:t>
      </w:r>
      <w:r w:rsidR="005971F8">
        <w:t xml:space="preserve">emails to answer for each </w:t>
      </w:r>
      <w:r w:rsidR="005F6F21">
        <w:t>authority separately</w:t>
      </w:r>
      <w:r w:rsidR="005971F8">
        <w:t xml:space="preserve">, </w:t>
      </w:r>
      <w:r w:rsidR="005F6F21">
        <w:t>and asked</w:t>
      </w:r>
      <w:r w:rsidR="005971F8">
        <w:t xml:space="preserve"> to supply </w:t>
      </w:r>
      <w:r w:rsidR="0063663E">
        <w:t>an alternative contact</w:t>
      </w:r>
      <w:r w:rsidR="005971F8">
        <w:t xml:space="preserve"> </w:t>
      </w:r>
      <w:r w:rsidR="005F6F21">
        <w:t xml:space="preserve">if they wished to delegate the </w:t>
      </w:r>
      <w:r w:rsidR="005971F8">
        <w:t>responsib</w:t>
      </w:r>
      <w:r w:rsidR="005F6F21">
        <w:t>ility</w:t>
      </w:r>
      <w:r w:rsidR="005971F8">
        <w:t>.</w:t>
      </w:r>
      <w:r w:rsidR="004D7CEB">
        <w:t xml:space="preserve"> We sought, therefore, to obtain responses </w:t>
      </w:r>
      <w:r w:rsidR="00C30A45">
        <w:t xml:space="preserve">from </w:t>
      </w:r>
      <w:r w:rsidR="004D7CEB">
        <w:t>as many of the 152 councils as possible.</w:t>
      </w:r>
      <w:r w:rsidR="005971F8">
        <w:t xml:space="preserve">  </w:t>
      </w:r>
    </w:p>
    <w:p w:rsidR="008A25D4" w:rsidRPr="009A0348" w:rsidRDefault="008A25D4" w:rsidP="002205E0">
      <w:pPr>
        <w:spacing w:after="0" w:line="360" w:lineRule="auto"/>
      </w:pPr>
    </w:p>
    <w:p w:rsidR="00F830A6" w:rsidRPr="009A0348" w:rsidRDefault="007711A0" w:rsidP="002205E0">
      <w:pPr>
        <w:spacing w:after="0" w:line="360" w:lineRule="auto"/>
      </w:pPr>
      <w:r>
        <w:t>P</w:t>
      </w:r>
      <w:r w:rsidR="00647845" w:rsidRPr="009A0348">
        <w:t xml:space="preserve">ublic health </w:t>
      </w:r>
      <w:r w:rsidR="000A24F8">
        <w:t>leaders’</w:t>
      </w:r>
      <w:r w:rsidR="00647845" w:rsidRPr="009A0348">
        <w:t xml:space="preserve"> perce</w:t>
      </w:r>
      <w:r w:rsidR="000A24F8">
        <w:t>ptions of their</w:t>
      </w:r>
      <w:r w:rsidR="00647845" w:rsidRPr="009A0348">
        <w:t xml:space="preserve"> influence </w:t>
      </w:r>
      <w:r>
        <w:t>with</w:t>
      </w:r>
      <w:r w:rsidR="00647845" w:rsidRPr="009A0348">
        <w:t xml:space="preserve">in local authorities and changes in commissioning from the public health budget </w:t>
      </w:r>
      <w:r>
        <w:t>are the focus</w:t>
      </w:r>
      <w:r w:rsidR="00F830A6" w:rsidRPr="009A0348">
        <w:t xml:space="preserve"> </w:t>
      </w:r>
      <w:r w:rsidR="009A0348">
        <w:t xml:space="preserve">for this paper </w:t>
      </w:r>
      <w:r w:rsidR="00F830A6" w:rsidRPr="009A0348">
        <w:t>(see box 1)</w:t>
      </w:r>
      <w:r w:rsidR="00BA4BCE" w:rsidRPr="009A0348">
        <w:t>.</w:t>
      </w:r>
      <w:r w:rsidR="00EB7414" w:rsidRPr="009A0348">
        <w:t xml:space="preserve">  </w:t>
      </w:r>
      <w:r w:rsidR="00491111">
        <w:t>Statistical t</w:t>
      </w:r>
      <w:r w:rsidR="00DA06AC">
        <w:t>ests of association</w:t>
      </w:r>
      <w:r w:rsidR="00491111">
        <w:t xml:space="preserve"> were</w:t>
      </w:r>
      <w:r w:rsidR="00DA06AC">
        <w:t xml:space="preserve"> </w:t>
      </w:r>
      <w:r w:rsidR="00491111">
        <w:t xml:space="preserve">carried out between </w:t>
      </w:r>
      <w:r>
        <w:t>aspects of influence and change compared to</w:t>
      </w:r>
      <w:r w:rsidR="00491111">
        <w:t xml:space="preserve"> other factors, such as descriptors of the local authority and the way public health teams </w:t>
      </w:r>
      <w:r>
        <w:t>were</w:t>
      </w:r>
      <w:r w:rsidR="00491111">
        <w:t xml:space="preserve"> organised and functioning </w:t>
      </w:r>
      <w:r>
        <w:t>following</w:t>
      </w:r>
      <w:r w:rsidR="00491111">
        <w:t xml:space="preserve"> their move to local government.</w:t>
      </w:r>
    </w:p>
    <w:p w:rsidR="00EB7414" w:rsidRDefault="00603353" w:rsidP="002205E0">
      <w:pPr>
        <w:spacing w:after="0" w:line="360" w:lineRule="auto"/>
      </w:pPr>
      <w:r>
        <w:t xml:space="preserve">[Box </w:t>
      </w:r>
      <w:r w:rsidR="00DE0918">
        <w:t>1</w:t>
      </w:r>
      <w:r>
        <w:t xml:space="preserve"> here]</w:t>
      </w:r>
    </w:p>
    <w:p w:rsidR="008A25D4" w:rsidRPr="00A43D7D" w:rsidRDefault="008A25D4" w:rsidP="002205E0">
      <w:pPr>
        <w:spacing w:after="0" w:line="360" w:lineRule="auto"/>
      </w:pPr>
    </w:p>
    <w:p w:rsidR="00003283" w:rsidRPr="00656425" w:rsidRDefault="00A334B4" w:rsidP="002205E0">
      <w:pPr>
        <w:spacing w:after="0" w:line="360" w:lineRule="auto"/>
      </w:pPr>
      <w:r w:rsidRPr="00656425">
        <w:t>Results</w:t>
      </w:r>
    </w:p>
    <w:p w:rsidR="00003283" w:rsidRDefault="00840481" w:rsidP="002205E0">
      <w:pPr>
        <w:spacing w:after="0" w:line="360" w:lineRule="auto"/>
      </w:pPr>
      <w:r w:rsidRPr="009A0348">
        <w:t>The survey achieved a response from 9</w:t>
      </w:r>
      <w:r w:rsidR="00444340" w:rsidRPr="009A0348">
        <w:t>6</w:t>
      </w:r>
      <w:r w:rsidRPr="009A0348">
        <w:t xml:space="preserve"> (6</w:t>
      </w:r>
      <w:r w:rsidR="00444340" w:rsidRPr="009A0348">
        <w:t>3</w:t>
      </w:r>
      <w:r w:rsidRPr="009A0348">
        <w:t>%) of the 152 local authorities</w:t>
      </w:r>
      <w:r w:rsidR="00E73096" w:rsidRPr="009A0348">
        <w:t>,</w:t>
      </w:r>
      <w:r w:rsidRPr="009A0348">
        <w:t xml:space="preserve"> </w:t>
      </w:r>
      <w:r w:rsidR="00444340" w:rsidRPr="009A0348">
        <w:t>7</w:t>
      </w:r>
      <w:r w:rsidR="00075EDA">
        <w:t>9</w:t>
      </w:r>
      <w:r w:rsidR="00444340" w:rsidRPr="009A0348">
        <w:t xml:space="preserve"> (</w:t>
      </w:r>
      <w:r w:rsidR="00E73096" w:rsidRPr="009A0348">
        <w:t>82%</w:t>
      </w:r>
      <w:r w:rsidR="00444340" w:rsidRPr="009A0348">
        <w:t>)</w:t>
      </w:r>
      <w:r w:rsidR="00E73096" w:rsidRPr="009A0348">
        <w:t xml:space="preserve"> </w:t>
      </w:r>
      <w:r w:rsidR="00247AB7" w:rsidRPr="009A0348">
        <w:t xml:space="preserve">of these were </w:t>
      </w:r>
      <w:r w:rsidR="00E73096" w:rsidRPr="00A43D7D">
        <w:t xml:space="preserve">from unitary </w:t>
      </w:r>
      <w:r w:rsidR="00075EDA">
        <w:t xml:space="preserve">or single tier </w:t>
      </w:r>
      <w:r w:rsidR="00E73096" w:rsidRPr="00A43D7D">
        <w:t>authorities</w:t>
      </w:r>
      <w:r w:rsidR="00247AB7" w:rsidRPr="00A43D7D">
        <w:t xml:space="preserve"> and </w:t>
      </w:r>
      <w:r w:rsidR="00444340" w:rsidRPr="00A43D7D">
        <w:t>17 (</w:t>
      </w:r>
      <w:r w:rsidR="00247AB7" w:rsidRPr="00A43D7D">
        <w:t>18%</w:t>
      </w:r>
      <w:r w:rsidR="00444340" w:rsidRPr="0051357F">
        <w:t>)</w:t>
      </w:r>
      <w:r w:rsidR="00247AB7" w:rsidRPr="009A0348">
        <w:t xml:space="preserve"> from county councils</w:t>
      </w:r>
      <w:r w:rsidRPr="009A0348">
        <w:t xml:space="preserve">.  </w:t>
      </w:r>
      <w:r w:rsidR="00F466BA" w:rsidRPr="009A0348">
        <w:t>S</w:t>
      </w:r>
      <w:r w:rsidR="002E264A" w:rsidRPr="009A0348">
        <w:t>u</w:t>
      </w:r>
      <w:r w:rsidR="00F466BA" w:rsidRPr="009A0348">
        <w:t>rvey replies were completed to a high standard</w:t>
      </w:r>
      <w:r w:rsidR="002E264A" w:rsidRPr="009A0348">
        <w:t xml:space="preserve"> overall</w:t>
      </w:r>
      <w:r w:rsidR="00F466BA" w:rsidRPr="009A0348">
        <w:t xml:space="preserve">, </w:t>
      </w:r>
      <w:r w:rsidR="002E264A" w:rsidRPr="009A0348">
        <w:t>but some did not complete the survey fully and non-response to the questions used in this analysis was around 10-15%</w:t>
      </w:r>
      <w:r w:rsidR="00403FFB" w:rsidRPr="009A0348">
        <w:t xml:space="preserve"> (see response rates in Table 1)</w:t>
      </w:r>
      <w:r w:rsidR="002E264A" w:rsidRPr="009A0348">
        <w:t xml:space="preserve">. </w:t>
      </w:r>
      <w:r w:rsidR="00724520" w:rsidRPr="009A0348">
        <w:t>85% of r</w:t>
      </w:r>
      <w:r w:rsidRPr="009A0348">
        <w:t xml:space="preserve">espondents were </w:t>
      </w:r>
      <w:proofErr w:type="spellStart"/>
      <w:r w:rsidR="00C532EE" w:rsidRPr="009A0348">
        <w:t>DsPH</w:t>
      </w:r>
      <w:proofErr w:type="spellEnd"/>
      <w:r w:rsidR="00724520" w:rsidRPr="009A0348">
        <w:t>,</w:t>
      </w:r>
      <w:r w:rsidR="00C532EE" w:rsidRPr="009A0348">
        <w:t xml:space="preserve"> </w:t>
      </w:r>
      <w:r w:rsidR="00724520" w:rsidRPr="009A0348">
        <w:t>7.5% were</w:t>
      </w:r>
      <w:r w:rsidRPr="009A0348">
        <w:t xml:space="preserve"> acting</w:t>
      </w:r>
      <w:r w:rsidR="00444340" w:rsidRPr="009A0348">
        <w:t xml:space="preserve"> or </w:t>
      </w:r>
      <w:r w:rsidR="00724520" w:rsidRPr="009A0348">
        <w:t>interim</w:t>
      </w:r>
      <w:r w:rsidRPr="009A0348">
        <w:t xml:space="preserve"> </w:t>
      </w:r>
      <w:r w:rsidR="00092172" w:rsidRPr="009A0348">
        <w:t>directors</w:t>
      </w:r>
      <w:r w:rsidR="00724520" w:rsidRPr="009A0348">
        <w:t xml:space="preserve"> and 7.5% </w:t>
      </w:r>
      <w:r w:rsidR="00444340" w:rsidRPr="009A0348">
        <w:t>had othe</w:t>
      </w:r>
      <w:r w:rsidR="00724520" w:rsidRPr="009A0348">
        <w:t>r</w:t>
      </w:r>
      <w:r w:rsidR="00444340" w:rsidRPr="009A0348">
        <w:t xml:space="preserve"> job titles</w:t>
      </w:r>
      <w:r w:rsidR="00C33FC9">
        <w:t xml:space="preserve"> (N=93)</w:t>
      </w:r>
      <w:r w:rsidRPr="009A0348">
        <w:t xml:space="preserve">.  </w:t>
      </w:r>
      <w:r w:rsidR="00092172" w:rsidRPr="009A0348">
        <w:t xml:space="preserve">After </w:t>
      </w:r>
      <w:r w:rsidRPr="009A0348">
        <w:t>the April 2013 reforms, 2</w:t>
      </w:r>
      <w:r w:rsidR="00C33FC9">
        <w:t>8</w:t>
      </w:r>
      <w:r w:rsidRPr="009A0348">
        <w:t xml:space="preserve">% </w:t>
      </w:r>
      <w:r w:rsidR="00444340" w:rsidRPr="009A0348">
        <w:t xml:space="preserve">of the survey respondents </w:t>
      </w:r>
      <w:r w:rsidRPr="009A0348">
        <w:t>were in a directorate of public health</w:t>
      </w:r>
      <w:r w:rsidR="00C33FC9">
        <w:t xml:space="preserve"> (N=90)</w:t>
      </w:r>
      <w:r w:rsidRPr="009A0348">
        <w:t xml:space="preserve"> and 4</w:t>
      </w:r>
      <w:r w:rsidR="00C33FC9">
        <w:t>2</w:t>
      </w:r>
      <w:r w:rsidRPr="009A0348">
        <w:t>% were managerially responsible to the Chief Executive</w:t>
      </w:r>
      <w:r w:rsidR="00C33FC9">
        <w:t xml:space="preserve"> (N=91)</w:t>
      </w:r>
      <w:r w:rsidRPr="009A0348">
        <w:t>.  Many report</w:t>
      </w:r>
      <w:r w:rsidR="00982769" w:rsidRPr="009A0348">
        <w:t>ed</w:t>
      </w:r>
      <w:r w:rsidRPr="009A0348">
        <w:t xml:space="preserve"> that public health staff had built good relationships within the authority (79% </w:t>
      </w:r>
      <w:r w:rsidR="00DE6AA2" w:rsidRPr="009A0348">
        <w:t>saying ‘</w:t>
      </w:r>
      <w:r w:rsidRPr="009A0348">
        <w:t>defini</w:t>
      </w:r>
      <w:r w:rsidR="00DE6AA2" w:rsidRPr="009A0348">
        <w:t>te</w:t>
      </w:r>
      <w:r w:rsidRPr="009A0348">
        <w:t>l</w:t>
      </w:r>
      <w:r w:rsidR="00DE6AA2" w:rsidRPr="009A0348">
        <w:t>y’, and 1</w:t>
      </w:r>
      <w:r w:rsidR="00C33FC9">
        <w:t>9</w:t>
      </w:r>
      <w:r w:rsidR="00DE6AA2" w:rsidRPr="009A0348">
        <w:t xml:space="preserve">% </w:t>
      </w:r>
      <w:r w:rsidR="00DE6AA2" w:rsidRPr="009A0348">
        <w:lastRenderedPageBreak/>
        <w:t>‘to some extent’</w:t>
      </w:r>
      <w:r w:rsidR="00C33FC9">
        <w:t>, N=86</w:t>
      </w:r>
      <w:r w:rsidR="00DE6AA2" w:rsidRPr="009A0348">
        <w:t xml:space="preserve">), although fewer thought </w:t>
      </w:r>
      <w:r w:rsidR="00B63420" w:rsidRPr="009A0348">
        <w:t>p</w:t>
      </w:r>
      <w:r w:rsidR="00C532EE" w:rsidRPr="009A0348">
        <w:t xml:space="preserve">ublic </w:t>
      </w:r>
      <w:r w:rsidR="00B63420" w:rsidRPr="009A0348">
        <w:t>h</w:t>
      </w:r>
      <w:r w:rsidR="00C532EE" w:rsidRPr="009A0348">
        <w:t xml:space="preserve">ealth </w:t>
      </w:r>
      <w:r w:rsidR="00DE6AA2" w:rsidRPr="009A0348">
        <w:t>staff were highly valued (4</w:t>
      </w:r>
      <w:r w:rsidR="00C33FC9">
        <w:t>2</w:t>
      </w:r>
      <w:r w:rsidR="00DE6AA2" w:rsidRPr="009A0348">
        <w:t>% saying ‘definitely’ and 4</w:t>
      </w:r>
      <w:r w:rsidR="00C33FC9">
        <w:t>9</w:t>
      </w:r>
      <w:r w:rsidR="00DE6AA2" w:rsidRPr="009A0348">
        <w:t>% ‘to some extent’</w:t>
      </w:r>
      <w:r w:rsidR="00C33FC9">
        <w:t>, N=84</w:t>
      </w:r>
      <w:r w:rsidR="00DE6AA2" w:rsidRPr="009A0348">
        <w:t>).</w:t>
      </w:r>
      <w:r w:rsidRPr="009A0348">
        <w:t xml:space="preserve"> </w:t>
      </w:r>
      <w:r w:rsidR="00DE6AA2" w:rsidRPr="009A0348">
        <w:t xml:space="preserve"> </w:t>
      </w:r>
      <w:r w:rsidR="00746A0C">
        <w:t>More details can be found in the full survey report</w:t>
      </w:r>
      <w:r w:rsidR="00746A0C">
        <w:rPr>
          <w:vertAlign w:val="superscript"/>
        </w:rPr>
        <w:t>20</w:t>
      </w:r>
      <w:r w:rsidR="00746A0C">
        <w:t>.</w:t>
      </w:r>
    </w:p>
    <w:p w:rsidR="008A25D4" w:rsidRPr="009A0348" w:rsidRDefault="008A25D4" w:rsidP="002205E0">
      <w:pPr>
        <w:spacing w:after="0" w:line="360" w:lineRule="auto"/>
      </w:pPr>
    </w:p>
    <w:p w:rsidR="00CA175A" w:rsidRPr="00656425" w:rsidRDefault="00A334B4" w:rsidP="002205E0">
      <w:pPr>
        <w:spacing w:after="0" w:line="360" w:lineRule="auto"/>
        <w:rPr>
          <w:i/>
        </w:rPr>
      </w:pPr>
      <w:r w:rsidRPr="00656425">
        <w:rPr>
          <w:i/>
        </w:rPr>
        <w:t>Influence of public health leaders after the 2013 reforms</w:t>
      </w:r>
    </w:p>
    <w:p w:rsidR="00024958" w:rsidRPr="009A0348" w:rsidRDefault="00B01657" w:rsidP="002205E0">
      <w:pPr>
        <w:spacing w:after="0" w:line="360" w:lineRule="auto"/>
      </w:pPr>
      <w:r w:rsidRPr="009A0348">
        <w:t>Th</w:t>
      </w:r>
      <w:r w:rsidR="00301D1B" w:rsidRPr="009A0348">
        <w:t>is section looks at the</w:t>
      </w:r>
      <w:r w:rsidRPr="009A0348">
        <w:t xml:space="preserve"> </w:t>
      </w:r>
      <w:r w:rsidR="00C33FC9">
        <w:t>survey</w:t>
      </w:r>
      <w:r w:rsidRPr="009A0348">
        <w:t xml:space="preserve"> question</w:t>
      </w:r>
      <w:r w:rsidR="00C33FC9">
        <w:t>s</w:t>
      </w:r>
      <w:r w:rsidRPr="009A0348">
        <w:t xml:space="preserve"> about </w:t>
      </w:r>
      <w:r w:rsidR="00C33FC9">
        <w:t xml:space="preserve">the </w:t>
      </w:r>
      <w:r w:rsidR="00781647">
        <w:t xml:space="preserve">perceived </w:t>
      </w:r>
      <w:r w:rsidR="00C33FC9">
        <w:t xml:space="preserve">influence of </w:t>
      </w:r>
      <w:r w:rsidRPr="009A0348">
        <w:t>public health</w:t>
      </w:r>
      <w:r w:rsidR="00C33FC9">
        <w:t xml:space="preserve"> following the reforms</w:t>
      </w:r>
      <w:r w:rsidRPr="009A0348">
        <w:t xml:space="preserve"> (see </w:t>
      </w:r>
      <w:r w:rsidR="0087696B">
        <w:t>B</w:t>
      </w:r>
      <w:r w:rsidRPr="009A0348">
        <w:t xml:space="preserve">ox 1).  </w:t>
      </w:r>
      <w:r w:rsidR="007A1AB6" w:rsidRPr="00A43D7D">
        <w:t xml:space="preserve">The </w:t>
      </w:r>
      <w:r w:rsidR="00231103" w:rsidRPr="00A43D7D">
        <w:t>opening</w:t>
      </w:r>
      <w:r w:rsidR="007A1AB6" w:rsidRPr="00A43D7D">
        <w:t xml:space="preserve"> question about </w:t>
      </w:r>
      <w:r w:rsidR="00075EDA">
        <w:t xml:space="preserve">the director of </w:t>
      </w:r>
      <w:r w:rsidR="007A1AB6" w:rsidRPr="00A43D7D">
        <w:t xml:space="preserve">public health’s ability to have influence in </w:t>
      </w:r>
      <w:r w:rsidRPr="009A0348">
        <w:t xml:space="preserve">their </w:t>
      </w:r>
      <w:r w:rsidR="007A1AB6" w:rsidRPr="009A0348">
        <w:t>local authorit</w:t>
      </w:r>
      <w:r w:rsidRPr="009A0348">
        <w:t>y</w:t>
      </w:r>
      <w:r w:rsidR="007A1AB6" w:rsidRPr="009A0348">
        <w:t xml:space="preserve"> showed that m</w:t>
      </w:r>
      <w:r w:rsidR="00571CCF" w:rsidRPr="009A0348">
        <w:t xml:space="preserve">ost respondents (66%) </w:t>
      </w:r>
      <w:r w:rsidR="00B63420" w:rsidRPr="009A0348">
        <w:t xml:space="preserve">felt </w:t>
      </w:r>
      <w:r w:rsidR="00571CCF" w:rsidRPr="009A0348">
        <w:t xml:space="preserve">‘quite often able’ to influence priorities in their authority, with the rest fairly equally split between ‘always able’ </w:t>
      </w:r>
      <w:r w:rsidR="002E0EA3" w:rsidRPr="009A0348">
        <w:t xml:space="preserve">(15%) </w:t>
      </w:r>
      <w:r w:rsidR="00571CCF" w:rsidRPr="009A0348">
        <w:t xml:space="preserve">and not often or never able </w:t>
      </w:r>
      <w:r w:rsidR="002E0EA3" w:rsidRPr="009A0348">
        <w:t>(1</w:t>
      </w:r>
      <w:r w:rsidR="00313B4A">
        <w:t>9</w:t>
      </w:r>
      <w:r w:rsidR="002E0EA3" w:rsidRPr="009A0348">
        <w:t xml:space="preserve">%) </w:t>
      </w:r>
      <w:r w:rsidR="00571CCF" w:rsidRPr="009A0348">
        <w:t>to influence priorities</w:t>
      </w:r>
      <w:r w:rsidR="00F36609" w:rsidRPr="009A0348">
        <w:t xml:space="preserve"> (</w:t>
      </w:r>
      <w:r w:rsidR="00634515">
        <w:t xml:space="preserve">Q21, N=86, </w:t>
      </w:r>
      <w:r w:rsidR="00F36609" w:rsidRPr="009A0348">
        <w:t>Fig 1)</w:t>
      </w:r>
      <w:r w:rsidR="00571CCF" w:rsidRPr="009A0348">
        <w:t xml:space="preserve">.  </w:t>
      </w:r>
    </w:p>
    <w:p w:rsidR="00127BB0" w:rsidRDefault="00127BB0" w:rsidP="002205E0">
      <w:pPr>
        <w:spacing w:after="0" w:line="360" w:lineRule="auto"/>
      </w:pPr>
      <w:r>
        <w:t>[Figure 1 here]</w:t>
      </w:r>
    </w:p>
    <w:p w:rsidR="008A25D4" w:rsidRDefault="008A25D4" w:rsidP="002205E0">
      <w:pPr>
        <w:spacing w:after="0" w:line="360" w:lineRule="auto"/>
      </w:pPr>
    </w:p>
    <w:p w:rsidR="00571CCF" w:rsidRPr="00A43D7D" w:rsidRDefault="00B63420" w:rsidP="002205E0">
      <w:pPr>
        <w:spacing w:after="0" w:line="360" w:lineRule="auto"/>
      </w:pPr>
      <w:r w:rsidRPr="00A43D7D">
        <w:t xml:space="preserve">In </w:t>
      </w:r>
      <w:r w:rsidR="00913E88" w:rsidRPr="00A43D7D">
        <w:t>related</w:t>
      </w:r>
      <w:r w:rsidR="00CA175A" w:rsidRPr="00A43D7D">
        <w:t xml:space="preserve"> questions</w:t>
      </w:r>
      <w:r w:rsidR="00B5341E">
        <w:t>,</w:t>
      </w:r>
      <w:r w:rsidR="007A1AB6" w:rsidRPr="00A43D7D">
        <w:t xml:space="preserve"> asking</w:t>
      </w:r>
      <w:r w:rsidR="00913E88" w:rsidRPr="00A43D7D">
        <w:t xml:space="preserve"> how </w:t>
      </w:r>
      <w:r w:rsidR="00E766E8">
        <w:t xml:space="preserve">the influence of </w:t>
      </w:r>
      <w:proofErr w:type="spellStart"/>
      <w:r w:rsidR="00E766E8">
        <w:t>DsPH</w:t>
      </w:r>
      <w:proofErr w:type="spellEnd"/>
      <w:r w:rsidR="00E766E8">
        <w:t xml:space="preserve"> </w:t>
      </w:r>
      <w:r w:rsidR="00913E88" w:rsidRPr="00A43D7D">
        <w:t xml:space="preserve">had changed following the reforms and </w:t>
      </w:r>
      <w:r w:rsidR="007A1AB6" w:rsidRPr="009A0348">
        <w:t xml:space="preserve">how far </w:t>
      </w:r>
      <w:r w:rsidR="00913E88" w:rsidRPr="009A0348">
        <w:t>their</w:t>
      </w:r>
      <w:r w:rsidR="00CA175A" w:rsidRPr="009A0348">
        <w:t xml:space="preserve"> influence</w:t>
      </w:r>
      <w:r w:rsidR="007A1AB6" w:rsidRPr="009A0348">
        <w:t xml:space="preserve"> extended across the authority and beyond</w:t>
      </w:r>
      <w:r w:rsidR="00E766E8">
        <w:t>,</w:t>
      </w:r>
      <w:r w:rsidR="00571CCF" w:rsidRPr="009A0348">
        <w:t xml:space="preserve"> many</w:t>
      </w:r>
      <w:r w:rsidR="009A33C5" w:rsidRPr="009A33C5">
        <w:t xml:space="preserve"> </w:t>
      </w:r>
      <w:r w:rsidR="009A33C5" w:rsidRPr="009A0348">
        <w:t>felt more able to influence the work of the local authority as a whole</w:t>
      </w:r>
      <w:r w:rsidR="00571CCF" w:rsidRPr="009A0348">
        <w:t xml:space="preserve"> (82%</w:t>
      </w:r>
      <w:r w:rsidR="00221143">
        <w:t>, Q22ii, N=84</w:t>
      </w:r>
      <w:r w:rsidR="00571CCF" w:rsidRPr="009A0348">
        <w:t xml:space="preserve">).  </w:t>
      </w:r>
      <w:r w:rsidR="00D2282E" w:rsidRPr="009A0348">
        <w:t xml:space="preserve">Almost </w:t>
      </w:r>
      <w:r w:rsidR="00571CCF" w:rsidRPr="009A0348">
        <w:t>half (46%</w:t>
      </w:r>
      <w:r w:rsidR="00221143">
        <w:t>, Q22iv, N=83</w:t>
      </w:r>
      <w:r w:rsidR="00571CCF" w:rsidRPr="009A0348">
        <w:t xml:space="preserve">) felt more able to influence the work of others </w:t>
      </w:r>
      <w:r w:rsidR="00231103" w:rsidRPr="009A0348">
        <w:t>such as local workplaces or</w:t>
      </w:r>
      <w:r w:rsidR="00571CCF" w:rsidRPr="009A0348">
        <w:t xml:space="preserve"> schools.</w:t>
      </w:r>
      <w:r w:rsidR="00F63657" w:rsidRPr="009A0348">
        <w:t xml:space="preserve"> </w:t>
      </w:r>
      <w:r w:rsidR="00E766E8">
        <w:t xml:space="preserve"> </w:t>
      </w:r>
      <w:r w:rsidR="00D2282E" w:rsidRPr="009A0348">
        <w:t xml:space="preserve">Across </w:t>
      </w:r>
      <w:r w:rsidR="002C6F86" w:rsidRPr="009A0348">
        <w:t>the local authority</w:t>
      </w:r>
      <w:r w:rsidR="007A1AB6" w:rsidRPr="009A0348">
        <w:t xml:space="preserve">, </w:t>
      </w:r>
      <w:r w:rsidR="00456367" w:rsidRPr="009A0348">
        <w:t xml:space="preserve">a small proportion (10%) </w:t>
      </w:r>
      <w:r w:rsidR="00D2282E" w:rsidRPr="009A0348">
        <w:t xml:space="preserve">of respondents </w:t>
      </w:r>
      <w:r w:rsidR="00456367" w:rsidRPr="009A0348">
        <w:t>felt they had quite a lot of influence</w:t>
      </w:r>
      <w:r w:rsidR="00D2282E" w:rsidRPr="009A0348">
        <w:t xml:space="preserve"> over other departments’ expenditure</w:t>
      </w:r>
      <w:r w:rsidR="00A43D7D">
        <w:t>;</w:t>
      </w:r>
      <w:r w:rsidR="00456367" w:rsidRPr="00A43D7D">
        <w:t xml:space="preserve"> </w:t>
      </w:r>
      <w:r w:rsidR="007A1AB6" w:rsidRPr="00A43D7D">
        <w:t>o</w:t>
      </w:r>
      <w:r w:rsidR="00571CCF" w:rsidRPr="00A43D7D">
        <w:t xml:space="preserve">ver half </w:t>
      </w:r>
      <w:r w:rsidR="00F63657" w:rsidRPr="00A43D7D">
        <w:t xml:space="preserve">said they had limited influence (54% said </w:t>
      </w:r>
      <w:r w:rsidR="00231103" w:rsidRPr="00A43D7D">
        <w:t>‘</w:t>
      </w:r>
      <w:r w:rsidR="00F63657" w:rsidRPr="00A43D7D">
        <w:t>yes, but not a lot</w:t>
      </w:r>
      <w:r w:rsidR="00231103" w:rsidRPr="00A43D7D">
        <w:t>’</w:t>
      </w:r>
      <w:r w:rsidR="00F63657" w:rsidRPr="00A43D7D">
        <w:t>)</w:t>
      </w:r>
      <w:r w:rsidR="00A43D7D">
        <w:t>;</w:t>
      </w:r>
      <w:r w:rsidR="00F63657" w:rsidRPr="00A43D7D">
        <w:t xml:space="preserve"> and </w:t>
      </w:r>
      <w:r w:rsidR="0087696B">
        <w:t xml:space="preserve">just </w:t>
      </w:r>
      <w:r w:rsidR="00F63657" w:rsidRPr="00A43D7D">
        <w:t xml:space="preserve">over a third (36%) said they had no influence </w:t>
      </w:r>
      <w:r w:rsidR="001D41FE" w:rsidRPr="00A43D7D">
        <w:t>(Fig 2)</w:t>
      </w:r>
      <w:r w:rsidR="00F63657" w:rsidRPr="00A43D7D">
        <w:t>.</w:t>
      </w:r>
    </w:p>
    <w:p w:rsidR="00127BB0" w:rsidRDefault="00127BB0" w:rsidP="002205E0">
      <w:pPr>
        <w:spacing w:after="0" w:line="360" w:lineRule="auto"/>
      </w:pPr>
      <w:r>
        <w:t>[Figure 2 here]</w:t>
      </w:r>
    </w:p>
    <w:p w:rsidR="008A25D4" w:rsidRDefault="008A25D4" w:rsidP="002205E0">
      <w:pPr>
        <w:spacing w:after="0" w:line="360" w:lineRule="auto"/>
      </w:pPr>
    </w:p>
    <w:p w:rsidR="00F63657" w:rsidRDefault="002E0EA3" w:rsidP="002205E0">
      <w:pPr>
        <w:spacing w:after="0" w:line="360" w:lineRule="auto"/>
      </w:pPr>
      <w:r w:rsidRPr="00A43D7D">
        <w:t>Some of the questions about influence were specifically for members of H</w:t>
      </w:r>
      <w:r w:rsidR="00A43D7D">
        <w:t xml:space="preserve">ealth and </w:t>
      </w:r>
      <w:r w:rsidRPr="00A43D7D">
        <w:t>W</w:t>
      </w:r>
      <w:r w:rsidR="00A43D7D">
        <w:t xml:space="preserve">ellbeing </w:t>
      </w:r>
      <w:r w:rsidRPr="00A43D7D">
        <w:t>B</w:t>
      </w:r>
      <w:r w:rsidR="00A43D7D">
        <w:t>oard</w:t>
      </w:r>
      <w:r w:rsidRPr="00A43D7D">
        <w:t>s</w:t>
      </w:r>
      <w:r w:rsidR="00A43D7D">
        <w:t xml:space="preserve"> (HWBs)</w:t>
      </w:r>
      <w:r w:rsidRPr="00A43D7D">
        <w:t xml:space="preserve"> (97%</w:t>
      </w:r>
      <w:r w:rsidR="008009F0" w:rsidRPr="00A43D7D">
        <w:t xml:space="preserve"> </w:t>
      </w:r>
      <w:r w:rsidRPr="00A43D7D">
        <w:t xml:space="preserve">of </w:t>
      </w:r>
      <w:r w:rsidR="008009F0" w:rsidRPr="00A43D7D">
        <w:t>respondents</w:t>
      </w:r>
      <w:r w:rsidR="00E00787">
        <w:t>, N=85</w:t>
      </w:r>
      <w:r w:rsidRPr="00A43D7D">
        <w:t xml:space="preserve">).  </w:t>
      </w:r>
      <w:r w:rsidR="00F63657" w:rsidRPr="00A43D7D">
        <w:t>Those</w:t>
      </w:r>
      <w:r w:rsidR="002C6F86" w:rsidRPr="00A43D7D">
        <w:t xml:space="preserve"> who sat</w:t>
      </w:r>
      <w:r w:rsidR="00F63657" w:rsidRPr="00A43D7D">
        <w:t xml:space="preserve"> on the </w:t>
      </w:r>
      <w:r w:rsidR="00B932B2" w:rsidRPr="00A43D7D">
        <w:t xml:space="preserve">HWB </w:t>
      </w:r>
      <w:r w:rsidR="00F63657" w:rsidRPr="00A43D7D">
        <w:t xml:space="preserve">were positive about the influence </w:t>
      </w:r>
      <w:r w:rsidR="00781647">
        <w:t xml:space="preserve">they felt </w:t>
      </w:r>
      <w:r w:rsidR="00F63657" w:rsidRPr="00A43D7D">
        <w:t>this gave</w:t>
      </w:r>
      <w:r w:rsidR="003921A1">
        <w:t xml:space="preserve"> (Q38</w:t>
      </w:r>
      <w:r w:rsidR="007A1D6D">
        <w:t>, N=82</w:t>
      </w:r>
      <w:r w:rsidR="003921A1">
        <w:t>)</w:t>
      </w:r>
      <w:r w:rsidR="00F63657" w:rsidRPr="00A43D7D">
        <w:t xml:space="preserve">, </w:t>
      </w:r>
      <w:r w:rsidR="00231103" w:rsidRPr="00A43D7D">
        <w:t>enabling them</w:t>
      </w:r>
      <w:r w:rsidR="00F63657" w:rsidRPr="00A43D7D">
        <w:t xml:space="preserve"> to influence decision-making in their own organisation (6</w:t>
      </w:r>
      <w:r w:rsidR="00A865E0">
        <w:t>4</w:t>
      </w:r>
      <w:r w:rsidR="00F63657" w:rsidRPr="00A43D7D">
        <w:t xml:space="preserve">%), </w:t>
      </w:r>
      <w:r w:rsidR="00F63657" w:rsidRPr="009A0348">
        <w:t>in other organisations locally (</w:t>
      </w:r>
      <w:r w:rsidR="00A865E0">
        <w:t>66</w:t>
      </w:r>
      <w:r w:rsidR="00F63657" w:rsidRPr="009A0348">
        <w:t xml:space="preserve">%), and </w:t>
      </w:r>
      <w:r w:rsidR="00E766E8">
        <w:t xml:space="preserve">across </w:t>
      </w:r>
      <w:r w:rsidR="004B4589" w:rsidRPr="009A0348">
        <w:t xml:space="preserve">the </w:t>
      </w:r>
      <w:r w:rsidR="00F63657" w:rsidRPr="009A0348">
        <w:t>local health/social care economy (</w:t>
      </w:r>
      <w:r w:rsidR="00A865E0">
        <w:t>74</w:t>
      </w:r>
      <w:r w:rsidR="00F63657" w:rsidRPr="009A0348">
        <w:t>%).</w:t>
      </w:r>
    </w:p>
    <w:p w:rsidR="008A25D4" w:rsidRPr="009A0348" w:rsidRDefault="008A25D4" w:rsidP="002205E0">
      <w:pPr>
        <w:spacing w:after="0" w:line="360" w:lineRule="auto"/>
      </w:pPr>
    </w:p>
    <w:p w:rsidR="008A25D4" w:rsidRDefault="00A91312" w:rsidP="002205E0">
      <w:pPr>
        <w:spacing w:after="0" w:line="360" w:lineRule="auto"/>
      </w:pPr>
      <w:r w:rsidRPr="009A0348">
        <w:t xml:space="preserve">There were statistically significant associations between </w:t>
      </w:r>
      <w:r w:rsidR="000405BC" w:rsidRPr="009A0348">
        <w:t xml:space="preserve">the responses to some of </w:t>
      </w:r>
      <w:r w:rsidR="00426501" w:rsidRPr="009A0348">
        <w:t>the</w:t>
      </w:r>
      <w:r w:rsidR="000405BC" w:rsidRPr="009A0348">
        <w:t xml:space="preserve"> questions about</w:t>
      </w:r>
      <w:r w:rsidR="00426501" w:rsidRPr="009A0348">
        <w:t xml:space="preserve"> </w:t>
      </w:r>
      <w:r w:rsidRPr="009A0348">
        <w:t>influence</w:t>
      </w:r>
      <w:r w:rsidR="00456367" w:rsidRPr="009A0348">
        <w:t xml:space="preserve"> (</w:t>
      </w:r>
      <w:r w:rsidR="002E0EA3" w:rsidRPr="009A0348">
        <w:t xml:space="preserve">first section of </w:t>
      </w:r>
      <w:r w:rsidR="00456367" w:rsidRPr="009A0348">
        <w:t>Table 1)</w:t>
      </w:r>
      <w:r w:rsidR="000405BC" w:rsidRPr="009A0348">
        <w:t xml:space="preserve">.  </w:t>
      </w:r>
      <w:proofErr w:type="spellStart"/>
      <w:r w:rsidR="004B4589" w:rsidRPr="009A0348">
        <w:t>DsPH</w:t>
      </w:r>
      <w:proofErr w:type="spellEnd"/>
      <w:r w:rsidR="004B4589" w:rsidRPr="009A0348">
        <w:t xml:space="preserve"> </w:t>
      </w:r>
      <w:r w:rsidR="006463EC" w:rsidRPr="009A0348">
        <w:t>who</w:t>
      </w:r>
      <w:r w:rsidR="003921A1">
        <w:t xml:space="preserve">, since the reforms, </w:t>
      </w:r>
      <w:r w:rsidR="00426501" w:rsidRPr="009A0348">
        <w:t>‘</w:t>
      </w:r>
      <w:r w:rsidR="006463EC" w:rsidRPr="009A0348">
        <w:t>always</w:t>
      </w:r>
      <w:r w:rsidR="00426501" w:rsidRPr="009A0348">
        <w:t>’</w:t>
      </w:r>
      <w:r w:rsidR="006463EC" w:rsidRPr="009A0348">
        <w:t xml:space="preserve"> felt able to influence </w:t>
      </w:r>
      <w:r w:rsidR="00BB3CC2" w:rsidRPr="009A0348">
        <w:t xml:space="preserve">priorities </w:t>
      </w:r>
      <w:r w:rsidR="006463EC" w:rsidRPr="009A0348">
        <w:t xml:space="preserve">within their authority (Q21) </w:t>
      </w:r>
      <w:r w:rsidR="00EC5972">
        <w:t xml:space="preserve">also felt: </w:t>
      </w:r>
      <w:r w:rsidR="00BB3CC2" w:rsidRPr="009A0348">
        <w:t xml:space="preserve">more able to influence the work of the local authority </w:t>
      </w:r>
      <w:r w:rsidR="006463EC" w:rsidRPr="009A0348">
        <w:t>(Q22</w:t>
      </w:r>
      <w:r w:rsidR="00276DB1">
        <w:t>ii</w:t>
      </w:r>
      <w:r w:rsidR="00BB3CC2" w:rsidRPr="009A0348">
        <w:t>, chi-square = 48</w:t>
      </w:r>
      <w:r w:rsidR="00395073" w:rsidRPr="009A0348">
        <w:t xml:space="preserve">.3, </w:t>
      </w:r>
      <w:proofErr w:type="spellStart"/>
      <w:proofErr w:type="gramStart"/>
      <w:r w:rsidR="00395073" w:rsidRPr="009A0348">
        <w:t>df</w:t>
      </w:r>
      <w:proofErr w:type="spellEnd"/>
      <w:r w:rsidR="00395073" w:rsidRPr="009A0348">
        <w:t>=</w:t>
      </w:r>
      <w:proofErr w:type="gramEnd"/>
      <w:r w:rsidR="00395073" w:rsidRPr="009A0348">
        <w:t>2</w:t>
      </w:r>
      <w:r w:rsidR="00BB3CC2" w:rsidRPr="009A0348">
        <w:t>, p=0.000</w:t>
      </w:r>
      <w:r w:rsidR="006463EC" w:rsidRPr="009A0348">
        <w:t>)</w:t>
      </w:r>
      <w:r w:rsidR="003921A1">
        <w:t>;</w:t>
      </w:r>
      <w:r w:rsidR="006463EC" w:rsidRPr="009A0348">
        <w:t xml:space="preserve"> </w:t>
      </w:r>
      <w:r w:rsidR="006F5671">
        <w:t xml:space="preserve">and that </w:t>
      </w:r>
      <w:r w:rsidR="000405BC" w:rsidRPr="009A0348">
        <w:t xml:space="preserve">they </w:t>
      </w:r>
      <w:r w:rsidR="00BB3CC2" w:rsidRPr="009A0348">
        <w:t>had</w:t>
      </w:r>
      <w:r w:rsidR="00426501" w:rsidRPr="009A0348">
        <w:t xml:space="preserve"> </w:t>
      </w:r>
      <w:r w:rsidR="00BB3CC2" w:rsidRPr="009A0348">
        <w:t>influence over other departments</w:t>
      </w:r>
      <w:r w:rsidR="00E766E8">
        <w:t>’</w:t>
      </w:r>
      <w:r w:rsidR="00BB3CC2" w:rsidRPr="009A0348">
        <w:t xml:space="preserve"> expenditure </w:t>
      </w:r>
      <w:r w:rsidR="006463EC" w:rsidRPr="009A0348">
        <w:t>(Q31</w:t>
      </w:r>
      <w:r w:rsidR="00BB3CC2" w:rsidRPr="009A0348">
        <w:t>, chi-square = 1</w:t>
      </w:r>
      <w:r w:rsidR="00395073" w:rsidRPr="009A0348">
        <w:t>5.7</w:t>
      </w:r>
      <w:r w:rsidR="00BB3CC2" w:rsidRPr="009A0348">
        <w:t xml:space="preserve">, </w:t>
      </w:r>
      <w:proofErr w:type="spellStart"/>
      <w:r w:rsidR="00395073" w:rsidRPr="009A0348">
        <w:t>df</w:t>
      </w:r>
      <w:proofErr w:type="spellEnd"/>
      <w:r w:rsidR="00395073" w:rsidRPr="009A0348">
        <w:t xml:space="preserve">=4, </w:t>
      </w:r>
      <w:r w:rsidR="00BB3CC2" w:rsidRPr="009A0348">
        <w:t>p=0.003</w:t>
      </w:r>
      <w:r w:rsidR="006463EC" w:rsidRPr="009A0348">
        <w:t>).  There was also an association between influence</w:t>
      </w:r>
      <w:r w:rsidR="008A22E3" w:rsidRPr="009A0348">
        <w:t xml:space="preserve"> in the authority</w:t>
      </w:r>
      <w:r w:rsidR="006463EC" w:rsidRPr="009A0348">
        <w:t xml:space="preserve"> (Q21) and</w:t>
      </w:r>
      <w:r w:rsidR="008A22E3" w:rsidRPr="009A0348">
        <w:t xml:space="preserve"> feeling able to deliver real health improvements</w:t>
      </w:r>
      <w:r w:rsidR="006463EC" w:rsidRPr="009A0348">
        <w:t xml:space="preserve"> in other areas like workplaces and schools (Q22</w:t>
      </w:r>
      <w:r w:rsidR="00276DB1">
        <w:t>iv</w:t>
      </w:r>
      <w:r w:rsidR="00BB3CC2" w:rsidRPr="009A0348">
        <w:t xml:space="preserve">, chi-square = </w:t>
      </w:r>
      <w:r w:rsidR="001D32CB" w:rsidRPr="009A0348">
        <w:t>6.0</w:t>
      </w:r>
      <w:r w:rsidR="00BB3CC2" w:rsidRPr="009A0348">
        <w:t xml:space="preserve">, </w:t>
      </w:r>
      <w:proofErr w:type="spellStart"/>
      <w:r w:rsidR="008A22E3" w:rsidRPr="009A0348">
        <w:t>df</w:t>
      </w:r>
      <w:proofErr w:type="spellEnd"/>
      <w:r w:rsidR="008A22E3" w:rsidRPr="009A0348">
        <w:t xml:space="preserve">=2, </w:t>
      </w:r>
      <w:r w:rsidR="00BB3CC2" w:rsidRPr="009A0348">
        <w:t>p=</w:t>
      </w:r>
      <w:r w:rsidR="001D32CB" w:rsidRPr="009A0348">
        <w:t>0</w:t>
      </w:r>
      <w:r w:rsidR="00BB3CC2" w:rsidRPr="009A0348">
        <w:t>.0</w:t>
      </w:r>
      <w:r w:rsidR="001D32CB" w:rsidRPr="009A0348">
        <w:t>50</w:t>
      </w:r>
      <w:r w:rsidR="006463EC" w:rsidRPr="009A0348">
        <w:t xml:space="preserve">).  </w:t>
      </w:r>
    </w:p>
    <w:p w:rsidR="008A25D4" w:rsidRPr="009A0348" w:rsidRDefault="008A25D4" w:rsidP="002205E0">
      <w:pPr>
        <w:spacing w:after="0" w:line="360" w:lineRule="auto"/>
      </w:pPr>
    </w:p>
    <w:p w:rsidR="00003283" w:rsidRPr="00656425" w:rsidRDefault="00A334B4" w:rsidP="002205E0">
      <w:pPr>
        <w:spacing w:after="0" w:line="360" w:lineRule="auto"/>
        <w:rPr>
          <w:i/>
        </w:rPr>
      </w:pPr>
      <w:r w:rsidRPr="00656425">
        <w:rPr>
          <w:i/>
        </w:rPr>
        <w:lastRenderedPageBreak/>
        <w:t>Influence of public health compared to local authority characteristics</w:t>
      </w:r>
    </w:p>
    <w:p w:rsidR="00192E14" w:rsidRDefault="00D2282E" w:rsidP="002205E0">
      <w:pPr>
        <w:spacing w:after="0" w:line="360" w:lineRule="auto"/>
      </w:pPr>
      <w:r w:rsidRPr="009A0348">
        <w:t>Th</w:t>
      </w:r>
      <w:r w:rsidR="002E0EA3" w:rsidRPr="009A0348">
        <w:t xml:space="preserve">is section examines </w:t>
      </w:r>
      <w:r w:rsidR="00E93C5D" w:rsidRPr="00A43D7D">
        <w:t>whether</w:t>
      </w:r>
      <w:r w:rsidR="002C2C01" w:rsidRPr="00A43D7D">
        <w:t xml:space="preserve"> th</w:t>
      </w:r>
      <w:r w:rsidR="00A43D7D">
        <w:t>e</w:t>
      </w:r>
      <w:r w:rsidRPr="00A43D7D">
        <w:t xml:space="preserve"> </w:t>
      </w:r>
      <w:r w:rsidR="008A22E3" w:rsidRPr="00A43D7D">
        <w:t>views on influence</w:t>
      </w:r>
      <w:r w:rsidR="00B113CA" w:rsidRPr="00A43D7D">
        <w:t xml:space="preserve"> </w:t>
      </w:r>
      <w:r w:rsidRPr="00A43D7D">
        <w:t>vari</w:t>
      </w:r>
      <w:r w:rsidR="00E93C5D" w:rsidRPr="00A43D7D">
        <w:t>ed</w:t>
      </w:r>
      <w:r w:rsidRPr="00A43D7D">
        <w:t xml:space="preserve"> </w:t>
      </w:r>
      <w:r w:rsidR="00B113CA" w:rsidRPr="00A43D7D">
        <w:t>according to characteristics of the authority</w:t>
      </w:r>
      <w:r w:rsidR="008A22E3" w:rsidRPr="009A0348">
        <w:t xml:space="preserve"> where </w:t>
      </w:r>
      <w:proofErr w:type="spellStart"/>
      <w:r w:rsidR="008A22E3" w:rsidRPr="009A0348">
        <w:t>DsPH</w:t>
      </w:r>
      <w:proofErr w:type="spellEnd"/>
      <w:r w:rsidR="008A22E3" w:rsidRPr="009A0348">
        <w:t xml:space="preserve"> were based</w:t>
      </w:r>
      <w:r w:rsidR="00B113CA" w:rsidRPr="009A0348">
        <w:t xml:space="preserve">, </w:t>
      </w:r>
      <w:r w:rsidR="00E93C5D" w:rsidRPr="009A0348">
        <w:t>such as</w:t>
      </w:r>
      <w:r w:rsidR="00625373" w:rsidRPr="009A0348">
        <w:t xml:space="preserve"> </w:t>
      </w:r>
      <w:r w:rsidR="00B113CA" w:rsidRPr="009A0348">
        <w:t xml:space="preserve">the type of authority, the political party in power, </w:t>
      </w:r>
      <w:r w:rsidR="00A91312" w:rsidRPr="009A0348">
        <w:t xml:space="preserve">the number of residents </w:t>
      </w:r>
      <w:r w:rsidR="00E93C5D" w:rsidRPr="009A0348">
        <w:t xml:space="preserve">and </w:t>
      </w:r>
      <w:r w:rsidR="002C4DBF" w:rsidRPr="009A0348">
        <w:t>the size of</w:t>
      </w:r>
      <w:r w:rsidR="00A91312" w:rsidRPr="009A0348">
        <w:t xml:space="preserve"> the public health budget.  </w:t>
      </w:r>
      <w:r w:rsidR="008A22E3" w:rsidRPr="009A0348">
        <w:t>There were</w:t>
      </w:r>
      <w:r w:rsidR="00330C60" w:rsidRPr="009A0348">
        <w:t xml:space="preserve"> </w:t>
      </w:r>
      <w:r w:rsidR="00587FFA" w:rsidRPr="009A0348">
        <w:t>slightly more</w:t>
      </w:r>
      <w:r w:rsidR="008A22E3" w:rsidRPr="009A0348">
        <w:t xml:space="preserve"> </w:t>
      </w:r>
      <w:r w:rsidR="00287100" w:rsidRPr="009A0348">
        <w:t xml:space="preserve">statistically </w:t>
      </w:r>
      <w:r w:rsidR="008A22E3" w:rsidRPr="009A0348">
        <w:t>significant associations</w:t>
      </w:r>
      <w:r w:rsidR="00587FFA" w:rsidRPr="009A0348">
        <w:t xml:space="preserve"> at the 95% confidence level</w:t>
      </w:r>
      <w:r w:rsidR="008A22E3" w:rsidRPr="009A0348">
        <w:t xml:space="preserve"> </w:t>
      </w:r>
      <w:r w:rsidR="00587FFA" w:rsidRPr="009A0348">
        <w:t>than would be expected by chance</w:t>
      </w:r>
      <w:r w:rsidR="00E93C5D" w:rsidRPr="009A0348">
        <w:t xml:space="preserve"> (</w:t>
      </w:r>
      <w:r w:rsidR="00AA5756">
        <w:t xml:space="preserve">tests </w:t>
      </w:r>
      <w:r w:rsidR="00C1725F">
        <w:t xml:space="preserve">of association </w:t>
      </w:r>
      <w:r w:rsidR="00AA5756">
        <w:t xml:space="preserve">were carried out </w:t>
      </w:r>
      <w:r w:rsidR="00C1725F">
        <w:t>between</w:t>
      </w:r>
      <w:r w:rsidR="00AA5756">
        <w:t xml:space="preserve"> all the influence question</w:t>
      </w:r>
      <w:r w:rsidR="00514BED">
        <w:t>s</w:t>
      </w:r>
      <w:r w:rsidR="00C1725F">
        <w:t xml:space="preserve"> and local authority factors</w:t>
      </w:r>
      <w:r w:rsidR="00AA5756">
        <w:t xml:space="preserve">, </w:t>
      </w:r>
      <w:r w:rsidR="00C1725F">
        <w:t xml:space="preserve">although </w:t>
      </w:r>
      <w:r w:rsidR="00674521">
        <w:t>test results</w:t>
      </w:r>
      <w:r w:rsidR="00AA5756">
        <w:t xml:space="preserve"> only </w:t>
      </w:r>
      <w:r w:rsidR="00C1725F">
        <w:t xml:space="preserve">for </w:t>
      </w:r>
      <w:r w:rsidR="00AA5756">
        <w:t>the opening influence question are given</w:t>
      </w:r>
      <w:r w:rsidR="00674521">
        <w:t xml:space="preserve"> in </w:t>
      </w:r>
      <w:r w:rsidR="00915E94">
        <w:t>part</w:t>
      </w:r>
      <w:r w:rsidR="00E93C5D" w:rsidRPr="009A0348">
        <w:t xml:space="preserve"> 2 of Table 1)</w:t>
      </w:r>
      <w:r w:rsidR="00587FFA" w:rsidRPr="009A0348">
        <w:t xml:space="preserve">.  </w:t>
      </w:r>
      <w:r w:rsidR="000F6E40">
        <w:t>Some of the</w:t>
      </w:r>
      <w:r w:rsidR="00587FFA" w:rsidRPr="009A0348">
        <w:t xml:space="preserve"> </w:t>
      </w:r>
      <w:r w:rsidR="000405BC" w:rsidRPr="009A0348">
        <w:t>local factors</w:t>
      </w:r>
      <w:r w:rsidR="00C00D00" w:rsidRPr="009A0348">
        <w:t xml:space="preserve"> </w:t>
      </w:r>
      <w:r w:rsidR="00C1725F">
        <w:t xml:space="preserve">were </w:t>
      </w:r>
      <w:r w:rsidR="00C00D00" w:rsidRPr="009A0348">
        <w:t>associat</w:t>
      </w:r>
      <w:r w:rsidR="000405BC" w:rsidRPr="009A0348">
        <w:t>ed with</w:t>
      </w:r>
      <w:r w:rsidR="00C00D00" w:rsidRPr="009A0348">
        <w:t xml:space="preserve"> </w:t>
      </w:r>
      <w:proofErr w:type="spellStart"/>
      <w:r w:rsidR="00C1725F">
        <w:t>DsPH</w:t>
      </w:r>
      <w:proofErr w:type="spellEnd"/>
      <w:r w:rsidR="00C1725F">
        <w:t xml:space="preserve"> </w:t>
      </w:r>
      <w:r w:rsidR="002C4DBF" w:rsidRPr="009A0348">
        <w:t>feeling</w:t>
      </w:r>
      <w:r w:rsidR="00C00D00" w:rsidRPr="009A0348">
        <w:t xml:space="preserve"> able to influ</w:t>
      </w:r>
      <w:r w:rsidR="002C4DBF" w:rsidRPr="009A0348">
        <w:t xml:space="preserve">ence priorities within the </w:t>
      </w:r>
      <w:r w:rsidR="00F07FA8" w:rsidRPr="009A0348">
        <w:t>local authority</w:t>
      </w:r>
      <w:r w:rsidR="002C4DBF" w:rsidRPr="009A0348">
        <w:t xml:space="preserve"> (Q</w:t>
      </w:r>
      <w:r w:rsidR="00C00D00" w:rsidRPr="009A0348">
        <w:t>21), a</w:t>
      </w:r>
      <w:r w:rsidR="002C4DBF" w:rsidRPr="009A0348">
        <w:t>nd</w:t>
      </w:r>
      <w:r w:rsidR="00C00D00" w:rsidRPr="009A0348">
        <w:t xml:space="preserve"> </w:t>
      </w:r>
      <w:r w:rsidR="00C1725F">
        <w:t>having</w:t>
      </w:r>
      <w:r w:rsidR="00C1725F" w:rsidRPr="009A0348">
        <w:t xml:space="preserve"> influence more widely in the local economy </w:t>
      </w:r>
      <w:r w:rsidR="00C1725F">
        <w:t>through their membership of</w:t>
      </w:r>
      <w:r w:rsidR="00C00D00" w:rsidRPr="009A0348">
        <w:t xml:space="preserve"> the HWB (</w:t>
      </w:r>
      <w:r w:rsidR="002C4DBF" w:rsidRPr="009A0348">
        <w:t>Q</w:t>
      </w:r>
      <w:r w:rsidR="00C00D00" w:rsidRPr="009A0348">
        <w:t>38</w:t>
      </w:r>
      <w:r w:rsidR="00276DB1">
        <w:t>ii</w:t>
      </w:r>
      <w:r w:rsidR="00C00D00" w:rsidRPr="009A0348">
        <w:t>, Q38</w:t>
      </w:r>
      <w:r w:rsidR="00276DB1">
        <w:t>iii</w:t>
      </w:r>
      <w:r w:rsidR="00C00D00" w:rsidRPr="009A0348">
        <w:t>)</w:t>
      </w:r>
      <w:r w:rsidR="002C4DBF" w:rsidRPr="009A0348">
        <w:t>.</w:t>
      </w:r>
      <w:r w:rsidR="00C00D00" w:rsidRPr="009A0348">
        <w:t xml:space="preserve"> </w:t>
      </w:r>
      <w:r w:rsidR="002C4DBF" w:rsidRPr="009A0348">
        <w:t xml:space="preserve"> </w:t>
      </w:r>
      <w:r w:rsidR="00C00D00" w:rsidRPr="009A0348">
        <w:t xml:space="preserve">Specifically, </w:t>
      </w:r>
      <w:r w:rsidR="00CE082D">
        <w:t>while 15% of</w:t>
      </w:r>
      <w:r w:rsidR="00A43D7D">
        <w:t xml:space="preserve"> </w:t>
      </w:r>
      <w:proofErr w:type="spellStart"/>
      <w:r w:rsidR="004B4589" w:rsidRPr="00A43D7D">
        <w:t>DsPH</w:t>
      </w:r>
      <w:proofErr w:type="spellEnd"/>
      <w:r w:rsidR="004B4589" w:rsidRPr="00A43D7D">
        <w:t xml:space="preserve"> </w:t>
      </w:r>
      <w:r w:rsidR="00A43D7D">
        <w:t xml:space="preserve">felt </w:t>
      </w:r>
      <w:r w:rsidR="00B8693A" w:rsidRPr="00A43D7D">
        <w:t>they were always</w:t>
      </w:r>
      <w:r w:rsidR="00587FFA" w:rsidRPr="00A43D7D">
        <w:t xml:space="preserve"> able to influence</w:t>
      </w:r>
      <w:r w:rsidR="00F023FE" w:rsidRPr="00A43D7D">
        <w:t xml:space="preserve"> the priorities in their authority</w:t>
      </w:r>
      <w:r w:rsidR="00EC5972">
        <w:t>,</w:t>
      </w:r>
      <w:r w:rsidR="00F023FE" w:rsidRPr="00A43D7D">
        <w:t xml:space="preserve"> </w:t>
      </w:r>
      <w:r w:rsidR="00CE082D">
        <w:t>this fell to 4% in</w:t>
      </w:r>
      <w:r w:rsidR="00C1405B" w:rsidRPr="00A43D7D">
        <w:t xml:space="preserve"> areas with greatest material deprivation</w:t>
      </w:r>
      <w:r w:rsidR="00EC5972">
        <w:t>.</w:t>
      </w:r>
      <w:r w:rsidR="001D70FB" w:rsidRPr="00A43D7D">
        <w:t xml:space="preserve"> </w:t>
      </w:r>
      <w:r w:rsidR="009A33C5">
        <w:t xml:space="preserve"> </w:t>
      </w:r>
      <w:r w:rsidR="00074C64" w:rsidRPr="00A43D7D">
        <w:t xml:space="preserve">Although </w:t>
      </w:r>
      <w:proofErr w:type="spellStart"/>
      <w:r w:rsidR="00E854B2" w:rsidRPr="00A43D7D">
        <w:t>DsPH</w:t>
      </w:r>
      <w:proofErr w:type="spellEnd"/>
      <w:r w:rsidR="00E854B2" w:rsidRPr="00A43D7D">
        <w:t xml:space="preserve"> </w:t>
      </w:r>
      <w:r w:rsidR="00074C64" w:rsidRPr="00A43D7D">
        <w:t>had been positive about</w:t>
      </w:r>
      <w:r w:rsidR="00E854B2" w:rsidRPr="00A43D7D">
        <w:t xml:space="preserve"> m</w:t>
      </w:r>
      <w:r w:rsidR="007263B7" w:rsidRPr="00A43D7D">
        <w:t>embership</w:t>
      </w:r>
      <w:r w:rsidR="00DA175E" w:rsidRPr="00A43D7D">
        <w:t xml:space="preserve"> of the HWB</w:t>
      </w:r>
      <w:r w:rsidR="00E766E8">
        <w:t>,</w:t>
      </w:r>
      <w:r w:rsidR="00074C64" w:rsidRPr="00A43D7D">
        <w:t xml:space="preserve"> with 6</w:t>
      </w:r>
      <w:r w:rsidR="00CE082D">
        <w:t>4</w:t>
      </w:r>
      <w:r w:rsidR="00074C64" w:rsidRPr="00A43D7D">
        <w:t>-7</w:t>
      </w:r>
      <w:r w:rsidR="00CE082D">
        <w:t>4</w:t>
      </w:r>
      <w:r w:rsidR="00074C64" w:rsidRPr="00A43D7D">
        <w:t>% saying it</w:t>
      </w:r>
      <w:r w:rsidR="007263B7" w:rsidRPr="00A43D7D">
        <w:t xml:space="preserve"> enabled </w:t>
      </w:r>
      <w:r w:rsidR="00E854B2" w:rsidRPr="00A43D7D">
        <w:t>them</w:t>
      </w:r>
      <w:r w:rsidR="007263B7" w:rsidRPr="00A43D7D">
        <w:t xml:space="preserve"> to be </w:t>
      </w:r>
      <w:r w:rsidR="00DA175E" w:rsidRPr="00A43D7D">
        <w:t>influen</w:t>
      </w:r>
      <w:r w:rsidR="00E854B2" w:rsidRPr="00A43D7D">
        <w:t>tial in</w:t>
      </w:r>
      <w:r w:rsidR="00647F82" w:rsidRPr="00A43D7D">
        <w:t xml:space="preserve"> decision-making</w:t>
      </w:r>
      <w:r w:rsidR="00E854B2" w:rsidRPr="00A43D7D">
        <w:t xml:space="preserve"> in various </w:t>
      </w:r>
      <w:proofErr w:type="gramStart"/>
      <w:r w:rsidR="00E854B2" w:rsidRPr="00A43D7D">
        <w:t>ways</w:t>
      </w:r>
      <w:r w:rsidR="004369E8">
        <w:t>,</w:t>
      </w:r>
      <w:proofErr w:type="gramEnd"/>
      <w:r w:rsidR="00E854B2" w:rsidRPr="00A43D7D">
        <w:t xml:space="preserve"> there were </w:t>
      </w:r>
      <w:r w:rsidR="00074C64" w:rsidRPr="00A43D7D">
        <w:t>situations</w:t>
      </w:r>
      <w:r w:rsidR="00E854B2" w:rsidRPr="00A43D7D">
        <w:t xml:space="preserve"> where membership</w:t>
      </w:r>
      <w:r w:rsidR="00074C64" w:rsidRPr="00A43D7D">
        <w:t xml:space="preserve"> of the HWB</w:t>
      </w:r>
      <w:r w:rsidR="00E854B2" w:rsidRPr="00A43D7D">
        <w:t xml:space="preserve"> </w:t>
      </w:r>
      <w:r w:rsidR="004369E8">
        <w:t>was</w:t>
      </w:r>
      <w:r w:rsidR="00074C64" w:rsidRPr="00A43D7D">
        <w:t xml:space="preserve"> less</w:t>
      </w:r>
      <w:r w:rsidR="004369E8">
        <w:t xml:space="preserve"> highly valued</w:t>
      </w:r>
      <w:r w:rsidR="00B57B9C">
        <w:t>.</w:t>
      </w:r>
      <w:r w:rsidR="00DA175E" w:rsidRPr="00A43D7D">
        <w:t xml:space="preserve"> </w:t>
      </w:r>
      <w:r w:rsidR="00B57B9C">
        <w:t>F</w:t>
      </w:r>
      <w:r w:rsidR="00DA175E" w:rsidRPr="00A43D7D">
        <w:t>or example</w:t>
      </w:r>
      <w:r w:rsidR="00B57B9C">
        <w:t xml:space="preserve">, </w:t>
      </w:r>
      <w:r w:rsidR="00DA175E" w:rsidRPr="00A43D7D">
        <w:t>i</w:t>
      </w:r>
      <w:r w:rsidR="00330C60" w:rsidRPr="00A43D7D">
        <w:t>n London boroughs</w:t>
      </w:r>
      <w:r w:rsidR="006B2298" w:rsidRPr="00A43D7D">
        <w:t xml:space="preserve"> </w:t>
      </w:r>
      <w:r w:rsidR="00074C64" w:rsidRPr="00A43D7D">
        <w:t>(17 responses)</w:t>
      </w:r>
      <w:r w:rsidR="008F58B8" w:rsidRPr="00A43D7D">
        <w:t xml:space="preserve"> </w:t>
      </w:r>
      <w:r w:rsidR="000405BC" w:rsidRPr="00A43D7D">
        <w:t xml:space="preserve">compared to other types of councils, </w:t>
      </w:r>
      <w:r w:rsidR="00074C64" w:rsidRPr="00A43D7D">
        <w:t>59%</w:t>
      </w:r>
      <w:r w:rsidR="00EC5972">
        <w:t xml:space="preserve"> of</w:t>
      </w:r>
      <w:r w:rsidR="00330C60" w:rsidRPr="00A43D7D">
        <w:t xml:space="preserve"> </w:t>
      </w:r>
      <w:proofErr w:type="spellStart"/>
      <w:r w:rsidR="00330C60" w:rsidRPr="00A43D7D">
        <w:t>DsPH</w:t>
      </w:r>
      <w:proofErr w:type="spellEnd"/>
      <w:r w:rsidR="00330C60" w:rsidRPr="00A43D7D">
        <w:t xml:space="preserve"> </w:t>
      </w:r>
      <w:r w:rsidR="008F58B8" w:rsidRPr="00A43D7D">
        <w:t xml:space="preserve">said that being </w:t>
      </w:r>
      <w:r w:rsidR="00330C60" w:rsidRPr="00A43D7D">
        <w:t xml:space="preserve">on the HWB </w:t>
      </w:r>
      <w:r w:rsidR="008F58B8" w:rsidRPr="00A43D7D">
        <w:t>allowed them to</w:t>
      </w:r>
      <w:r w:rsidR="00330C60" w:rsidRPr="00A43D7D">
        <w:t xml:space="preserve"> </w:t>
      </w:r>
      <w:r w:rsidR="008F58B8" w:rsidRPr="00A43D7D">
        <w:t xml:space="preserve">strategically </w:t>
      </w:r>
      <w:r w:rsidR="00330C60" w:rsidRPr="00A43D7D">
        <w:t xml:space="preserve">influence </w:t>
      </w:r>
      <w:r w:rsidR="008F58B8" w:rsidRPr="00A43D7D">
        <w:t xml:space="preserve">work in </w:t>
      </w:r>
      <w:r w:rsidR="00330C60" w:rsidRPr="00A43D7D">
        <w:t>the local health/social economy compared to the average of 7</w:t>
      </w:r>
      <w:r w:rsidR="00CE082D">
        <w:t>4</w:t>
      </w:r>
      <w:r w:rsidR="00330C60" w:rsidRPr="00A43D7D">
        <w:t>%</w:t>
      </w:r>
      <w:r w:rsidR="00B80FFF">
        <w:t xml:space="preserve"> (</w:t>
      </w:r>
      <w:r w:rsidR="00B80FFF" w:rsidRPr="009A0348">
        <w:t xml:space="preserve">chi-square = </w:t>
      </w:r>
      <w:r w:rsidR="00B80FFF">
        <w:t>8</w:t>
      </w:r>
      <w:r w:rsidR="00B80FFF" w:rsidRPr="009A0348">
        <w:t xml:space="preserve">.9, </w:t>
      </w:r>
      <w:proofErr w:type="spellStart"/>
      <w:r w:rsidR="00B80FFF" w:rsidRPr="009A0348">
        <w:t>df</w:t>
      </w:r>
      <w:proofErr w:type="spellEnd"/>
      <w:r w:rsidR="00B80FFF" w:rsidRPr="009A0348">
        <w:t>=</w:t>
      </w:r>
      <w:r w:rsidR="00B80FFF">
        <w:t>3</w:t>
      </w:r>
      <w:r w:rsidR="00B80FFF" w:rsidRPr="009A0348">
        <w:t>, p=0.03</w:t>
      </w:r>
      <w:r w:rsidR="00B80FFF">
        <w:t>0)</w:t>
      </w:r>
      <w:r w:rsidR="00330C60" w:rsidRPr="00A43D7D">
        <w:t xml:space="preserve">.  </w:t>
      </w:r>
      <w:r w:rsidR="00B8693A" w:rsidRPr="00A43D7D">
        <w:t xml:space="preserve">In </w:t>
      </w:r>
      <w:r w:rsidR="008E1E20" w:rsidRPr="00A43D7D">
        <w:t>C</w:t>
      </w:r>
      <w:r w:rsidR="00B8693A" w:rsidRPr="00A43D7D">
        <w:t>onservative</w:t>
      </w:r>
      <w:r w:rsidR="008E1E20" w:rsidRPr="00A43D7D">
        <w:t>-</w:t>
      </w:r>
      <w:r w:rsidR="00B8693A" w:rsidRPr="00A43D7D">
        <w:t>led councils</w:t>
      </w:r>
      <w:r w:rsidR="004F4B19" w:rsidRPr="00A43D7D">
        <w:t xml:space="preserve"> (25 responses)</w:t>
      </w:r>
      <w:r w:rsidR="00B932B2" w:rsidRPr="00A43D7D">
        <w:t>,</w:t>
      </w:r>
      <w:r w:rsidR="008E1E20" w:rsidRPr="00A43D7D">
        <w:t xml:space="preserve"> a lower percentage of </w:t>
      </w:r>
      <w:proofErr w:type="spellStart"/>
      <w:r w:rsidR="00B8693A" w:rsidRPr="00A43D7D">
        <w:t>DsPH</w:t>
      </w:r>
      <w:proofErr w:type="spellEnd"/>
      <w:r w:rsidR="00B8693A" w:rsidRPr="00A43D7D">
        <w:t xml:space="preserve"> </w:t>
      </w:r>
      <w:r w:rsidR="008E1E20" w:rsidRPr="00A43D7D">
        <w:t xml:space="preserve">said that being </w:t>
      </w:r>
      <w:r w:rsidR="00B8693A" w:rsidRPr="00A43D7D">
        <w:t xml:space="preserve">on the HWB </w:t>
      </w:r>
      <w:r w:rsidR="008F58B8" w:rsidRPr="00A43D7D">
        <w:t xml:space="preserve">allowed them to </w:t>
      </w:r>
      <w:r w:rsidR="00B8693A" w:rsidRPr="00A43D7D">
        <w:t xml:space="preserve">influence </w:t>
      </w:r>
      <w:r w:rsidR="008F58B8" w:rsidRPr="00A43D7D">
        <w:t>decision-making in</w:t>
      </w:r>
      <w:r w:rsidR="00B8693A" w:rsidRPr="00A43D7D">
        <w:t xml:space="preserve"> other organisations locally (48% compared to the average of 6</w:t>
      </w:r>
      <w:r w:rsidR="00CE082D">
        <w:t>6</w:t>
      </w:r>
      <w:r w:rsidR="00B8693A" w:rsidRPr="00A43D7D">
        <w:t>%</w:t>
      </w:r>
      <w:r w:rsidR="00B80FFF">
        <w:t xml:space="preserve">, chi-square = 7.2, </w:t>
      </w:r>
      <w:proofErr w:type="spellStart"/>
      <w:proofErr w:type="gramStart"/>
      <w:r w:rsidR="00B80FFF">
        <w:t>df</w:t>
      </w:r>
      <w:proofErr w:type="spellEnd"/>
      <w:r w:rsidR="00B80FFF">
        <w:t>=</w:t>
      </w:r>
      <w:proofErr w:type="gramEnd"/>
      <w:r w:rsidR="00B80FFF">
        <w:t>2, p=0.027</w:t>
      </w:r>
      <w:r w:rsidR="008F58B8" w:rsidRPr="00A43D7D">
        <w:t>)</w:t>
      </w:r>
      <w:r w:rsidR="00B8693A" w:rsidRPr="00A43D7D">
        <w:t>.</w:t>
      </w:r>
    </w:p>
    <w:p w:rsidR="008A25D4" w:rsidRPr="00A43D7D" w:rsidRDefault="008A25D4" w:rsidP="002205E0">
      <w:pPr>
        <w:spacing w:after="0" w:line="360" w:lineRule="auto"/>
      </w:pPr>
    </w:p>
    <w:p w:rsidR="00571CCF" w:rsidRDefault="00192E14" w:rsidP="002205E0">
      <w:pPr>
        <w:spacing w:after="0" w:line="360" w:lineRule="auto"/>
      </w:pPr>
      <w:r w:rsidRPr="00A43D7D">
        <w:t>The experience in two-tier authorities was compared to that in unitary authorities.  There were some indications of variation</w:t>
      </w:r>
      <w:r w:rsidR="00B932B2" w:rsidRPr="00A43D7D">
        <w:t>;</w:t>
      </w:r>
      <w:r w:rsidRPr="00A43D7D">
        <w:t xml:space="preserve"> 88% of </w:t>
      </w:r>
      <w:r w:rsidR="00B932B2" w:rsidRPr="00A43D7D">
        <w:t xml:space="preserve">respondents </w:t>
      </w:r>
      <w:r w:rsidR="008C1743" w:rsidRPr="00A43D7D">
        <w:t xml:space="preserve">in </w:t>
      </w:r>
      <w:r w:rsidRPr="00A43D7D">
        <w:t xml:space="preserve">two-tier authorities compared to 57% of </w:t>
      </w:r>
      <w:r w:rsidR="008C1743" w:rsidRPr="00A43D7D">
        <w:t xml:space="preserve">those in </w:t>
      </w:r>
      <w:r w:rsidRPr="00A43D7D">
        <w:t>unitar</w:t>
      </w:r>
      <w:r w:rsidR="00092172" w:rsidRPr="00A43D7D">
        <w:t>y authorit</w:t>
      </w:r>
      <w:r w:rsidRPr="00A43D7D">
        <w:t xml:space="preserve">ies </w:t>
      </w:r>
      <w:r w:rsidR="00B932B2" w:rsidRPr="00A43D7D">
        <w:t xml:space="preserve">said </w:t>
      </w:r>
      <w:r w:rsidR="00840481" w:rsidRPr="00A43D7D">
        <w:t>they had</w:t>
      </w:r>
      <w:r w:rsidRPr="00A43D7D">
        <w:t xml:space="preserve"> influence over other departments’ expenditure</w:t>
      </w:r>
      <w:r w:rsidR="0036552E">
        <w:t>, and t</w:t>
      </w:r>
      <w:r w:rsidR="008C1743" w:rsidRPr="00A43D7D">
        <w:t>hey</w:t>
      </w:r>
      <w:r w:rsidR="00840481" w:rsidRPr="00A43D7D">
        <w:t xml:space="preserve"> felt more </w:t>
      </w:r>
      <w:r w:rsidR="00B932B2" w:rsidRPr="00A43D7D">
        <w:t xml:space="preserve">able </w:t>
      </w:r>
      <w:r w:rsidR="00840481" w:rsidRPr="00A43D7D">
        <w:t xml:space="preserve">to influence the wider economy and had made commissioning changes, </w:t>
      </w:r>
      <w:r w:rsidRPr="00A43D7D">
        <w:t>but the number of two-tier authorities in the survey was small (N=17)</w:t>
      </w:r>
      <w:r w:rsidR="009B633C">
        <w:t>,</w:t>
      </w:r>
      <w:r w:rsidRPr="00A43D7D">
        <w:t xml:space="preserve"> and none of the</w:t>
      </w:r>
      <w:r w:rsidR="00840481" w:rsidRPr="00A43D7D">
        <w:t>se</w:t>
      </w:r>
      <w:r w:rsidRPr="00A43D7D">
        <w:t xml:space="preserve"> differences </w:t>
      </w:r>
      <w:r w:rsidR="009B633C" w:rsidRPr="00A43D7D">
        <w:t>w</w:t>
      </w:r>
      <w:r w:rsidR="009B633C">
        <w:t>ere</w:t>
      </w:r>
      <w:r w:rsidR="009B633C" w:rsidRPr="00A43D7D">
        <w:t xml:space="preserve"> </w:t>
      </w:r>
      <w:r w:rsidRPr="00A43D7D">
        <w:t>statistically significant</w:t>
      </w:r>
      <w:r w:rsidR="00840481" w:rsidRPr="00A43D7D">
        <w:t>ly different from the experience in unitary authorities</w:t>
      </w:r>
      <w:r w:rsidRPr="009A0348">
        <w:t xml:space="preserve">.  </w:t>
      </w:r>
    </w:p>
    <w:p w:rsidR="008A25D4" w:rsidRPr="009A0348" w:rsidRDefault="008A25D4" w:rsidP="002205E0">
      <w:pPr>
        <w:spacing w:after="0" w:line="360" w:lineRule="auto"/>
      </w:pPr>
    </w:p>
    <w:p w:rsidR="00003283" w:rsidRPr="00656425" w:rsidRDefault="00A334B4" w:rsidP="002205E0">
      <w:pPr>
        <w:spacing w:after="0" w:line="360" w:lineRule="auto"/>
        <w:rPr>
          <w:i/>
        </w:rPr>
      </w:pPr>
      <w:r w:rsidRPr="00656425">
        <w:rPr>
          <w:i/>
        </w:rPr>
        <w:t>Influence of public health compared to the team’s organisation and functioning (post reforms)</w:t>
      </w:r>
    </w:p>
    <w:p w:rsidR="005F07C0" w:rsidRDefault="00E93C5D" w:rsidP="002205E0">
      <w:pPr>
        <w:spacing w:after="0" w:line="360" w:lineRule="auto"/>
      </w:pPr>
      <w:r w:rsidRPr="009A0348">
        <w:t>We looked</w:t>
      </w:r>
      <w:r w:rsidR="00A53963" w:rsidRPr="009A0348">
        <w:t xml:space="preserve"> for other factors associated with influence, </w:t>
      </w:r>
      <w:r w:rsidRPr="00A43D7D">
        <w:t>such as how the public health team was organised and operated within the local authority and how the HWB was functioning</w:t>
      </w:r>
      <w:r w:rsidR="00AA5756">
        <w:t xml:space="preserve">.  </w:t>
      </w:r>
      <w:r w:rsidR="00777C4B">
        <w:t>The statistical tests of association</w:t>
      </w:r>
      <w:r w:rsidR="00AA5756">
        <w:t xml:space="preserve"> carried out </w:t>
      </w:r>
      <w:r w:rsidR="00777C4B">
        <w:t>with these variables and</w:t>
      </w:r>
      <w:r w:rsidR="00AA5756">
        <w:t xml:space="preserve"> all</w:t>
      </w:r>
      <w:r w:rsidR="00777C4B">
        <w:t xml:space="preserve"> the</w:t>
      </w:r>
      <w:r w:rsidR="00AA5756">
        <w:t xml:space="preserve"> questions</w:t>
      </w:r>
      <w:r w:rsidR="00777C4B">
        <w:t xml:space="preserve"> about </w:t>
      </w:r>
      <w:proofErr w:type="spellStart"/>
      <w:r w:rsidR="00777C4B">
        <w:t>DsPH</w:t>
      </w:r>
      <w:proofErr w:type="spellEnd"/>
      <w:r w:rsidR="00777C4B">
        <w:t>’ influence found considerably more significant associations than would be expected due to chance (</w:t>
      </w:r>
      <w:r w:rsidR="00AA5756">
        <w:t xml:space="preserve">results are given for </w:t>
      </w:r>
      <w:r w:rsidR="00777C4B">
        <w:t xml:space="preserve">the </w:t>
      </w:r>
      <w:r w:rsidR="00AA5756">
        <w:t>opening</w:t>
      </w:r>
      <w:r w:rsidR="00777C4B">
        <w:t xml:space="preserve"> influence</w:t>
      </w:r>
      <w:r w:rsidR="00AA5756">
        <w:t xml:space="preserve"> question in</w:t>
      </w:r>
      <w:r w:rsidRPr="00A43D7D">
        <w:t xml:space="preserve"> </w:t>
      </w:r>
      <w:r w:rsidR="00915E94">
        <w:t>part</w:t>
      </w:r>
      <w:r w:rsidRPr="00A43D7D">
        <w:t xml:space="preserve"> 3 of Table 1).  </w:t>
      </w:r>
      <w:r w:rsidR="009974AE">
        <w:t>The strongest statistical association with influence was found when public health teams had built good relationshi</w:t>
      </w:r>
      <w:r w:rsidR="00D6581B">
        <w:t xml:space="preserve">ps within their </w:t>
      </w:r>
      <w:r w:rsidR="00D6581B">
        <w:lastRenderedPageBreak/>
        <w:t>authority</w:t>
      </w:r>
      <w:r w:rsidR="009974AE">
        <w:t xml:space="preserve">.  </w:t>
      </w:r>
      <w:proofErr w:type="spellStart"/>
      <w:r w:rsidR="00FC4268">
        <w:t>DsPH</w:t>
      </w:r>
      <w:proofErr w:type="spellEnd"/>
      <w:r w:rsidR="00FC4268">
        <w:t xml:space="preserve"> </w:t>
      </w:r>
      <w:r w:rsidR="00B93D9D" w:rsidRPr="009A0348">
        <w:t xml:space="preserve">who were managed by the council’s Chief Executive </w:t>
      </w:r>
      <w:r w:rsidR="00FC4268">
        <w:t xml:space="preserve">were </w:t>
      </w:r>
      <w:r w:rsidR="009974AE">
        <w:t xml:space="preserve">also </w:t>
      </w:r>
      <w:r w:rsidR="00FC4268">
        <w:t xml:space="preserve">more likely </w:t>
      </w:r>
      <w:r w:rsidR="000F4B16" w:rsidRPr="009A0348">
        <w:t xml:space="preserve">to say </w:t>
      </w:r>
      <w:r w:rsidR="00B93D9D" w:rsidRPr="009A0348">
        <w:t xml:space="preserve">they were </w:t>
      </w:r>
      <w:r w:rsidR="00FC4268">
        <w:t>always</w:t>
      </w:r>
      <w:r w:rsidR="00B93D9D" w:rsidRPr="009A0348">
        <w:t xml:space="preserve"> able to influence priorities within the </w:t>
      </w:r>
      <w:r w:rsidR="00F07FA8" w:rsidRPr="009A0348">
        <w:t>local authority</w:t>
      </w:r>
      <w:r w:rsidR="00B93D9D" w:rsidRPr="009A0348">
        <w:t xml:space="preserve"> (</w:t>
      </w:r>
      <w:r w:rsidR="000F4B16" w:rsidRPr="009A0348">
        <w:t>2</w:t>
      </w:r>
      <w:r w:rsidR="00FC4268">
        <w:t>3</w:t>
      </w:r>
      <w:r w:rsidR="000F4B16" w:rsidRPr="009A0348">
        <w:t>% compared to the average of 1</w:t>
      </w:r>
      <w:r w:rsidR="00FC4268">
        <w:t>5</w:t>
      </w:r>
      <w:r w:rsidR="000F4B16" w:rsidRPr="009A0348">
        <w:t xml:space="preserve">%).  </w:t>
      </w:r>
      <w:r w:rsidR="00D55E5C" w:rsidRPr="009A0348">
        <w:t>Similarly</w:t>
      </w:r>
      <w:r w:rsidR="005C2A6A" w:rsidRPr="009A0348">
        <w:t>,</w:t>
      </w:r>
      <w:r w:rsidR="00D55E5C" w:rsidRPr="009A0348">
        <w:t xml:space="preserve"> </w:t>
      </w:r>
      <w:r w:rsidR="00445FB7" w:rsidRPr="00A43D7D">
        <w:t xml:space="preserve">where </w:t>
      </w:r>
      <w:r w:rsidR="0021520F" w:rsidRPr="009A0348">
        <w:t xml:space="preserve">respondents </w:t>
      </w:r>
      <w:r w:rsidR="00445FB7" w:rsidRPr="009A0348">
        <w:t>felt they had little influence</w:t>
      </w:r>
      <w:r w:rsidR="0021520F" w:rsidRPr="009A0348">
        <w:t>,</w:t>
      </w:r>
      <w:r w:rsidR="00445FB7" w:rsidRPr="009A0348">
        <w:t xml:space="preserve"> </w:t>
      </w:r>
      <w:r w:rsidR="00812078" w:rsidRPr="009A0348">
        <w:t>they also felt that</w:t>
      </w:r>
      <w:r w:rsidR="00445FB7" w:rsidRPr="009A0348">
        <w:t xml:space="preserve"> the public health team </w:t>
      </w:r>
      <w:r w:rsidR="00812078" w:rsidRPr="009A0348">
        <w:t>w</w:t>
      </w:r>
      <w:r w:rsidR="004B4589" w:rsidRPr="009A0348">
        <w:t xml:space="preserve">as </w:t>
      </w:r>
      <w:r w:rsidR="00445FB7" w:rsidRPr="009A0348">
        <w:t xml:space="preserve">not really being valued, not being asked for advice, or the information they supplied </w:t>
      </w:r>
      <w:r w:rsidR="009B633C">
        <w:t xml:space="preserve">was </w:t>
      </w:r>
      <w:r w:rsidR="00445FB7" w:rsidRPr="009A0348">
        <w:t xml:space="preserve">not really being trusted.  </w:t>
      </w:r>
      <w:r w:rsidR="0021520F" w:rsidRPr="009A0348">
        <w:t>Respondents’ abilit</w:t>
      </w:r>
      <w:r w:rsidR="008009F0" w:rsidRPr="009A0348">
        <w:t>ies</w:t>
      </w:r>
      <w:r w:rsidR="0021520F" w:rsidRPr="009A0348">
        <w:t xml:space="preserve"> to influence local authority priorities were also associated with a requirement by other departments </w:t>
      </w:r>
      <w:r w:rsidR="00971EC2" w:rsidRPr="009A0348">
        <w:t>to collaborate with public health on their plans,</w:t>
      </w:r>
      <w:r w:rsidR="00E42693" w:rsidRPr="009A0348">
        <w:t xml:space="preserve"> </w:t>
      </w:r>
      <w:r w:rsidR="0021520F" w:rsidRPr="009A0348">
        <w:t xml:space="preserve">with </w:t>
      </w:r>
      <w:r w:rsidR="004B4589" w:rsidRPr="009A0348">
        <w:t xml:space="preserve">HWBs </w:t>
      </w:r>
      <w:r w:rsidR="0021520F" w:rsidRPr="009A0348">
        <w:t xml:space="preserve">being </w:t>
      </w:r>
      <w:r w:rsidR="00E42693" w:rsidRPr="009A0348">
        <w:t>clearly instrumental in identifying health priorities</w:t>
      </w:r>
      <w:r w:rsidR="00812078" w:rsidRPr="009A0348">
        <w:t>, and</w:t>
      </w:r>
      <w:r w:rsidR="008F1A3F" w:rsidRPr="009A0348">
        <w:t xml:space="preserve"> </w:t>
      </w:r>
      <w:r w:rsidR="00277B7A" w:rsidRPr="009A0348">
        <w:t>the council’s cabinet engag</w:t>
      </w:r>
      <w:r w:rsidR="000B6CAC" w:rsidRPr="009A0348">
        <w:t>ing</w:t>
      </w:r>
      <w:r w:rsidR="00277B7A" w:rsidRPr="009A0348">
        <w:t xml:space="preserve"> </w:t>
      </w:r>
      <w:r w:rsidR="008F1A3F" w:rsidRPr="009A0348">
        <w:t xml:space="preserve">in </w:t>
      </w:r>
      <w:r w:rsidR="000B6CAC" w:rsidRPr="009A0348">
        <w:t>the process of</w:t>
      </w:r>
      <w:r w:rsidR="00277B7A" w:rsidRPr="009A0348">
        <w:t xml:space="preserve"> </w:t>
      </w:r>
      <w:r w:rsidR="008F1A3F" w:rsidRPr="009A0348">
        <w:t>approving</w:t>
      </w:r>
      <w:r w:rsidR="00971EC2" w:rsidRPr="009A0348">
        <w:t xml:space="preserve"> public health </w:t>
      </w:r>
      <w:r w:rsidR="009251DF" w:rsidRPr="009A0348">
        <w:t xml:space="preserve">business </w:t>
      </w:r>
      <w:r w:rsidR="00971EC2" w:rsidRPr="009A0348">
        <w:t>plan</w:t>
      </w:r>
      <w:r w:rsidR="009251DF" w:rsidRPr="009A0348">
        <w:t>s</w:t>
      </w:r>
      <w:r w:rsidR="00277B7A" w:rsidRPr="009A0348">
        <w:t>.</w:t>
      </w:r>
      <w:r w:rsidR="00375BCC" w:rsidRPr="009A0348">
        <w:t xml:space="preserve">  </w:t>
      </w:r>
      <w:r w:rsidR="00514BED">
        <w:t>See Table 1 for figures.</w:t>
      </w:r>
    </w:p>
    <w:p w:rsidR="008A25D4" w:rsidRDefault="008A25D4" w:rsidP="002205E0">
      <w:pPr>
        <w:spacing w:after="0" w:line="360" w:lineRule="auto"/>
      </w:pPr>
    </w:p>
    <w:p w:rsidR="00A91312" w:rsidRPr="00656425" w:rsidRDefault="00A334B4" w:rsidP="002205E0">
      <w:pPr>
        <w:spacing w:after="0" w:line="360" w:lineRule="auto"/>
        <w:rPr>
          <w:i/>
        </w:rPr>
      </w:pPr>
      <w:r w:rsidRPr="00656425">
        <w:rPr>
          <w:i/>
        </w:rPr>
        <w:t>Changes made to commissioning for health improvement</w:t>
      </w:r>
    </w:p>
    <w:p w:rsidR="007A2F4A" w:rsidRPr="009A0348" w:rsidRDefault="00BA5319" w:rsidP="002205E0">
      <w:pPr>
        <w:spacing w:after="0" w:line="360" w:lineRule="auto"/>
        <w:contextualSpacing/>
      </w:pPr>
      <w:r w:rsidRPr="009A0348">
        <w:t xml:space="preserve">The survey asked about changes in commissioning for health improvement following the reforms (see </w:t>
      </w:r>
      <w:r w:rsidR="004E2ECE">
        <w:t>B</w:t>
      </w:r>
      <w:r w:rsidRPr="009A0348">
        <w:t>ox 1</w:t>
      </w:r>
      <w:r w:rsidR="00B57B9C">
        <w:t xml:space="preserve"> and results</w:t>
      </w:r>
      <w:r w:rsidR="00777C4B">
        <w:t xml:space="preserve"> of change compared to the opening question about influence</w:t>
      </w:r>
      <w:r w:rsidR="00B57B9C">
        <w:t xml:space="preserve"> in final </w:t>
      </w:r>
      <w:r w:rsidR="00915E94">
        <w:t>part</w:t>
      </w:r>
      <w:r w:rsidR="00B57B9C">
        <w:t xml:space="preserve"> of Table 1</w:t>
      </w:r>
      <w:r w:rsidRPr="009A0348">
        <w:t xml:space="preserve">).  </w:t>
      </w:r>
      <w:r w:rsidR="001373C6" w:rsidRPr="00B57B9C">
        <w:t xml:space="preserve">Since the reforms, almost all </w:t>
      </w:r>
      <w:proofErr w:type="spellStart"/>
      <w:r w:rsidR="00612D07" w:rsidRPr="00B57B9C">
        <w:t>DsPH</w:t>
      </w:r>
      <w:proofErr w:type="spellEnd"/>
      <w:r w:rsidR="00612D07" w:rsidRPr="00B57B9C">
        <w:t xml:space="preserve"> </w:t>
      </w:r>
      <w:r w:rsidR="001373C6" w:rsidRPr="00B57B9C">
        <w:t>(94%</w:t>
      </w:r>
      <w:r w:rsidR="00915E94">
        <w:t>, N=83</w:t>
      </w:r>
      <w:r w:rsidR="001373C6" w:rsidRPr="00B57B9C">
        <w:t xml:space="preserve">) reported having made changes to services commissioned under </w:t>
      </w:r>
      <w:r w:rsidR="00612D07" w:rsidRPr="009A0348">
        <w:t xml:space="preserve">the </w:t>
      </w:r>
      <w:r w:rsidR="001373C6" w:rsidRPr="009A0348">
        <w:t>ring-fenced budget</w:t>
      </w:r>
      <w:r w:rsidR="00456367" w:rsidRPr="009A0348">
        <w:t xml:space="preserve"> (Fig 3)</w:t>
      </w:r>
      <w:r w:rsidR="004369E8">
        <w:t>, which included</w:t>
      </w:r>
      <w:r w:rsidR="001373C6" w:rsidRPr="009A0348">
        <w:t xml:space="preserve"> set</w:t>
      </w:r>
      <w:r w:rsidR="004369E8">
        <w:t>ting</w:t>
      </w:r>
      <w:r w:rsidR="001373C6" w:rsidRPr="009A0348">
        <w:t xml:space="preserve"> up new services, chang</w:t>
      </w:r>
      <w:r w:rsidR="004369E8">
        <w:t>ing</w:t>
      </w:r>
      <w:r w:rsidR="001373C6" w:rsidRPr="009A0348">
        <w:t xml:space="preserve"> providers, re-design</w:t>
      </w:r>
      <w:r w:rsidR="004369E8">
        <w:t>ing</w:t>
      </w:r>
      <w:r w:rsidR="001373C6" w:rsidRPr="009A0348">
        <w:t xml:space="preserve"> existing services and de-commission</w:t>
      </w:r>
      <w:r w:rsidR="004369E8">
        <w:t>ing</w:t>
      </w:r>
      <w:r w:rsidR="001373C6" w:rsidRPr="009A0348">
        <w:t xml:space="preserve"> services.  In addition, 94% </w:t>
      </w:r>
      <w:r w:rsidR="00915E94">
        <w:t>(Q43v, N=81)</w:t>
      </w:r>
      <w:r w:rsidR="00FD36C7">
        <w:t xml:space="preserve"> </w:t>
      </w:r>
      <w:r w:rsidR="001373C6" w:rsidRPr="009A0348">
        <w:t>said they had started the process of re-tendering health improvement services.</w:t>
      </w:r>
    </w:p>
    <w:p w:rsidR="00455563" w:rsidRDefault="00455563" w:rsidP="002205E0">
      <w:pPr>
        <w:spacing w:after="0" w:line="360" w:lineRule="auto"/>
        <w:contextualSpacing/>
      </w:pPr>
      <w:r>
        <w:t>[Fig</w:t>
      </w:r>
      <w:r w:rsidR="004E2ECE">
        <w:t xml:space="preserve"> </w:t>
      </w:r>
      <w:r>
        <w:t>3 here]</w:t>
      </w:r>
    </w:p>
    <w:p w:rsidR="008A25D4" w:rsidRDefault="008A25D4" w:rsidP="002205E0">
      <w:pPr>
        <w:spacing w:after="0" w:line="360" w:lineRule="auto"/>
        <w:contextualSpacing/>
      </w:pPr>
    </w:p>
    <w:p w:rsidR="00375BCC" w:rsidRDefault="00791744" w:rsidP="002205E0">
      <w:pPr>
        <w:spacing w:after="0" w:line="360" w:lineRule="auto"/>
      </w:pPr>
      <w:r w:rsidRPr="00A43D7D">
        <w:t>C</w:t>
      </w:r>
      <w:r w:rsidR="00070EAE" w:rsidRPr="00A43D7D">
        <w:t xml:space="preserve">hanges </w:t>
      </w:r>
      <w:r w:rsidRPr="00A43D7D">
        <w:t>to commissioning were</w:t>
      </w:r>
      <w:r w:rsidR="00070EAE" w:rsidRPr="00B57B9C">
        <w:t xml:space="preserve"> more common</w:t>
      </w:r>
      <w:r w:rsidR="00190929" w:rsidRPr="00B57B9C">
        <w:t xml:space="preserve"> in a</w:t>
      </w:r>
      <w:r w:rsidR="00375BCC" w:rsidRPr="00B57B9C">
        <w:t xml:space="preserve">uthorities where the </w:t>
      </w:r>
      <w:proofErr w:type="spellStart"/>
      <w:r w:rsidR="00612D07" w:rsidRPr="00B57B9C">
        <w:t>DsPH</w:t>
      </w:r>
      <w:proofErr w:type="spellEnd"/>
      <w:r w:rsidR="00612D07" w:rsidRPr="00B57B9C">
        <w:t xml:space="preserve"> </w:t>
      </w:r>
      <w:r w:rsidR="00375BCC" w:rsidRPr="00B57B9C">
        <w:t xml:space="preserve">felt they </w:t>
      </w:r>
      <w:r w:rsidR="00190929" w:rsidRPr="00B57B9C">
        <w:t>were ‘always’ or ‘quite often’ able to</w:t>
      </w:r>
      <w:r w:rsidR="00375BCC" w:rsidRPr="009A0348">
        <w:t xml:space="preserve"> influence</w:t>
      </w:r>
      <w:r w:rsidR="000B6CAC" w:rsidRPr="009A0348">
        <w:t xml:space="preserve"> the priorities of their authority</w:t>
      </w:r>
      <w:r w:rsidR="00FF39FD">
        <w:t>, compared to those ‘not often’ or ‘never’ able</w:t>
      </w:r>
      <w:r w:rsidR="00190929" w:rsidRPr="00B57B9C">
        <w:t xml:space="preserve">.  </w:t>
      </w:r>
      <w:r w:rsidR="00FF39FD">
        <w:t>For example, these authorities</w:t>
      </w:r>
      <w:r w:rsidR="007E0392" w:rsidRPr="00B57B9C">
        <w:t xml:space="preserve"> were twice as likely to have set up new services (77% compared to 38%, p=0.005) or </w:t>
      </w:r>
      <w:r w:rsidR="00FF39FD">
        <w:t xml:space="preserve">to </w:t>
      </w:r>
      <w:r w:rsidR="00612D07" w:rsidRPr="009A0348">
        <w:t xml:space="preserve">have </w:t>
      </w:r>
      <w:r w:rsidR="007E0392" w:rsidRPr="009A0348">
        <w:t>changed the provider of an existing service (76% compared to 38%, p=0,006).</w:t>
      </w:r>
    </w:p>
    <w:p w:rsidR="008A25D4" w:rsidRPr="009A0348" w:rsidRDefault="008A25D4" w:rsidP="002205E0">
      <w:pPr>
        <w:spacing w:after="0" w:line="360" w:lineRule="auto"/>
      </w:pPr>
    </w:p>
    <w:p w:rsidR="007A2F4A" w:rsidRDefault="0010128D" w:rsidP="002205E0">
      <w:pPr>
        <w:spacing w:after="0" w:line="360" w:lineRule="auto"/>
      </w:pPr>
      <w:r w:rsidRPr="009A0348">
        <w:t xml:space="preserve">There was </w:t>
      </w:r>
      <w:r w:rsidR="007A2F4A" w:rsidRPr="00A43D7D">
        <w:t>a statistical</w:t>
      </w:r>
      <w:r w:rsidR="00FD36C7">
        <w:t>ly significant</w:t>
      </w:r>
      <w:r w:rsidR="007A2F4A" w:rsidRPr="00A43D7D">
        <w:t xml:space="preserve"> association </w:t>
      </w:r>
      <w:r w:rsidR="00FD36C7">
        <w:t>indica</w:t>
      </w:r>
      <w:r w:rsidR="007A2F4A" w:rsidRPr="00A43D7D">
        <w:t xml:space="preserve">ting that there were more reports </w:t>
      </w:r>
      <w:r w:rsidR="008B2205" w:rsidRPr="00A43D7D">
        <w:t xml:space="preserve">(76% compared to </w:t>
      </w:r>
      <w:r w:rsidR="00B54185">
        <w:t>56</w:t>
      </w:r>
      <w:r w:rsidR="008B2205" w:rsidRPr="00A43D7D">
        <w:t>%</w:t>
      </w:r>
      <w:r w:rsidR="00455563">
        <w:t xml:space="preserve">, chi-square = 5.7, </w:t>
      </w:r>
      <w:proofErr w:type="spellStart"/>
      <w:proofErr w:type="gramStart"/>
      <w:r w:rsidR="00455563">
        <w:t>df</w:t>
      </w:r>
      <w:proofErr w:type="spellEnd"/>
      <w:r w:rsidR="00455563">
        <w:t>=</w:t>
      </w:r>
      <w:proofErr w:type="gramEnd"/>
      <w:r w:rsidR="00455563">
        <w:t>1, p=0.017</w:t>
      </w:r>
      <w:r w:rsidR="008B2205" w:rsidRPr="00A43D7D">
        <w:t xml:space="preserve">) </w:t>
      </w:r>
      <w:r w:rsidR="007A2F4A" w:rsidRPr="00B57B9C">
        <w:t>of de-commissioning services in areas with greatest material deprivation.</w:t>
      </w:r>
      <w:r w:rsidR="00375BCC" w:rsidRPr="00B57B9C">
        <w:t xml:space="preserve">  </w:t>
      </w:r>
      <w:r w:rsidRPr="00B57B9C">
        <w:t>However, th</w:t>
      </w:r>
      <w:r w:rsidR="008009F0" w:rsidRPr="0051357F">
        <w:t>is was the only association found between</w:t>
      </w:r>
      <w:r w:rsidR="0022011D" w:rsidRPr="0051357F">
        <w:t xml:space="preserve"> local </w:t>
      </w:r>
      <w:proofErr w:type="gramStart"/>
      <w:r w:rsidR="0022011D" w:rsidRPr="0051357F">
        <w:t>authorit</w:t>
      </w:r>
      <w:r w:rsidR="00421050" w:rsidRPr="0051357F">
        <w:t>y</w:t>
      </w:r>
      <w:proofErr w:type="gramEnd"/>
      <w:r w:rsidR="00421050" w:rsidRPr="0051357F">
        <w:t xml:space="preserve"> characteristic</w:t>
      </w:r>
      <w:r w:rsidR="0022011D" w:rsidRPr="0051357F">
        <w:t>s and</w:t>
      </w:r>
      <w:r w:rsidRPr="0051357F">
        <w:t xml:space="preserve"> changes in commissioning</w:t>
      </w:r>
      <w:r w:rsidR="00777C4B">
        <w:t xml:space="preserve"> and could be due to chance</w:t>
      </w:r>
      <w:r w:rsidR="0022011D" w:rsidRPr="009A0348">
        <w:t>.</w:t>
      </w:r>
    </w:p>
    <w:p w:rsidR="008A25D4" w:rsidRPr="009A0348" w:rsidRDefault="008A25D4" w:rsidP="002205E0">
      <w:pPr>
        <w:spacing w:after="0" w:line="360" w:lineRule="auto"/>
      </w:pPr>
    </w:p>
    <w:p w:rsidR="001373C6" w:rsidRDefault="007A2F4A" w:rsidP="002205E0">
      <w:pPr>
        <w:spacing w:after="0" w:line="360" w:lineRule="auto"/>
      </w:pPr>
      <w:r w:rsidRPr="009A0348">
        <w:t xml:space="preserve">Some changes were happening more often with particular </w:t>
      </w:r>
      <w:r w:rsidR="00927C79">
        <w:t xml:space="preserve">organisational </w:t>
      </w:r>
      <w:r w:rsidRPr="009A0348">
        <w:t>circumstances</w:t>
      </w:r>
      <w:r w:rsidR="00777C4B">
        <w:t>, but similar to the comparisons with local authority characteristics the number that w</w:t>
      </w:r>
      <w:r w:rsidR="00BC0FB3">
        <w:t>as</w:t>
      </w:r>
      <w:r w:rsidR="00777C4B">
        <w:t xml:space="preserve"> significant </w:t>
      </w:r>
      <w:r w:rsidR="006E1E73">
        <w:t>is what would be expected due to chance</w:t>
      </w:r>
      <w:r w:rsidRPr="009A0348">
        <w:t xml:space="preserve">.  </w:t>
      </w:r>
      <w:r w:rsidR="00FD36C7">
        <w:t>W</w:t>
      </w:r>
      <w:r w:rsidRPr="009A0348">
        <w:t xml:space="preserve">here there was a requirement </w:t>
      </w:r>
      <w:r w:rsidR="00B03222" w:rsidRPr="009A0348">
        <w:t>for other departments to collaborate with public health on their plans</w:t>
      </w:r>
      <w:r w:rsidR="00004E36">
        <w:t>,</w:t>
      </w:r>
      <w:r w:rsidR="00B03222" w:rsidRPr="009A0348">
        <w:t xml:space="preserve"> it was more likely for </w:t>
      </w:r>
      <w:r w:rsidRPr="009A0348">
        <w:t>new services to be set up</w:t>
      </w:r>
      <w:r w:rsidR="00FD36C7">
        <w:t xml:space="preserve"> </w:t>
      </w:r>
      <w:r w:rsidR="00FD36C7" w:rsidRPr="009A0348">
        <w:t>(</w:t>
      </w:r>
      <w:r w:rsidR="00BB4917">
        <w:t xml:space="preserve">84% compared to 68%, </w:t>
      </w:r>
      <w:r w:rsidR="007B689F">
        <w:t xml:space="preserve">chi-square = 11.8, </w:t>
      </w:r>
      <w:proofErr w:type="spellStart"/>
      <w:proofErr w:type="gramStart"/>
      <w:r w:rsidR="007B689F">
        <w:t>df</w:t>
      </w:r>
      <w:proofErr w:type="spellEnd"/>
      <w:r w:rsidR="007B689F">
        <w:t>=</w:t>
      </w:r>
      <w:proofErr w:type="gramEnd"/>
      <w:r w:rsidR="007B689F">
        <w:t xml:space="preserve">2, </w:t>
      </w:r>
      <w:r w:rsidR="00FD36C7" w:rsidRPr="009A0348">
        <w:t>p=0.003)</w:t>
      </w:r>
      <w:r w:rsidR="00B03222" w:rsidRPr="009A0348">
        <w:t>.</w:t>
      </w:r>
      <w:r w:rsidRPr="009A0348">
        <w:t xml:space="preserve"> </w:t>
      </w:r>
      <w:r w:rsidR="00B03222" w:rsidRPr="009A0348">
        <w:t xml:space="preserve"> </w:t>
      </w:r>
      <w:r w:rsidR="00FD36C7">
        <w:t>Also, w</w:t>
      </w:r>
      <w:r w:rsidRPr="009A0348">
        <w:t xml:space="preserve">here </w:t>
      </w:r>
      <w:r w:rsidR="00B03222" w:rsidRPr="009A0348">
        <w:t xml:space="preserve">the HWB was </w:t>
      </w:r>
      <w:r w:rsidR="00BB4917">
        <w:t xml:space="preserve">‘definitely’ </w:t>
      </w:r>
      <w:r w:rsidR="00B03222" w:rsidRPr="009A0348">
        <w:lastRenderedPageBreak/>
        <w:t>instrumental in identifying health priorities</w:t>
      </w:r>
      <w:r w:rsidR="00004E36">
        <w:t>,</w:t>
      </w:r>
      <w:r w:rsidR="00B03222" w:rsidRPr="009A0348">
        <w:t xml:space="preserve"> it was more likely that new services had been set up</w:t>
      </w:r>
      <w:r w:rsidR="00FD36C7">
        <w:t xml:space="preserve"> </w:t>
      </w:r>
      <w:r w:rsidR="00FD36C7" w:rsidRPr="009A0348">
        <w:t>(</w:t>
      </w:r>
      <w:r w:rsidR="00BB4917">
        <w:t xml:space="preserve">85% compared to 68%, </w:t>
      </w:r>
      <w:r w:rsidR="007B689F">
        <w:t xml:space="preserve">chi-square = 13.6, </w:t>
      </w:r>
      <w:proofErr w:type="spellStart"/>
      <w:proofErr w:type="gramStart"/>
      <w:r w:rsidR="007B689F">
        <w:t>df</w:t>
      </w:r>
      <w:proofErr w:type="spellEnd"/>
      <w:r w:rsidR="007B689F">
        <w:t>=</w:t>
      </w:r>
      <w:proofErr w:type="gramEnd"/>
      <w:r w:rsidR="007B689F">
        <w:t xml:space="preserve">2, </w:t>
      </w:r>
      <w:r w:rsidR="00FD36C7" w:rsidRPr="009A0348">
        <w:t>p=0.001),</w:t>
      </w:r>
      <w:r w:rsidR="00B03222" w:rsidRPr="009A0348">
        <w:t xml:space="preserve"> and that providers of </w:t>
      </w:r>
      <w:r w:rsidR="00934C47" w:rsidRPr="009A0348">
        <w:t xml:space="preserve">existing </w:t>
      </w:r>
      <w:r w:rsidR="00B03222" w:rsidRPr="009A0348">
        <w:t>services had been changed</w:t>
      </w:r>
      <w:r w:rsidR="001952BD" w:rsidRPr="009A0348">
        <w:t xml:space="preserve"> (</w:t>
      </w:r>
      <w:r w:rsidR="00BA7232">
        <w:t xml:space="preserve">79% compared to 68%, </w:t>
      </w:r>
      <w:r w:rsidR="007B689F">
        <w:t xml:space="preserve">chi-square = 6.8, </w:t>
      </w:r>
      <w:proofErr w:type="spellStart"/>
      <w:r w:rsidR="007B689F">
        <w:t>df</w:t>
      </w:r>
      <w:proofErr w:type="spellEnd"/>
      <w:r w:rsidR="007B689F">
        <w:t xml:space="preserve">=2, </w:t>
      </w:r>
      <w:r w:rsidR="001952BD" w:rsidRPr="009A0348">
        <w:t>p=0.033)</w:t>
      </w:r>
      <w:r w:rsidR="00B03222" w:rsidRPr="009A0348">
        <w:t>.  Serv</w:t>
      </w:r>
      <w:r w:rsidR="00B96C58" w:rsidRPr="009A0348">
        <w:t>i</w:t>
      </w:r>
      <w:r w:rsidR="00B03222" w:rsidRPr="009A0348">
        <w:t>ce re-design</w:t>
      </w:r>
      <w:r w:rsidR="001952BD" w:rsidRPr="009A0348">
        <w:t xml:space="preserve"> </w:t>
      </w:r>
      <w:r w:rsidR="00B03222" w:rsidRPr="009A0348">
        <w:t>and starting the re-tendering process</w:t>
      </w:r>
      <w:r w:rsidR="001952BD" w:rsidRPr="009A0348">
        <w:t xml:space="preserve"> </w:t>
      </w:r>
      <w:r w:rsidR="00B03222" w:rsidRPr="009A0348">
        <w:t xml:space="preserve">were both more common </w:t>
      </w:r>
      <w:r w:rsidR="00364DC7" w:rsidRPr="009A0348">
        <w:t>for</w:t>
      </w:r>
      <w:r w:rsidR="00740F3A" w:rsidRPr="009A0348">
        <w:t xml:space="preserve"> </w:t>
      </w:r>
      <w:proofErr w:type="spellStart"/>
      <w:r w:rsidR="00612D07" w:rsidRPr="009A0348">
        <w:t>DsPH</w:t>
      </w:r>
      <w:proofErr w:type="spellEnd"/>
      <w:r w:rsidR="00B03222" w:rsidRPr="009A0348">
        <w:t xml:space="preserve"> </w:t>
      </w:r>
      <w:r w:rsidR="003641E2" w:rsidRPr="009A0348">
        <w:t>with</w:t>
      </w:r>
      <w:r w:rsidR="00B03222" w:rsidRPr="009A0348">
        <w:t xml:space="preserve"> more</w:t>
      </w:r>
      <w:r w:rsidR="003641E2" w:rsidRPr="009A0348">
        <w:t xml:space="preserve"> years</w:t>
      </w:r>
      <w:r w:rsidR="00740F3A" w:rsidRPr="009A0348">
        <w:t>’</w:t>
      </w:r>
      <w:r w:rsidR="00B03222" w:rsidRPr="009A0348">
        <w:t xml:space="preserve"> experience</w:t>
      </w:r>
      <w:r w:rsidR="003641E2" w:rsidRPr="009A0348">
        <w:t xml:space="preserve"> in their post</w:t>
      </w:r>
      <w:r w:rsidR="00B03222" w:rsidRPr="009A0348">
        <w:t xml:space="preserve"> or in the</w:t>
      </w:r>
      <w:r w:rsidR="003641E2" w:rsidRPr="009A0348">
        <w:t>ir</w:t>
      </w:r>
      <w:r w:rsidR="00B03222" w:rsidRPr="009A0348">
        <w:t xml:space="preserve"> authority</w:t>
      </w:r>
      <w:r w:rsidR="00004E36">
        <w:t>,</w:t>
      </w:r>
      <w:r w:rsidR="00364DC7" w:rsidRPr="009A0348">
        <w:t xml:space="preserve"> </w:t>
      </w:r>
      <w:r w:rsidR="009B46B2">
        <w:t>suggesting stability of leadership within public health is an important factor</w:t>
      </w:r>
      <w:r w:rsidR="00FE5061">
        <w:t xml:space="preserve"> (statistical tests not used due to small numbers)</w:t>
      </w:r>
      <w:r w:rsidR="00B03222" w:rsidRPr="009A0348">
        <w:t xml:space="preserve">.  </w:t>
      </w:r>
    </w:p>
    <w:p w:rsidR="008A25D4" w:rsidRPr="00A43D7D" w:rsidRDefault="008A25D4" w:rsidP="002205E0">
      <w:pPr>
        <w:spacing w:after="0" w:line="360" w:lineRule="auto"/>
      </w:pPr>
    </w:p>
    <w:p w:rsidR="008A22E3" w:rsidRPr="00656425" w:rsidRDefault="00A334B4" w:rsidP="002205E0">
      <w:pPr>
        <w:spacing w:after="0" w:line="360" w:lineRule="auto"/>
      </w:pPr>
      <w:r w:rsidRPr="00656425">
        <w:t xml:space="preserve">Discussion </w:t>
      </w:r>
    </w:p>
    <w:p w:rsidR="00895314" w:rsidRDefault="004530DF" w:rsidP="002205E0">
      <w:pPr>
        <w:spacing w:after="0" w:line="360" w:lineRule="auto"/>
      </w:pPr>
      <w:r>
        <w:t xml:space="preserve">This survey provides useful insights </w:t>
      </w:r>
      <w:r w:rsidR="00507B4A">
        <w:t xml:space="preserve">on the views of </w:t>
      </w:r>
      <w:proofErr w:type="spellStart"/>
      <w:r w:rsidR="00507B4A">
        <w:t>DsPH</w:t>
      </w:r>
      <w:proofErr w:type="spellEnd"/>
      <w:r w:rsidR="00507B4A">
        <w:t xml:space="preserve"> and how their roles are developing </w:t>
      </w:r>
      <w:r w:rsidR="00CD2D8E">
        <w:t>since the move to</w:t>
      </w:r>
      <w:r w:rsidR="00507B4A">
        <w:t xml:space="preserve"> local government</w:t>
      </w:r>
      <w:r w:rsidR="00CD2D8E">
        <w:t xml:space="preserve">.  </w:t>
      </w:r>
      <w:r w:rsidR="00E15E96" w:rsidRPr="00B96114">
        <w:rPr>
          <w:rFonts w:cs="Courier New"/>
        </w:rPr>
        <w:t xml:space="preserve">Two limitations of this study design are the sample, which was constricted to </w:t>
      </w:r>
      <w:proofErr w:type="spellStart"/>
      <w:r w:rsidR="00E15E96" w:rsidRPr="00B96114">
        <w:rPr>
          <w:rFonts w:cs="Courier New"/>
        </w:rPr>
        <w:t>DsPH</w:t>
      </w:r>
      <w:proofErr w:type="spellEnd"/>
      <w:r w:rsidR="00E15E96" w:rsidRPr="00B96114">
        <w:rPr>
          <w:rFonts w:cs="Courier New"/>
        </w:rPr>
        <w:t xml:space="preserve"> only, and the data collected, which was perceived influence only. </w:t>
      </w:r>
      <w:r w:rsidR="00E15E96">
        <w:rPr>
          <w:rFonts w:cs="Courier New"/>
        </w:rPr>
        <w:t xml:space="preserve"> </w:t>
      </w:r>
      <w:r w:rsidR="00E15E96" w:rsidRPr="00B96114">
        <w:rPr>
          <w:rFonts w:cs="Courier New"/>
        </w:rPr>
        <w:t>We can therefore only present reflections on how influential DSPH think they are, rather than on their influence as evidenced objectively</w:t>
      </w:r>
      <w:r w:rsidR="00FF75C6">
        <w:t xml:space="preserve">.  </w:t>
      </w:r>
      <w:r>
        <w:t xml:space="preserve">The Government’s </w:t>
      </w:r>
      <w:r w:rsidR="00070A69">
        <w:t>k</w:t>
      </w:r>
      <w:r>
        <w:t xml:space="preserve">ey aims for integrating </w:t>
      </w:r>
      <w:r w:rsidR="00070A69">
        <w:t xml:space="preserve">public health into local government </w:t>
      </w:r>
      <w:r>
        <w:t xml:space="preserve">were to </w:t>
      </w:r>
      <w:r w:rsidR="00070A69">
        <w:t>provide opportunities for working across authorities (e</w:t>
      </w:r>
      <w:r w:rsidR="00004E36">
        <w:t>.</w:t>
      </w:r>
      <w:r w:rsidR="00070A69">
        <w:t>g</w:t>
      </w:r>
      <w:r w:rsidR="00004E36">
        <w:t>.</w:t>
      </w:r>
      <w:r w:rsidR="00070A69">
        <w:t xml:space="preserve"> with education, social care, planning, transportation) and to provide local democratic leadership to build “… </w:t>
      </w:r>
      <w:r w:rsidR="00070A69" w:rsidRPr="0004254A">
        <w:rPr>
          <w:rFonts w:cs="Arial"/>
          <w:i/>
          <w:color w:val="000000"/>
        </w:rPr>
        <w:t>a new, enhanced locally-led 21st century public health service, where innovation is fostered and promoted</w:t>
      </w:r>
      <w:r w:rsidR="00070A69" w:rsidRPr="009A0348">
        <w:t xml:space="preserve"> </w:t>
      </w:r>
      <w:r w:rsidR="00070A69">
        <w:t xml:space="preserve"> …”.</w:t>
      </w:r>
      <w:r w:rsidR="00C31407">
        <w:rPr>
          <w:vertAlign w:val="superscript"/>
        </w:rPr>
        <w:t>2</w:t>
      </w:r>
      <w:r w:rsidR="00746A0C">
        <w:rPr>
          <w:vertAlign w:val="superscript"/>
        </w:rPr>
        <w:t>2</w:t>
      </w:r>
      <w:r w:rsidR="00070A69">
        <w:t xml:space="preserve">  </w:t>
      </w:r>
      <w:r w:rsidR="005F2F03">
        <w:t xml:space="preserve">The data from our survey </w:t>
      </w:r>
      <w:r w:rsidR="00E15E96">
        <w:t>suggests</w:t>
      </w:r>
      <w:r w:rsidR="00895314" w:rsidRPr="009A0348">
        <w:t xml:space="preserve"> that</w:t>
      </w:r>
      <w:r w:rsidR="00895314">
        <w:t xml:space="preserve">, while not yet substantial in scale, </w:t>
      </w:r>
      <w:r w:rsidR="00895314" w:rsidRPr="009A0348">
        <w:t>the</w:t>
      </w:r>
      <w:r w:rsidR="008A25D4">
        <w:t xml:space="preserve"> relocation of public health</w:t>
      </w:r>
      <w:r w:rsidR="00895314" w:rsidRPr="009A0348">
        <w:t xml:space="preserve"> is achieving some of the outcomes </w:t>
      </w:r>
      <w:r w:rsidR="00895314">
        <w:t xml:space="preserve">and the direction of travel </w:t>
      </w:r>
      <w:r w:rsidR="00895314" w:rsidRPr="009A0348">
        <w:t>envisaged by policy makers</w:t>
      </w:r>
      <w:r w:rsidR="008D56D4">
        <w:t>.  This</w:t>
      </w:r>
      <w:r w:rsidR="005F2F03">
        <w:t xml:space="preserve"> finding </w:t>
      </w:r>
      <w:r w:rsidR="008D56D4">
        <w:t xml:space="preserve">is </w:t>
      </w:r>
      <w:r w:rsidR="005F2F03">
        <w:t xml:space="preserve">reflected in our </w:t>
      </w:r>
      <w:r w:rsidR="00265156">
        <w:t>deeper</w:t>
      </w:r>
      <w:r w:rsidR="005F2F03">
        <w:t xml:space="preserve"> case study research</w:t>
      </w:r>
      <w:r w:rsidR="001D1FFF">
        <w:t xml:space="preserve">, where we </w:t>
      </w:r>
      <w:r w:rsidR="001D1FFF" w:rsidRPr="00B96114">
        <w:rPr>
          <w:rFonts w:cs="Courier New"/>
        </w:rPr>
        <w:t>found that new managerial structures and accountability were providing opportunities for public health to think differently and take fresh approaches</w:t>
      </w:r>
      <w:r w:rsidR="001D1FFF" w:rsidRPr="001D1FFF">
        <w:rPr>
          <w:vertAlign w:val="superscript"/>
        </w:rPr>
        <w:t>19</w:t>
      </w:r>
      <w:r w:rsidR="00895314" w:rsidRPr="009A0348">
        <w:t xml:space="preserve">.  </w:t>
      </w:r>
    </w:p>
    <w:p w:rsidR="008A25D4" w:rsidRDefault="008A25D4" w:rsidP="002205E0">
      <w:pPr>
        <w:spacing w:after="0" w:line="360" w:lineRule="auto"/>
      </w:pPr>
    </w:p>
    <w:p w:rsidR="000763B5" w:rsidRDefault="00AF2BCD" w:rsidP="002205E0">
      <w:pPr>
        <w:spacing w:after="0" w:line="360" w:lineRule="auto"/>
      </w:pPr>
      <w:r w:rsidRPr="009A0348">
        <w:t xml:space="preserve">The </w:t>
      </w:r>
      <w:r w:rsidR="009F7AC8" w:rsidRPr="009A0348">
        <w:t>results</w:t>
      </w:r>
      <w:r w:rsidRPr="009A0348">
        <w:t xml:space="preserve"> </w:t>
      </w:r>
      <w:r w:rsidR="00D932E0" w:rsidRPr="009A0348">
        <w:t>highlight</w:t>
      </w:r>
      <w:r w:rsidRPr="009A0348">
        <w:t xml:space="preserve"> </w:t>
      </w:r>
      <w:r w:rsidR="00F206B6" w:rsidRPr="009A0348">
        <w:t>that</w:t>
      </w:r>
      <w:r w:rsidR="00D65C8E" w:rsidRPr="009A0348">
        <w:t>, following structural reforms,</w:t>
      </w:r>
      <w:r w:rsidRPr="009A0348">
        <w:t xml:space="preserve"> public health </w:t>
      </w:r>
      <w:r w:rsidR="00D932E0" w:rsidRPr="009A0348">
        <w:t>had been set up and</w:t>
      </w:r>
      <w:r w:rsidRPr="009A0348">
        <w:t xml:space="preserve"> organised within local government</w:t>
      </w:r>
      <w:r w:rsidR="00FC68C2" w:rsidRPr="009A0348">
        <w:t xml:space="preserve"> </w:t>
      </w:r>
      <w:r w:rsidR="00F206B6" w:rsidRPr="009A0348">
        <w:t xml:space="preserve">in a variety of ways </w:t>
      </w:r>
      <w:r w:rsidR="00FC68C2" w:rsidRPr="009A0348">
        <w:t xml:space="preserve">and </w:t>
      </w:r>
      <w:r w:rsidR="00F206B6" w:rsidRPr="009A0348">
        <w:t>with different</w:t>
      </w:r>
      <w:r w:rsidR="00FC68C2" w:rsidRPr="009A0348">
        <w:t xml:space="preserve"> managerial</w:t>
      </w:r>
      <w:r w:rsidR="00F206B6" w:rsidRPr="009A0348">
        <w:t xml:space="preserve"> arrangements</w:t>
      </w:r>
      <w:r w:rsidR="00FC68C2" w:rsidRPr="009A0348">
        <w:t xml:space="preserve">.  </w:t>
      </w:r>
      <w:r w:rsidR="00580549">
        <w:t>Before 2013</w:t>
      </w:r>
      <w:r w:rsidR="00004E36">
        <w:t>,</w:t>
      </w:r>
      <w:r w:rsidR="00580549">
        <w:t xml:space="preserve"> fears had been expressed that with the move to local authorities the role of the DPH would be marginalised.</w:t>
      </w:r>
      <w:r w:rsidR="009601AB">
        <w:rPr>
          <w:vertAlign w:val="superscript"/>
        </w:rPr>
        <w:t>1</w:t>
      </w:r>
      <w:r w:rsidR="00C31407">
        <w:rPr>
          <w:vertAlign w:val="superscript"/>
        </w:rPr>
        <w:t>8</w:t>
      </w:r>
      <w:r w:rsidR="00580549">
        <w:t xml:space="preserve"> The survey results </w:t>
      </w:r>
      <w:r w:rsidR="00E15E96">
        <w:t>indicate</w:t>
      </w:r>
      <w:r w:rsidR="00580549">
        <w:t xml:space="preserve"> that </w:t>
      </w:r>
      <w:proofErr w:type="spellStart"/>
      <w:r w:rsidR="00580549">
        <w:t>DsPH</w:t>
      </w:r>
      <w:proofErr w:type="spellEnd"/>
      <w:r w:rsidR="00580549">
        <w:t xml:space="preserve"> do not feel marginalised</w:t>
      </w:r>
      <w:r w:rsidR="00004E36">
        <w:t>,</w:t>
      </w:r>
      <w:r w:rsidR="009601AB">
        <w:t xml:space="preserve"> with </w:t>
      </w:r>
      <w:r w:rsidR="00D65C8E" w:rsidRPr="009A0348">
        <w:t>most</w:t>
      </w:r>
      <w:r w:rsidR="00FC68C2" w:rsidRPr="009A0348">
        <w:t xml:space="preserve"> </w:t>
      </w:r>
      <w:r w:rsidR="00004E36">
        <w:t xml:space="preserve">having already </w:t>
      </w:r>
      <w:r w:rsidR="00FC68C2" w:rsidRPr="009A0348">
        <w:t>establish</w:t>
      </w:r>
      <w:r w:rsidR="00004E36">
        <w:t>ed</w:t>
      </w:r>
      <w:r w:rsidR="009601AB">
        <w:t xml:space="preserve"> good relationships</w:t>
      </w:r>
      <w:r w:rsidR="00421050" w:rsidRPr="009A0348">
        <w:t xml:space="preserve"> within the</w:t>
      </w:r>
      <w:r w:rsidR="009601AB">
        <w:t>ir</w:t>
      </w:r>
      <w:r w:rsidR="00421050" w:rsidRPr="009A0348">
        <w:t xml:space="preserve"> authority</w:t>
      </w:r>
      <w:r w:rsidR="00580549">
        <w:t xml:space="preserve"> and </w:t>
      </w:r>
      <w:r w:rsidR="009601AB">
        <w:t xml:space="preserve">feeling </w:t>
      </w:r>
      <w:r w:rsidR="00FC68C2" w:rsidRPr="009A0348">
        <w:t>valued</w:t>
      </w:r>
      <w:r w:rsidR="00D65C8E" w:rsidRPr="009A0348">
        <w:t xml:space="preserve"> in their new institution</w:t>
      </w:r>
      <w:r w:rsidR="00580549">
        <w:t xml:space="preserve">. However, </w:t>
      </w:r>
      <w:r w:rsidR="00E15E96">
        <w:t>w</w:t>
      </w:r>
      <w:r w:rsidR="00580549">
        <w:t>hile</w:t>
      </w:r>
      <w:r w:rsidR="00D65C8E" w:rsidRPr="009A0348">
        <w:t xml:space="preserve"> the move ha</w:t>
      </w:r>
      <w:r w:rsidR="00004E36">
        <w:t>s</w:t>
      </w:r>
      <w:r w:rsidR="00D65C8E" w:rsidRPr="009A0348">
        <w:t xml:space="preserve"> made </w:t>
      </w:r>
      <w:proofErr w:type="spellStart"/>
      <w:r w:rsidR="00E15E96">
        <w:t>DsPH</w:t>
      </w:r>
      <w:proofErr w:type="spellEnd"/>
      <w:r w:rsidR="00D932E0" w:rsidRPr="009A0348">
        <w:t xml:space="preserve"> more able</w:t>
      </w:r>
      <w:r w:rsidR="00F206B6" w:rsidRPr="009A0348">
        <w:t xml:space="preserve"> to influence priorities for health and health improvement</w:t>
      </w:r>
      <w:r w:rsidR="00004E36">
        <w:t>,</w:t>
      </w:r>
      <w:r w:rsidR="00580549">
        <w:t xml:space="preserve"> such influence was often limited.</w:t>
      </w:r>
      <w:r w:rsidR="00AA6A7F" w:rsidRPr="009A0348">
        <w:t xml:space="preserve">  </w:t>
      </w:r>
      <w:r w:rsidR="00BB7523">
        <w:t>Akin to this, similar research into the challenges faced by leaders in the NHS</w:t>
      </w:r>
      <w:r w:rsidR="00BB7523">
        <w:rPr>
          <w:vertAlign w:val="superscript"/>
        </w:rPr>
        <w:t>21</w:t>
      </w:r>
      <w:r w:rsidR="00BB7523">
        <w:t xml:space="preserve"> highlights that challenges are almost insurmountable, due to the ‘disconnects’ caused by differences in structures, values and purpose, and that a sense of being able to be influential can be a delusion.  </w:t>
      </w:r>
      <w:r w:rsidR="002C2C01" w:rsidRPr="009A0348">
        <w:t xml:space="preserve">Working within local authorities has provided opportunities for </w:t>
      </w:r>
      <w:proofErr w:type="spellStart"/>
      <w:r w:rsidR="009601AB">
        <w:t>DsPH</w:t>
      </w:r>
      <w:proofErr w:type="spellEnd"/>
      <w:r w:rsidR="009601AB">
        <w:t xml:space="preserve"> </w:t>
      </w:r>
      <w:r w:rsidR="002C2C01" w:rsidRPr="009A0348">
        <w:t xml:space="preserve">to influence other areas of local authority activity </w:t>
      </w:r>
      <w:r w:rsidR="00004E36">
        <w:t xml:space="preserve">(such as </w:t>
      </w:r>
      <w:r w:rsidR="002C2C01" w:rsidRPr="009A0348">
        <w:t>work-places and schools</w:t>
      </w:r>
      <w:r w:rsidR="00004E36">
        <w:t>)</w:t>
      </w:r>
      <w:r w:rsidR="00F73FFD">
        <w:t>,</w:t>
      </w:r>
      <w:r w:rsidR="00004E36">
        <w:t xml:space="preserve"> </w:t>
      </w:r>
      <w:r w:rsidR="009601AB">
        <w:t>but significantly</w:t>
      </w:r>
      <w:r w:rsidR="00F73FFD">
        <w:t>,</w:t>
      </w:r>
      <w:r w:rsidR="009601AB">
        <w:t xml:space="preserve"> given their statutory role, </w:t>
      </w:r>
      <w:r w:rsidR="00895314">
        <w:t>little influence over CCGs</w:t>
      </w:r>
      <w:r w:rsidR="002C2C01" w:rsidRPr="009A0348">
        <w:t>.</w:t>
      </w:r>
    </w:p>
    <w:p w:rsidR="008A25D4" w:rsidRPr="009A0348" w:rsidRDefault="002C2C01" w:rsidP="002205E0">
      <w:pPr>
        <w:spacing w:after="0" w:line="360" w:lineRule="auto"/>
      </w:pPr>
      <w:r w:rsidRPr="009A0348">
        <w:lastRenderedPageBreak/>
        <w:t xml:space="preserve"> </w:t>
      </w:r>
    </w:p>
    <w:p w:rsidR="00D932E0" w:rsidRDefault="00364DC7" w:rsidP="002205E0">
      <w:pPr>
        <w:spacing w:after="0" w:line="360" w:lineRule="auto"/>
      </w:pPr>
      <w:proofErr w:type="spellStart"/>
      <w:r w:rsidRPr="009A0348">
        <w:t>DsPH</w:t>
      </w:r>
      <w:proofErr w:type="spellEnd"/>
      <w:r w:rsidRPr="009A0348">
        <w:t xml:space="preserve"> seemed more likely to </w:t>
      </w:r>
      <w:r w:rsidR="00E15E96">
        <w:t>feel</w:t>
      </w:r>
      <w:r w:rsidR="002136D2" w:rsidRPr="009A0348">
        <w:t xml:space="preserve"> well-embedded and working effectively</w:t>
      </w:r>
      <w:r w:rsidR="001F44E5" w:rsidRPr="009A0348">
        <w:t xml:space="preserve"> </w:t>
      </w:r>
      <w:r w:rsidR="00D65C8E" w:rsidRPr="009A0348">
        <w:t xml:space="preserve">following the 2013 reforms </w:t>
      </w:r>
      <w:r w:rsidR="002136D2" w:rsidRPr="009A0348">
        <w:t xml:space="preserve">when they </w:t>
      </w:r>
      <w:r w:rsidR="00F06591">
        <w:t xml:space="preserve">reported directly to </w:t>
      </w:r>
      <w:r w:rsidR="001F44E5" w:rsidRPr="009A0348">
        <w:t xml:space="preserve">the </w:t>
      </w:r>
      <w:r w:rsidR="00382E4A" w:rsidRPr="009A0348">
        <w:t>C</w:t>
      </w:r>
      <w:r w:rsidR="001F44E5" w:rsidRPr="009A0348">
        <w:t xml:space="preserve">hief </w:t>
      </w:r>
      <w:r w:rsidR="00382E4A" w:rsidRPr="009A0348">
        <w:t>Executive</w:t>
      </w:r>
      <w:r w:rsidR="001F44E5" w:rsidRPr="009A0348">
        <w:t>,</w:t>
      </w:r>
      <w:r w:rsidR="00786B9F" w:rsidRPr="009A0348">
        <w:t xml:space="preserve"> when collaboration with other departments was required</w:t>
      </w:r>
      <w:r w:rsidR="002136D2" w:rsidRPr="009A0348">
        <w:t>,</w:t>
      </w:r>
      <w:r w:rsidR="00786B9F" w:rsidRPr="009A0348">
        <w:t xml:space="preserve"> and where there was more engagement in approving public health plans. </w:t>
      </w:r>
      <w:r w:rsidR="002136D2" w:rsidRPr="009A0348">
        <w:t xml:space="preserve"> Public health teams </w:t>
      </w:r>
      <w:r w:rsidR="002D6521" w:rsidRPr="009A0348">
        <w:t>saw themselves as being</w:t>
      </w:r>
      <w:r w:rsidR="002136D2" w:rsidRPr="009A0348">
        <w:t xml:space="preserve"> less effective in authorities where the transfer of public health had not gone so well in terms of establishing good relationships and trust.  Some factors were less easy to interpret and may simply reflect the differing types of authorities </w:t>
      </w:r>
      <w:r w:rsidR="00F73FFD">
        <w:t xml:space="preserve">- </w:t>
      </w:r>
      <w:r w:rsidR="002136D2" w:rsidRPr="009A0348">
        <w:t>for example</w:t>
      </w:r>
      <w:r w:rsidR="00F73FFD">
        <w:t>,</w:t>
      </w:r>
      <w:r w:rsidR="002136D2" w:rsidRPr="009A0348">
        <w:t xml:space="preserve"> the </w:t>
      </w:r>
      <w:r w:rsidRPr="009A0348">
        <w:t>perception</w:t>
      </w:r>
      <w:r w:rsidR="002136D2" w:rsidRPr="009A0348">
        <w:t xml:space="preserve"> of public health teams in </w:t>
      </w:r>
      <w:r w:rsidR="001F44E5" w:rsidRPr="009A0348">
        <w:t>upper</w:t>
      </w:r>
      <w:r w:rsidR="00F73FFD">
        <w:t>-</w:t>
      </w:r>
      <w:r w:rsidR="001F44E5" w:rsidRPr="009A0348">
        <w:t>tier county authorit</w:t>
      </w:r>
      <w:r w:rsidR="0051357F">
        <w:t>ies</w:t>
      </w:r>
      <w:r w:rsidR="001F44E5" w:rsidRPr="0051357F">
        <w:t xml:space="preserve"> </w:t>
      </w:r>
      <w:r w:rsidR="004049CB">
        <w:t xml:space="preserve">that </w:t>
      </w:r>
      <w:r w:rsidRPr="009A0348">
        <w:t xml:space="preserve">they had greater influence over </w:t>
      </w:r>
      <w:r w:rsidR="00EC58AF" w:rsidRPr="009A0348">
        <w:t>priority-setting</w:t>
      </w:r>
      <w:r w:rsidR="002136D2" w:rsidRPr="009A0348">
        <w:t xml:space="preserve">, and </w:t>
      </w:r>
      <w:r w:rsidR="00EC58AF" w:rsidRPr="009A0348">
        <w:t>those</w:t>
      </w:r>
      <w:r w:rsidR="002136D2" w:rsidRPr="009A0348">
        <w:t xml:space="preserve"> in areas with</w:t>
      </w:r>
      <w:r w:rsidR="00D932E0" w:rsidRPr="009A0348">
        <w:t xml:space="preserve"> high</w:t>
      </w:r>
      <w:r w:rsidR="002136D2" w:rsidRPr="009A0348">
        <w:t>er</w:t>
      </w:r>
      <w:r w:rsidR="00D932E0" w:rsidRPr="009A0348">
        <w:t xml:space="preserve"> levels of material deprivation</w:t>
      </w:r>
      <w:r w:rsidR="00EC58AF" w:rsidRPr="009A0348">
        <w:t xml:space="preserve"> feeling they had less influence</w:t>
      </w:r>
      <w:r w:rsidR="00D65C8E" w:rsidRPr="009A0348">
        <w:t>.</w:t>
      </w:r>
      <w:r w:rsidR="001F44E5" w:rsidRPr="009A0348">
        <w:t xml:space="preserve"> </w:t>
      </w:r>
      <w:r w:rsidR="00AA6A7F" w:rsidRPr="00A43D7D">
        <w:t xml:space="preserve"> </w:t>
      </w:r>
    </w:p>
    <w:p w:rsidR="008A25D4" w:rsidRPr="00A43D7D" w:rsidRDefault="008A25D4" w:rsidP="002205E0">
      <w:pPr>
        <w:spacing w:after="0" w:line="360" w:lineRule="auto"/>
      </w:pPr>
    </w:p>
    <w:p w:rsidR="00E445C8" w:rsidRDefault="002136D2" w:rsidP="002205E0">
      <w:pPr>
        <w:spacing w:after="0" w:line="360" w:lineRule="auto"/>
      </w:pPr>
      <w:r w:rsidRPr="00B57B9C">
        <w:t>Although th</w:t>
      </w:r>
      <w:r w:rsidR="00580549">
        <w:t>is</w:t>
      </w:r>
      <w:r w:rsidRPr="00B57B9C">
        <w:t xml:space="preserve"> study did not ascertain </w:t>
      </w:r>
      <w:r w:rsidR="002D6521" w:rsidRPr="00B57B9C">
        <w:t>the nature or extent of</w:t>
      </w:r>
      <w:r w:rsidRPr="00B57B9C">
        <w:t xml:space="preserve"> changes</w:t>
      </w:r>
      <w:r w:rsidR="00076E52" w:rsidRPr="00B57B9C">
        <w:t xml:space="preserve"> in commissioning</w:t>
      </w:r>
      <w:r w:rsidRPr="0051357F">
        <w:t xml:space="preserve">, </w:t>
      </w:r>
      <w:r w:rsidR="002E553B" w:rsidRPr="0051357F">
        <w:t>it showed that nearly all authorities</w:t>
      </w:r>
      <w:r w:rsidR="00DF4B58" w:rsidRPr="0051357F">
        <w:t xml:space="preserve"> had made </w:t>
      </w:r>
      <w:r w:rsidR="002E553B" w:rsidRPr="0051357F">
        <w:t xml:space="preserve">changes </w:t>
      </w:r>
      <w:r w:rsidR="00DF4B58" w:rsidRPr="0051357F">
        <w:t xml:space="preserve">to </w:t>
      </w:r>
      <w:r w:rsidR="00076E52" w:rsidRPr="0051357F">
        <w:t xml:space="preserve">services purchased </w:t>
      </w:r>
      <w:r w:rsidR="003D2B15" w:rsidRPr="0051357F">
        <w:t xml:space="preserve">under </w:t>
      </w:r>
      <w:r w:rsidR="00DF4B58" w:rsidRPr="0051357F">
        <w:t xml:space="preserve">the public health ring-fenced budget by </w:t>
      </w:r>
      <w:r w:rsidR="00AA6A7F" w:rsidRPr="009A0348">
        <w:t>August</w:t>
      </w:r>
      <w:r w:rsidR="00DF4B58" w:rsidRPr="009A0348">
        <w:t xml:space="preserve"> 2014</w:t>
      </w:r>
      <w:r w:rsidR="002E553B" w:rsidRPr="009A0348">
        <w:t xml:space="preserve">.  </w:t>
      </w:r>
      <w:r w:rsidR="00243603">
        <w:t>Changes</w:t>
      </w:r>
      <w:r w:rsidR="006B25D3">
        <w:t>, such as setting up new services or changing service providers,</w:t>
      </w:r>
      <w:r w:rsidR="00243603">
        <w:t xml:space="preserve"> were more likely in authorities where public health leaders felt they were influential.  </w:t>
      </w:r>
      <w:r w:rsidR="000763B5">
        <w:t>Comparing our findings with previous surveys</w:t>
      </w:r>
      <w:r w:rsidR="00C31407">
        <w:rPr>
          <w:vertAlign w:val="superscript"/>
        </w:rPr>
        <w:t>11</w:t>
      </w:r>
      <w:proofErr w:type="gramStart"/>
      <w:r w:rsidR="00C31407">
        <w:rPr>
          <w:vertAlign w:val="superscript"/>
        </w:rPr>
        <w:t>,16</w:t>
      </w:r>
      <w:proofErr w:type="gramEnd"/>
      <w:r w:rsidR="000763B5">
        <w:t>, we can see that c</w:t>
      </w:r>
      <w:r w:rsidR="00E445C8" w:rsidRPr="00A43D7D">
        <w:t>hange</w:t>
      </w:r>
      <w:r w:rsidR="008A7D07" w:rsidRPr="00B57B9C">
        <w:t>s</w:t>
      </w:r>
      <w:r w:rsidR="00E445C8" w:rsidRPr="00B57B9C">
        <w:t xml:space="preserve"> in commissioning </w:t>
      </w:r>
      <w:r w:rsidR="008A7D07" w:rsidRPr="00B57B9C">
        <w:t xml:space="preserve">accelerated rapidly towards the end of the first year of re-organising public health.  </w:t>
      </w:r>
    </w:p>
    <w:p w:rsidR="008A25D4" w:rsidRPr="009A0348" w:rsidRDefault="008A25D4" w:rsidP="002205E0">
      <w:pPr>
        <w:spacing w:after="0" w:line="360" w:lineRule="auto"/>
      </w:pPr>
    </w:p>
    <w:p w:rsidR="00ED5A78" w:rsidRDefault="00E445C8" w:rsidP="002205E0">
      <w:pPr>
        <w:spacing w:after="0" w:line="360" w:lineRule="auto"/>
      </w:pPr>
      <w:r w:rsidRPr="009A0348">
        <w:t>A</w:t>
      </w:r>
      <w:r w:rsidR="00EE13DB" w:rsidRPr="009A0348">
        <w:t xml:space="preserve"> s</w:t>
      </w:r>
      <w:r w:rsidR="00862F9B" w:rsidRPr="009A0348">
        <w:t xml:space="preserve">urvey </w:t>
      </w:r>
      <w:r w:rsidR="00750967">
        <w:t xml:space="preserve">in October 2013 </w:t>
      </w:r>
      <w:r w:rsidR="00580549">
        <w:t xml:space="preserve">undertaken </w:t>
      </w:r>
      <w:r w:rsidR="00862F9B" w:rsidRPr="009A0348">
        <w:t xml:space="preserve">by the </w:t>
      </w:r>
      <w:r w:rsidR="00C2332C" w:rsidRPr="004B6CFE">
        <w:t xml:space="preserve">ADPH </w:t>
      </w:r>
      <w:r w:rsidR="00862F9B" w:rsidRPr="004B6CFE">
        <w:t>of their membership found a</w:t>
      </w:r>
      <w:r w:rsidR="00C2332C" w:rsidRPr="004B6CFE">
        <w:t xml:space="preserve"> similarly</w:t>
      </w:r>
      <w:r w:rsidR="00862F9B" w:rsidRPr="009A0348">
        <w:t xml:space="preserve"> wide variety of structural and managerial arrangements, </w:t>
      </w:r>
      <w:r w:rsidR="00C2332C" w:rsidRPr="009A0348">
        <w:t xml:space="preserve">with </w:t>
      </w:r>
      <w:proofErr w:type="spellStart"/>
      <w:r w:rsidR="00862F9B" w:rsidRPr="009A0348">
        <w:t>DsPH</w:t>
      </w:r>
      <w:proofErr w:type="spellEnd"/>
      <w:r w:rsidR="00862F9B" w:rsidRPr="009A0348">
        <w:t xml:space="preserve"> </w:t>
      </w:r>
      <w:r w:rsidR="00C2332C" w:rsidRPr="009A0348">
        <w:t xml:space="preserve">reporting they </w:t>
      </w:r>
      <w:r w:rsidR="00862F9B" w:rsidRPr="009A0348">
        <w:t>had good access to councillors and appropriate influence across their authority.</w:t>
      </w:r>
      <w:r w:rsidR="00C31407">
        <w:rPr>
          <w:vertAlign w:val="superscript"/>
        </w:rPr>
        <w:t>10</w:t>
      </w:r>
      <w:r w:rsidR="00862F9B" w:rsidRPr="009A0348">
        <w:t xml:space="preserve"> </w:t>
      </w:r>
      <w:r w:rsidR="00C2332C" w:rsidRPr="009A0348">
        <w:t>The ADPH also noted that in a fifth of authorities</w:t>
      </w:r>
      <w:r w:rsidR="00F73FFD">
        <w:t>,</w:t>
      </w:r>
      <w:r w:rsidR="00C2332C" w:rsidRPr="009A0348">
        <w:t xml:space="preserve"> there was no substantive DPH in post</w:t>
      </w:r>
      <w:r w:rsidR="00F73FFD">
        <w:t>,</w:t>
      </w:r>
      <w:r w:rsidR="00C2332C" w:rsidRPr="009A0348">
        <w:t xml:space="preserve"> and that acting or interim </w:t>
      </w:r>
      <w:proofErr w:type="spellStart"/>
      <w:r w:rsidR="00C2332C" w:rsidRPr="009A0348">
        <w:t>DsPH</w:t>
      </w:r>
      <w:proofErr w:type="spellEnd"/>
      <w:r w:rsidR="00C2332C" w:rsidRPr="009A0348">
        <w:t xml:space="preserve"> had much less influence in how the ring-fenced public health budget was being spent.  </w:t>
      </w:r>
    </w:p>
    <w:p w:rsidR="008A25D4" w:rsidRPr="009A0348" w:rsidRDefault="008A25D4" w:rsidP="002205E0">
      <w:pPr>
        <w:spacing w:after="0" w:line="360" w:lineRule="auto"/>
      </w:pPr>
    </w:p>
    <w:p w:rsidR="007C3AFE" w:rsidRDefault="00E445C8" w:rsidP="002205E0">
      <w:pPr>
        <w:spacing w:after="0" w:line="360" w:lineRule="auto"/>
      </w:pPr>
      <w:r w:rsidRPr="009A0348">
        <w:t xml:space="preserve">Other research has noted the different culture </w:t>
      </w:r>
      <w:r w:rsidR="00040FFF">
        <w:t>in which</w:t>
      </w:r>
      <w:r w:rsidRPr="009A0348">
        <w:t xml:space="preserve"> public health teams find themselves, that decisions are often based on political pressure rather than evidence</w:t>
      </w:r>
      <w:r w:rsidR="00F73FFD">
        <w:t>,</w:t>
      </w:r>
      <w:r w:rsidRPr="009A0348">
        <w:t xml:space="preserve"> and that in th</w:t>
      </w:r>
      <w:r w:rsidR="00040FFF">
        <w:t>e new</w:t>
      </w:r>
      <w:r w:rsidRPr="009A0348">
        <w:t xml:space="preserve"> environment they would benefit from having better influencing skills</w:t>
      </w:r>
      <w:r w:rsidR="00F73FFD">
        <w:t>.</w:t>
      </w:r>
      <w:r w:rsidR="002A0128" w:rsidRPr="002A0128">
        <w:rPr>
          <w:vertAlign w:val="superscript"/>
        </w:rPr>
        <w:t xml:space="preserve"> </w:t>
      </w:r>
      <w:r w:rsidR="002A0128">
        <w:rPr>
          <w:vertAlign w:val="superscript"/>
        </w:rPr>
        <w:t>1</w:t>
      </w:r>
      <w:r w:rsidR="00C31407">
        <w:rPr>
          <w:vertAlign w:val="superscript"/>
        </w:rPr>
        <w:t>7</w:t>
      </w:r>
      <w:r w:rsidR="004C61B0">
        <w:t xml:space="preserve"> </w:t>
      </w:r>
      <w:r w:rsidR="002F14AC" w:rsidRPr="009A0348">
        <w:t>W</w:t>
      </w:r>
      <w:r w:rsidR="0018757D" w:rsidRPr="009A0348">
        <w:t>hile broadly in line with previous research</w:t>
      </w:r>
      <w:r w:rsidR="00210921">
        <w:rPr>
          <w:vertAlign w:val="superscript"/>
        </w:rPr>
        <w:t>5</w:t>
      </w:r>
      <w:proofErr w:type="gramStart"/>
      <w:r w:rsidR="00210921">
        <w:rPr>
          <w:vertAlign w:val="superscript"/>
        </w:rPr>
        <w:t>,6,11,12</w:t>
      </w:r>
      <w:proofErr w:type="gramEnd"/>
      <w:r w:rsidR="0018757D" w:rsidRPr="009A0348">
        <w:t>,</w:t>
      </w:r>
      <w:r w:rsidR="005C0C6E" w:rsidRPr="009A0348">
        <w:t xml:space="preserve"> </w:t>
      </w:r>
      <w:r w:rsidR="00750967">
        <w:t>our</w:t>
      </w:r>
      <w:r w:rsidR="002F14AC" w:rsidRPr="009A0348">
        <w:t xml:space="preserve"> findings give a fuller picture of public health following the April 2013 reforms as they are based on </w:t>
      </w:r>
      <w:r w:rsidR="0018757D" w:rsidRPr="009A0348">
        <w:t xml:space="preserve">a wider range of questions and </w:t>
      </w:r>
      <w:r w:rsidR="002F14AC" w:rsidRPr="009A0348">
        <w:t>an examination of</w:t>
      </w:r>
      <w:r w:rsidR="0018757D" w:rsidRPr="009A0348">
        <w:t xml:space="preserve"> relationships between these.</w:t>
      </w:r>
    </w:p>
    <w:p w:rsidR="005F6180" w:rsidRDefault="005F6180" w:rsidP="002205E0">
      <w:pPr>
        <w:spacing w:after="0" w:line="360" w:lineRule="auto"/>
      </w:pPr>
    </w:p>
    <w:p w:rsidR="00993A64" w:rsidRPr="00A43D7D" w:rsidRDefault="0018757D" w:rsidP="002205E0">
      <w:pPr>
        <w:spacing w:after="0" w:line="360" w:lineRule="auto"/>
      </w:pPr>
      <w:r w:rsidRPr="009A0348">
        <w:t>In summary, t</w:t>
      </w:r>
      <w:r w:rsidR="008A22E3" w:rsidRPr="009A0348">
        <w:t xml:space="preserve">he survey showed </w:t>
      </w:r>
      <w:r w:rsidR="00AD7517" w:rsidRPr="009A0348">
        <w:t xml:space="preserve">a widespread feeling </w:t>
      </w:r>
      <w:r w:rsidR="002E553B" w:rsidRPr="009A0348">
        <w:t>among</w:t>
      </w:r>
      <w:r w:rsidR="00AD7517" w:rsidRPr="009A0348">
        <w:t xml:space="preserve"> </w:t>
      </w:r>
      <w:proofErr w:type="spellStart"/>
      <w:r w:rsidR="003D2B15" w:rsidRPr="009A0348">
        <w:t>DsPH</w:t>
      </w:r>
      <w:proofErr w:type="spellEnd"/>
      <w:r w:rsidR="003D2B15" w:rsidRPr="009A0348">
        <w:t xml:space="preserve"> </w:t>
      </w:r>
      <w:r w:rsidR="002E553B" w:rsidRPr="009A0348">
        <w:t>in local government that they had</w:t>
      </w:r>
      <w:r w:rsidR="00AD7517" w:rsidRPr="009A0348">
        <w:t xml:space="preserve"> greater influence since the reforms, and that this went across the local authority and beyond.  </w:t>
      </w:r>
      <w:r w:rsidR="000763B5">
        <w:t>The influence of p</w:t>
      </w:r>
      <w:r w:rsidR="002E553B" w:rsidRPr="009A0348">
        <w:t xml:space="preserve">ublic health </w:t>
      </w:r>
      <w:r w:rsidR="000763B5">
        <w:t xml:space="preserve">professionals </w:t>
      </w:r>
      <w:r w:rsidR="002E553B" w:rsidRPr="009A0348">
        <w:t>was most apparent when the transfer of staff to local government had gone well</w:t>
      </w:r>
      <w:r w:rsidR="00076E52" w:rsidRPr="009A0348">
        <w:t>,</w:t>
      </w:r>
      <w:r w:rsidR="002E553B" w:rsidRPr="009A0348">
        <w:t xml:space="preserve"> </w:t>
      </w:r>
      <w:r w:rsidR="002F14AC" w:rsidRPr="009A0348">
        <w:t xml:space="preserve">when </w:t>
      </w:r>
      <w:r w:rsidR="002E553B" w:rsidRPr="009A0348">
        <w:t>collaborative working relationships had developed</w:t>
      </w:r>
      <w:r w:rsidR="00F73FFD">
        <w:t>,</w:t>
      </w:r>
      <w:r w:rsidR="00076E52" w:rsidRPr="009A0348">
        <w:t xml:space="preserve"> and </w:t>
      </w:r>
      <w:r w:rsidR="007C3AFE">
        <w:t xml:space="preserve">health and </w:t>
      </w:r>
      <w:r w:rsidR="007C3AFE">
        <w:lastRenderedPageBreak/>
        <w:t>wellbeing boards</w:t>
      </w:r>
      <w:r w:rsidR="004B6CFE">
        <w:t xml:space="preserve"> </w:t>
      </w:r>
      <w:r w:rsidR="002F14AC" w:rsidRPr="004B6CFE">
        <w:t>were seen as being effective</w:t>
      </w:r>
      <w:r w:rsidR="0068675C">
        <w:t xml:space="preserve"> locally</w:t>
      </w:r>
      <w:r w:rsidR="002E553B" w:rsidRPr="004B6CFE">
        <w:t xml:space="preserve">.  Changes </w:t>
      </w:r>
      <w:r w:rsidR="002F14AC" w:rsidRPr="009A0348">
        <w:t>to</w:t>
      </w:r>
      <w:r w:rsidR="002E553B" w:rsidRPr="009A0348">
        <w:t xml:space="preserve"> commission</w:t>
      </w:r>
      <w:r w:rsidR="002F14AC" w:rsidRPr="009A0348">
        <w:t>ing</w:t>
      </w:r>
      <w:r w:rsidR="002E553B" w:rsidRPr="009A0348">
        <w:t xml:space="preserve"> using </w:t>
      </w:r>
      <w:r w:rsidR="002F14AC" w:rsidRPr="009A0348">
        <w:t xml:space="preserve">the </w:t>
      </w:r>
      <w:r w:rsidR="002E553B" w:rsidRPr="009A0348">
        <w:t xml:space="preserve">public health budget were </w:t>
      </w:r>
      <w:r w:rsidR="00076E52" w:rsidRPr="009A0348">
        <w:t xml:space="preserve">already </w:t>
      </w:r>
      <w:r w:rsidR="002F14AC" w:rsidRPr="009A0348">
        <w:t>occurring</w:t>
      </w:r>
      <w:r w:rsidR="00076E52" w:rsidRPr="009A0348">
        <w:t xml:space="preserve"> and included the de-commissioning of services.</w:t>
      </w:r>
      <w:r w:rsidR="002E553B" w:rsidRPr="009A0348">
        <w:t xml:space="preserve"> </w:t>
      </w:r>
      <w:r w:rsidR="007B689F">
        <w:t xml:space="preserve"> </w:t>
      </w:r>
      <w:r w:rsidR="004C61B0">
        <w:t xml:space="preserve">The findings are encouraging with respect to the extent to which the public health role has become more embedded within local authority organisational structures and integrated with other aspects of local authority work. However, </w:t>
      </w:r>
      <w:proofErr w:type="spellStart"/>
      <w:r w:rsidR="004C61B0">
        <w:t>DsPH</w:t>
      </w:r>
      <w:proofErr w:type="spellEnd"/>
      <w:r w:rsidR="004C61B0">
        <w:t xml:space="preserve"> still report having limited influence and</w:t>
      </w:r>
      <w:r w:rsidR="00F73FFD">
        <w:t>,</w:t>
      </w:r>
      <w:r w:rsidR="004C61B0">
        <w:t xml:space="preserve"> with many local authorities undertaking </w:t>
      </w:r>
      <w:r w:rsidR="008B6CD7">
        <w:t xml:space="preserve">further </w:t>
      </w:r>
      <w:r w:rsidR="004C61B0">
        <w:t>internal restructuring with public health placed in larger directorates</w:t>
      </w:r>
      <w:r w:rsidR="00F73FFD">
        <w:t>,</w:t>
      </w:r>
      <w:r w:rsidR="004C61B0">
        <w:t xml:space="preserve"> the</w:t>
      </w:r>
      <w:r w:rsidR="008B6CD7">
        <w:t xml:space="preserve"> influence of public health</w:t>
      </w:r>
      <w:r w:rsidR="004C61B0">
        <w:t xml:space="preserve"> may </w:t>
      </w:r>
      <w:r w:rsidR="008B6CD7">
        <w:t>be diminished, for example if</w:t>
      </w:r>
      <w:r w:rsidR="00F73FFD">
        <w:t xml:space="preserve"> </w:t>
      </w:r>
      <w:r w:rsidR="004C61B0">
        <w:t>direct managerial relationships with chief executives</w:t>
      </w:r>
      <w:r w:rsidR="00F73FFD">
        <w:t xml:space="preserve"> are lost</w:t>
      </w:r>
      <w:r w:rsidR="004C61B0">
        <w:t xml:space="preserve">. </w:t>
      </w:r>
      <w:r w:rsidR="00EF21D1">
        <w:t xml:space="preserve"> </w:t>
      </w:r>
      <w:r w:rsidR="008D56D4">
        <w:t xml:space="preserve">Our </w:t>
      </w:r>
      <w:r w:rsidR="00EF21D1">
        <w:t>current study will augment t</w:t>
      </w:r>
      <w:r w:rsidR="00060540">
        <w:t>he</w:t>
      </w:r>
      <w:r w:rsidR="00A3660D">
        <w:t>se</w:t>
      </w:r>
      <w:r w:rsidR="00060540">
        <w:t xml:space="preserve"> findings </w:t>
      </w:r>
      <w:r w:rsidR="00EF21D1">
        <w:t>with</w:t>
      </w:r>
      <w:r w:rsidR="00A3660D">
        <w:t xml:space="preserve"> the </w:t>
      </w:r>
      <w:r w:rsidR="00060540">
        <w:t>perspective of elected members</w:t>
      </w:r>
      <w:r w:rsidR="00746A0C">
        <w:rPr>
          <w:vertAlign w:val="superscript"/>
        </w:rPr>
        <w:t>20</w:t>
      </w:r>
      <w:r w:rsidR="00060540">
        <w:t xml:space="preserve"> and </w:t>
      </w:r>
      <w:r w:rsidR="00EF21D1">
        <w:t>with</w:t>
      </w:r>
      <w:r w:rsidR="00060540">
        <w:t xml:space="preserve"> a follow-up survey to identify how the position</w:t>
      </w:r>
      <w:r w:rsidR="008B6CD7">
        <w:t>,</w:t>
      </w:r>
      <w:r w:rsidR="00060540">
        <w:t xml:space="preserve"> role and impact of public health in local government continue to change.  Also w</w:t>
      </w:r>
      <w:r w:rsidR="004C61B0">
        <w:t>ithin the wider research project</w:t>
      </w:r>
      <w:r w:rsidR="00F73FFD">
        <w:t>,</w:t>
      </w:r>
      <w:r w:rsidR="004C61B0">
        <w:t xml:space="preserve"> </w:t>
      </w:r>
      <w:r w:rsidR="000A5791">
        <w:t xml:space="preserve">the </w:t>
      </w:r>
      <w:r w:rsidR="004C61B0">
        <w:t xml:space="preserve">in-depth case studies </w:t>
      </w:r>
      <w:r w:rsidR="00F73FFD">
        <w:t xml:space="preserve">are </w:t>
      </w:r>
      <w:r w:rsidR="004C61B0">
        <w:t>shed</w:t>
      </w:r>
      <w:r w:rsidR="00F73FFD">
        <w:t>ding</w:t>
      </w:r>
      <w:r w:rsidR="004C61B0">
        <w:t xml:space="preserve"> more light on how current organisational changes affect the new local government public health role</w:t>
      </w:r>
      <w:r w:rsidR="008B6CD7">
        <w:t>.</w:t>
      </w:r>
      <w:r w:rsidR="000A5791">
        <w:t xml:space="preserve">  </w:t>
      </w:r>
      <w:r w:rsidR="008B6CD7">
        <w:t>R</w:t>
      </w:r>
      <w:r w:rsidR="000A5791">
        <w:t xml:space="preserve">esults from early stages of </w:t>
      </w:r>
      <w:r w:rsidR="00A05949">
        <w:t>the</w:t>
      </w:r>
      <w:r w:rsidR="000A5791">
        <w:t xml:space="preserve"> research are reported elsewhere</w:t>
      </w:r>
      <w:r w:rsidR="00C31407">
        <w:rPr>
          <w:vertAlign w:val="superscript"/>
        </w:rPr>
        <w:t>19</w:t>
      </w:r>
      <w:r w:rsidR="000A5791">
        <w:t xml:space="preserve"> and a full analysis and report will be published in early 2016</w:t>
      </w:r>
      <w:r w:rsidR="004C61B0">
        <w:t>.</w:t>
      </w:r>
      <w:r w:rsidR="00AC110E">
        <w:t xml:space="preserve"> [</w:t>
      </w:r>
      <w:r w:rsidR="005F6180">
        <w:t>3131</w:t>
      </w:r>
      <w:r w:rsidR="00AC110E">
        <w:t xml:space="preserve"> words]</w:t>
      </w:r>
    </w:p>
    <w:p w:rsidR="00184376" w:rsidRPr="004B6CFE" w:rsidRDefault="00184376" w:rsidP="002205E0">
      <w:pPr>
        <w:spacing w:after="0" w:line="360" w:lineRule="auto"/>
      </w:pPr>
    </w:p>
    <w:p w:rsidR="003778B5" w:rsidRDefault="00A334B4" w:rsidP="002205E0">
      <w:pPr>
        <w:spacing w:after="0" w:line="360" w:lineRule="auto"/>
      </w:pPr>
      <w:r w:rsidRPr="00656425">
        <w:t>Acknowledgements</w:t>
      </w:r>
    </w:p>
    <w:p w:rsidR="00E658A2" w:rsidRPr="00656425" w:rsidRDefault="00E658A2" w:rsidP="002205E0">
      <w:pPr>
        <w:spacing w:after="0" w:line="360" w:lineRule="auto"/>
      </w:pPr>
      <w:r>
        <w:t>We would like to thank directors of public health and others who participated in the survey.</w:t>
      </w:r>
    </w:p>
    <w:p w:rsidR="00E658A2" w:rsidRDefault="00E658A2" w:rsidP="002205E0">
      <w:pPr>
        <w:spacing w:after="0" w:line="360" w:lineRule="auto"/>
      </w:pPr>
    </w:p>
    <w:p w:rsidR="00E658A2" w:rsidRDefault="00E658A2" w:rsidP="002205E0">
      <w:pPr>
        <w:spacing w:after="0" w:line="360" w:lineRule="auto"/>
      </w:pPr>
      <w:r>
        <w:t>Funding</w:t>
      </w:r>
    </w:p>
    <w:p w:rsidR="007C3AFE" w:rsidRPr="00656425" w:rsidRDefault="007C3AFE" w:rsidP="00464039">
      <w:pPr>
        <w:spacing w:after="0" w:line="360" w:lineRule="auto"/>
      </w:pPr>
      <w:r>
        <w:t>T</w:t>
      </w:r>
      <w:r w:rsidR="00E658A2">
        <w:t>his work was supported by t</w:t>
      </w:r>
      <w:r>
        <w:t>he Department of Health</w:t>
      </w:r>
      <w:r w:rsidR="00E658A2">
        <w:t xml:space="preserve">. </w:t>
      </w:r>
      <w:r>
        <w:t xml:space="preserve"> </w:t>
      </w:r>
      <w:r w:rsidR="00464039">
        <w:t>The views expressed are those of the researchers and not necessarily those of the Department of Health.</w:t>
      </w:r>
    </w:p>
    <w:p w:rsidR="003778B5" w:rsidRPr="009A0348" w:rsidRDefault="003778B5" w:rsidP="002205E0">
      <w:pPr>
        <w:spacing w:after="0" w:line="360" w:lineRule="auto"/>
      </w:pPr>
    </w:p>
    <w:p w:rsidR="00D36F29" w:rsidRPr="00656425" w:rsidRDefault="00A334B4" w:rsidP="002205E0">
      <w:pPr>
        <w:spacing w:after="0" w:line="360" w:lineRule="auto"/>
      </w:pPr>
      <w:r w:rsidRPr="00656425">
        <w:t>References</w:t>
      </w:r>
    </w:p>
    <w:p w:rsidR="004C61B0" w:rsidRPr="00A74830" w:rsidRDefault="004C61B0" w:rsidP="00A74830">
      <w:pPr>
        <w:pStyle w:val="ListParagraph"/>
        <w:numPr>
          <w:ilvl w:val="0"/>
          <w:numId w:val="11"/>
        </w:numPr>
        <w:autoSpaceDE w:val="0"/>
        <w:autoSpaceDN w:val="0"/>
        <w:adjustRightInd w:val="0"/>
        <w:spacing w:line="360" w:lineRule="auto"/>
        <w:rPr>
          <w:rFonts w:cs="Arial"/>
        </w:rPr>
      </w:pPr>
      <w:r w:rsidRPr="00A74830">
        <w:rPr>
          <w:rFonts w:cs="Arial"/>
        </w:rPr>
        <w:t xml:space="preserve">Department of Health. </w:t>
      </w:r>
      <w:r w:rsidRPr="00A74830">
        <w:rPr>
          <w:rFonts w:eastAsia="Times New Roman" w:cs="Arial"/>
          <w:i/>
          <w:iCs/>
        </w:rPr>
        <w:t>Healthy lives, healthy people: Update and way forward</w:t>
      </w:r>
      <w:r w:rsidRPr="00A74830">
        <w:rPr>
          <w:rFonts w:cs="Arial"/>
        </w:rPr>
        <w:t xml:space="preserve">. The Stationery Office, 2011a, Gateway ref 129334. Available at:  </w:t>
      </w:r>
      <w:hyperlink r:id="rId12" w:history="1">
        <w:r w:rsidRPr="00A74830">
          <w:rPr>
            <w:rStyle w:val="Hyperlink"/>
            <w:rFonts w:asciiTheme="minorHAnsi" w:hAnsiTheme="minorHAnsi" w:cs="Arial"/>
            <w:color w:val="auto"/>
          </w:rPr>
          <w:t>https://www.gov.uk/government/uploads/system/uploads/attachment_data/file/216142/dh_129334.pdf</w:t>
        </w:r>
      </w:hyperlink>
      <w:r w:rsidRPr="00A74830">
        <w:rPr>
          <w:rFonts w:cs="Arial"/>
        </w:rPr>
        <w:t xml:space="preserve"> (accessed 3 February 2015)</w:t>
      </w:r>
    </w:p>
    <w:p w:rsidR="009601AB" w:rsidRPr="00A74830" w:rsidRDefault="004C61B0" w:rsidP="00A74830">
      <w:pPr>
        <w:pStyle w:val="ListParagraph"/>
        <w:numPr>
          <w:ilvl w:val="0"/>
          <w:numId w:val="11"/>
        </w:numPr>
        <w:autoSpaceDE w:val="0"/>
        <w:autoSpaceDN w:val="0"/>
        <w:adjustRightInd w:val="0"/>
        <w:spacing w:line="360" w:lineRule="auto"/>
        <w:rPr>
          <w:rFonts w:cs="Arial"/>
        </w:rPr>
      </w:pPr>
      <w:r w:rsidRPr="00A74830">
        <w:rPr>
          <w:rFonts w:cs="Arial"/>
        </w:rPr>
        <w:t xml:space="preserve">Department of Health. </w:t>
      </w:r>
      <w:r w:rsidRPr="00A74830">
        <w:rPr>
          <w:rFonts w:cs="Arial"/>
          <w:i/>
        </w:rPr>
        <w:t>Joint Strategic Needs Assessment and Joint Health and Wellbeing Strategies explained-Commissioning for populations</w:t>
      </w:r>
      <w:r w:rsidRPr="00A74830">
        <w:rPr>
          <w:rFonts w:cs="Arial"/>
        </w:rPr>
        <w:t xml:space="preserve">. London, The Stationery Office, 2011b, Gateway ref 131733. Available at: </w:t>
      </w:r>
      <w:hyperlink r:id="rId13" w:history="1">
        <w:r w:rsidR="009601AB" w:rsidRPr="00A74830">
          <w:rPr>
            <w:rStyle w:val="Hyperlink"/>
            <w:rFonts w:asciiTheme="minorHAnsi" w:hAnsiTheme="minorHAnsi" w:cs="Arial"/>
            <w:color w:val="auto"/>
          </w:rPr>
          <w:t>https://www.gov.uk/government/uploads/system/uploads/attachment_data/file/215261/dh_131733.pdf</w:t>
        </w:r>
      </w:hyperlink>
      <w:r w:rsidR="00A71645" w:rsidRPr="00A74830">
        <w:rPr>
          <w:rFonts w:cs="Arial"/>
        </w:rPr>
        <w:t xml:space="preserve"> (accessed 3 February 2015)</w:t>
      </w:r>
    </w:p>
    <w:p w:rsidR="004C61B0" w:rsidRPr="00A74830" w:rsidRDefault="004C61B0" w:rsidP="00A74830">
      <w:pPr>
        <w:pStyle w:val="ListParagraph"/>
        <w:numPr>
          <w:ilvl w:val="0"/>
          <w:numId w:val="11"/>
        </w:numPr>
        <w:spacing w:line="360" w:lineRule="auto"/>
        <w:rPr>
          <w:rFonts w:cs="Arial"/>
        </w:rPr>
      </w:pPr>
      <w:proofErr w:type="spellStart"/>
      <w:r w:rsidRPr="00A74830">
        <w:rPr>
          <w:rFonts w:cs="Arial"/>
        </w:rPr>
        <w:t>Medelin</w:t>
      </w:r>
      <w:proofErr w:type="spellEnd"/>
      <w:r w:rsidRPr="00A74830">
        <w:rPr>
          <w:rFonts w:cs="Arial"/>
        </w:rPr>
        <w:t xml:space="preserve"> T. </w:t>
      </w:r>
      <w:r w:rsidRPr="00A74830">
        <w:rPr>
          <w:rFonts w:cs="Arial"/>
          <w:i/>
          <w:iCs/>
        </w:rPr>
        <w:t>Transfer of local public health functions from the NHS to local authorities</w:t>
      </w:r>
      <w:r w:rsidRPr="00A74830">
        <w:rPr>
          <w:rFonts w:cs="Arial"/>
          <w:i/>
        </w:rPr>
        <w:t>.</w:t>
      </w:r>
      <w:r w:rsidRPr="00A74830">
        <w:rPr>
          <w:rFonts w:cs="Arial"/>
        </w:rPr>
        <w:t xml:space="preserve"> The Lancet: UK Policy matters, 2011. Available at: </w:t>
      </w:r>
      <w:hyperlink r:id="rId14" w:history="1">
        <w:r w:rsidRPr="00A74830">
          <w:rPr>
            <w:rStyle w:val="Hyperlink"/>
            <w:rFonts w:asciiTheme="minorHAnsi" w:hAnsiTheme="minorHAnsi" w:cs="Arial"/>
            <w:color w:val="auto"/>
          </w:rPr>
          <w:t>http://ukpolicymatters.thelancet.com/policy-</w:t>
        </w:r>
        <w:r w:rsidRPr="00A74830">
          <w:rPr>
            <w:rStyle w:val="Hyperlink"/>
            <w:rFonts w:asciiTheme="minorHAnsi" w:hAnsiTheme="minorHAnsi" w:cs="Arial"/>
            <w:color w:val="auto"/>
          </w:rPr>
          <w:lastRenderedPageBreak/>
          <w:t>summary-transfer-of-local-public-health-functions-from-the-nhs-to-local-authorities/</w:t>
        </w:r>
      </w:hyperlink>
      <w:r w:rsidRPr="00A74830">
        <w:rPr>
          <w:rFonts w:cs="Arial"/>
        </w:rPr>
        <w:t xml:space="preserve"> (accessed 3 February 2015)</w:t>
      </w:r>
    </w:p>
    <w:p w:rsidR="001C5145" w:rsidRPr="00A74830" w:rsidRDefault="001C5145" w:rsidP="00A74830">
      <w:pPr>
        <w:pStyle w:val="ListParagraph"/>
        <w:numPr>
          <w:ilvl w:val="0"/>
          <w:numId w:val="11"/>
        </w:numPr>
        <w:autoSpaceDE w:val="0"/>
        <w:autoSpaceDN w:val="0"/>
        <w:adjustRightInd w:val="0"/>
        <w:spacing w:line="360" w:lineRule="auto"/>
      </w:pPr>
      <w:r w:rsidRPr="00A74830">
        <w:rPr>
          <w:rFonts w:cs="Arial"/>
        </w:rPr>
        <w:t xml:space="preserve">Coleman A, </w:t>
      </w:r>
      <w:proofErr w:type="spellStart"/>
      <w:r w:rsidRPr="00A74830">
        <w:rPr>
          <w:rFonts w:cs="Arial"/>
        </w:rPr>
        <w:t>Checkland</w:t>
      </w:r>
      <w:proofErr w:type="spellEnd"/>
      <w:r w:rsidRPr="00A74830">
        <w:rPr>
          <w:rFonts w:cs="Arial"/>
        </w:rPr>
        <w:t xml:space="preserve"> K, Warwick-Giles L and Peckham S</w:t>
      </w:r>
      <w:r w:rsidR="00CC7827" w:rsidRPr="00A74830">
        <w:rPr>
          <w:rFonts w:cs="Arial"/>
        </w:rPr>
        <w:t>.</w:t>
      </w:r>
      <w:r w:rsidRPr="00A74830">
        <w:rPr>
          <w:rFonts w:cs="Arial"/>
        </w:rPr>
        <w:t xml:space="preserve"> </w:t>
      </w:r>
      <w:r w:rsidRPr="00A74830">
        <w:rPr>
          <w:rFonts w:cs="Arial"/>
          <w:i/>
        </w:rPr>
        <w:t>Changing the local Public Health system in England: Early evidence from qualitative studies of Clinical Commissioning Groups</w:t>
      </w:r>
      <w:r w:rsidRPr="00A74830">
        <w:rPr>
          <w:rFonts w:cs="Arial"/>
        </w:rPr>
        <w:t xml:space="preserve">. </w:t>
      </w:r>
      <w:proofErr w:type="spellStart"/>
      <w:r w:rsidRPr="00A74830">
        <w:rPr>
          <w:rFonts w:cs="Arial"/>
        </w:rPr>
        <w:t>PRUComm</w:t>
      </w:r>
      <w:proofErr w:type="spellEnd"/>
      <w:r w:rsidR="00CC7827" w:rsidRPr="00A74830">
        <w:rPr>
          <w:rFonts w:cs="Arial"/>
        </w:rPr>
        <w:t>, 2013</w:t>
      </w:r>
      <w:r w:rsidRPr="00A74830">
        <w:rPr>
          <w:rFonts w:cs="Arial"/>
        </w:rPr>
        <w:t xml:space="preserve">. </w:t>
      </w:r>
      <w:r w:rsidR="00917C63" w:rsidRPr="00A74830">
        <w:rPr>
          <w:rFonts w:cs="Arial"/>
        </w:rPr>
        <w:t xml:space="preserve">Available at: </w:t>
      </w:r>
      <w:hyperlink r:id="rId15" w:history="1">
        <w:r w:rsidRPr="00A74830">
          <w:rPr>
            <w:rStyle w:val="Hyperlink"/>
            <w:rFonts w:asciiTheme="minorHAnsi" w:hAnsiTheme="minorHAnsi" w:cs="Arial"/>
            <w:color w:val="auto"/>
          </w:rPr>
          <w:t>http://www.prucomm.ac.uk/assets/files/Changing%20the%20local%20Public%20Health%20system%20in%20England.pdf</w:t>
        </w:r>
      </w:hyperlink>
      <w:r w:rsidR="00917C63" w:rsidRPr="00A74830">
        <w:t xml:space="preserve"> (accessed 3 February 2015)</w:t>
      </w:r>
    </w:p>
    <w:p w:rsidR="00893CA6" w:rsidRPr="00A74830" w:rsidRDefault="00893CA6" w:rsidP="00A74830">
      <w:pPr>
        <w:pStyle w:val="NormalWeb"/>
        <w:numPr>
          <w:ilvl w:val="0"/>
          <w:numId w:val="11"/>
        </w:numPr>
        <w:spacing w:before="0" w:beforeAutospacing="0" w:after="0" w:afterAutospacing="0" w:line="360" w:lineRule="auto"/>
        <w:rPr>
          <w:rFonts w:asciiTheme="minorHAnsi" w:hAnsiTheme="minorHAnsi"/>
          <w:sz w:val="22"/>
          <w:szCs w:val="22"/>
        </w:rPr>
      </w:pPr>
      <w:r w:rsidRPr="00A74830">
        <w:rPr>
          <w:rStyle w:val="personname"/>
          <w:rFonts w:asciiTheme="minorHAnsi" w:hAnsiTheme="minorHAnsi"/>
          <w:sz w:val="22"/>
          <w:szCs w:val="22"/>
        </w:rPr>
        <w:t>Riches N,</w:t>
      </w:r>
      <w:r w:rsidRPr="00A74830">
        <w:rPr>
          <w:rFonts w:asciiTheme="minorHAnsi" w:hAnsiTheme="minorHAnsi"/>
          <w:sz w:val="22"/>
          <w:szCs w:val="22"/>
        </w:rPr>
        <w:t xml:space="preserve"> </w:t>
      </w:r>
      <w:r w:rsidRPr="00A74830">
        <w:rPr>
          <w:rStyle w:val="personname"/>
          <w:rFonts w:asciiTheme="minorHAnsi" w:hAnsiTheme="minorHAnsi"/>
          <w:sz w:val="22"/>
          <w:szCs w:val="22"/>
        </w:rPr>
        <w:t>Coleman A,</w:t>
      </w:r>
      <w:r w:rsidRPr="00A74830">
        <w:rPr>
          <w:rFonts w:asciiTheme="minorHAnsi" w:hAnsiTheme="minorHAnsi"/>
          <w:sz w:val="22"/>
          <w:szCs w:val="22"/>
        </w:rPr>
        <w:t xml:space="preserve"> </w:t>
      </w:r>
      <w:r w:rsidRPr="00A74830">
        <w:rPr>
          <w:rStyle w:val="personname"/>
          <w:rFonts w:asciiTheme="minorHAnsi" w:hAnsiTheme="minorHAnsi"/>
          <w:sz w:val="22"/>
          <w:szCs w:val="22"/>
        </w:rPr>
        <w:t>Gadsby E W</w:t>
      </w:r>
      <w:r w:rsidRPr="00A74830">
        <w:rPr>
          <w:rFonts w:asciiTheme="minorHAnsi" w:hAnsiTheme="minorHAnsi"/>
          <w:sz w:val="22"/>
          <w:szCs w:val="22"/>
        </w:rPr>
        <w:t xml:space="preserve"> and </w:t>
      </w:r>
      <w:r w:rsidRPr="00A74830">
        <w:rPr>
          <w:rStyle w:val="personname"/>
          <w:rFonts w:asciiTheme="minorHAnsi" w:hAnsiTheme="minorHAnsi"/>
          <w:sz w:val="22"/>
          <w:szCs w:val="22"/>
        </w:rPr>
        <w:t>Peckham S</w:t>
      </w:r>
      <w:r w:rsidRPr="00A74830">
        <w:rPr>
          <w:rFonts w:asciiTheme="minorHAnsi" w:hAnsiTheme="minorHAnsi"/>
          <w:sz w:val="22"/>
          <w:szCs w:val="22"/>
        </w:rPr>
        <w:t xml:space="preserve">. </w:t>
      </w:r>
      <w:hyperlink r:id="rId16" w:history="1">
        <w:r w:rsidRPr="00A74830">
          <w:rPr>
            <w:rStyle w:val="Emphasis"/>
            <w:rFonts w:asciiTheme="minorHAnsi" w:hAnsiTheme="minorHAnsi"/>
            <w:sz w:val="22"/>
            <w:szCs w:val="22"/>
          </w:rPr>
          <w:t xml:space="preserve">The Role Of Local Authorities In Health Issues: A Policy Document Analysis. </w:t>
        </w:r>
      </w:hyperlink>
      <w:proofErr w:type="spellStart"/>
      <w:r w:rsidRPr="00A74830">
        <w:rPr>
          <w:rFonts w:asciiTheme="minorHAnsi" w:hAnsiTheme="minorHAnsi"/>
          <w:sz w:val="22"/>
          <w:szCs w:val="22"/>
        </w:rPr>
        <w:t>PRUComm</w:t>
      </w:r>
      <w:proofErr w:type="spellEnd"/>
      <w:r w:rsidRPr="00A74830">
        <w:rPr>
          <w:rFonts w:asciiTheme="minorHAnsi" w:hAnsiTheme="minorHAnsi"/>
          <w:sz w:val="22"/>
          <w:szCs w:val="22"/>
        </w:rPr>
        <w:t xml:space="preserve">, 2015. Available at: </w:t>
      </w:r>
      <w:hyperlink r:id="rId17" w:history="1">
        <w:r w:rsidRPr="00A74830">
          <w:rPr>
            <w:rStyle w:val="Hyperlink"/>
            <w:rFonts w:asciiTheme="minorHAnsi" w:hAnsiTheme="minorHAnsi"/>
            <w:color w:val="auto"/>
            <w:sz w:val="22"/>
            <w:szCs w:val="22"/>
          </w:rPr>
          <w:t>http://www.kent.ac.uk/chss/docs/CLG-report.pdf</w:t>
        </w:r>
      </w:hyperlink>
      <w:r w:rsidRPr="00A74830">
        <w:rPr>
          <w:rFonts w:asciiTheme="minorHAnsi" w:hAnsiTheme="minorHAnsi"/>
          <w:sz w:val="22"/>
          <w:szCs w:val="22"/>
        </w:rPr>
        <w:t xml:space="preserve"> (accessed 16 June 2015)</w:t>
      </w:r>
    </w:p>
    <w:p w:rsidR="00457045" w:rsidRPr="00A74830" w:rsidRDefault="00457045" w:rsidP="00A74830">
      <w:pPr>
        <w:pStyle w:val="ListParagraph"/>
        <w:numPr>
          <w:ilvl w:val="0"/>
          <w:numId w:val="11"/>
        </w:numPr>
        <w:spacing w:line="360" w:lineRule="auto"/>
      </w:pPr>
      <w:r w:rsidRPr="00A74830">
        <w:t xml:space="preserve">Day M, </w:t>
      </w:r>
      <w:proofErr w:type="spellStart"/>
      <w:r w:rsidRPr="00A74830">
        <w:t>Shickle</w:t>
      </w:r>
      <w:proofErr w:type="spellEnd"/>
      <w:r w:rsidRPr="00A74830">
        <w:t xml:space="preserve"> D, Smith K, </w:t>
      </w:r>
      <w:proofErr w:type="spellStart"/>
      <w:r w:rsidRPr="00A74830">
        <w:t>Zakariasen</w:t>
      </w:r>
      <w:proofErr w:type="spellEnd"/>
      <w:r w:rsidRPr="00A74830">
        <w:t xml:space="preserve"> K, </w:t>
      </w:r>
      <w:proofErr w:type="spellStart"/>
      <w:r w:rsidRPr="00A74830">
        <w:t>Moskol</w:t>
      </w:r>
      <w:proofErr w:type="spellEnd"/>
      <w:r w:rsidRPr="00A74830">
        <w:t xml:space="preserve"> J. </w:t>
      </w:r>
      <w:r w:rsidR="0030711D" w:rsidRPr="007C2C3D">
        <w:rPr>
          <w:i/>
        </w:rPr>
        <w:t>Training public health superheroes: five talents for public health leadership.</w:t>
      </w:r>
      <w:r w:rsidRPr="00A74830">
        <w:t xml:space="preserve"> Journal of Public Health 2014, 36(4): 552-561.</w:t>
      </w:r>
    </w:p>
    <w:p w:rsidR="00457045" w:rsidRPr="00A74830" w:rsidRDefault="00457045" w:rsidP="00A74830">
      <w:pPr>
        <w:pStyle w:val="ListParagraph"/>
        <w:numPr>
          <w:ilvl w:val="0"/>
          <w:numId w:val="11"/>
        </w:numPr>
        <w:spacing w:line="360" w:lineRule="auto"/>
      </w:pPr>
      <w:r w:rsidRPr="00A74830">
        <w:t xml:space="preserve">Oliver K, de Vocht F, Money A, Everett M. </w:t>
      </w:r>
      <w:r w:rsidR="0030711D" w:rsidRPr="007C2C3D">
        <w:rPr>
          <w:i/>
        </w:rPr>
        <w:t>Who runs public health? A mixed methods study combining qualitative and network analyses.</w:t>
      </w:r>
      <w:r w:rsidRPr="00A74830">
        <w:t xml:space="preserve"> Journal of Public Health 2013, 35(3): 453-459.</w:t>
      </w:r>
    </w:p>
    <w:p w:rsidR="00457045" w:rsidRPr="007C2C3D" w:rsidRDefault="00457045" w:rsidP="00A74830">
      <w:pPr>
        <w:pStyle w:val="NormalWeb"/>
        <w:numPr>
          <w:ilvl w:val="0"/>
          <w:numId w:val="11"/>
        </w:numPr>
        <w:spacing w:before="0" w:beforeAutospacing="0" w:after="0" w:afterAutospacing="0" w:line="360" w:lineRule="auto"/>
        <w:rPr>
          <w:rFonts w:asciiTheme="minorHAnsi" w:hAnsiTheme="minorHAnsi"/>
          <w:sz w:val="22"/>
          <w:szCs w:val="22"/>
        </w:rPr>
      </w:pPr>
      <w:r w:rsidRPr="00A74830">
        <w:rPr>
          <w:rFonts w:asciiTheme="minorHAnsi" w:hAnsiTheme="minorHAnsi"/>
          <w:sz w:val="22"/>
          <w:szCs w:val="22"/>
        </w:rPr>
        <w:t xml:space="preserve">Willmott M, Womack J, </w:t>
      </w:r>
      <w:proofErr w:type="spellStart"/>
      <w:r w:rsidRPr="00A74830">
        <w:rPr>
          <w:rFonts w:asciiTheme="minorHAnsi" w:hAnsiTheme="minorHAnsi"/>
          <w:sz w:val="22"/>
          <w:szCs w:val="22"/>
        </w:rPr>
        <w:t>Hollingworth</w:t>
      </w:r>
      <w:proofErr w:type="spellEnd"/>
      <w:r w:rsidRPr="00A74830">
        <w:rPr>
          <w:rFonts w:asciiTheme="minorHAnsi" w:hAnsiTheme="minorHAnsi"/>
          <w:sz w:val="22"/>
          <w:szCs w:val="22"/>
        </w:rPr>
        <w:t xml:space="preserve"> W, Campbell R. </w:t>
      </w:r>
      <w:r w:rsidRPr="00A74830">
        <w:rPr>
          <w:rFonts w:asciiTheme="minorHAnsi" w:hAnsiTheme="minorHAnsi"/>
          <w:i/>
          <w:sz w:val="22"/>
          <w:szCs w:val="22"/>
        </w:rPr>
        <w:t>Making the case for investment in public health: experiences of Directors of Public Health in English local government.</w:t>
      </w:r>
      <w:r w:rsidRPr="00A74830">
        <w:rPr>
          <w:rFonts w:asciiTheme="minorHAnsi" w:hAnsiTheme="minorHAnsi"/>
          <w:sz w:val="22"/>
          <w:szCs w:val="22"/>
        </w:rPr>
        <w:t xml:space="preserve"> Journal </w:t>
      </w:r>
      <w:r w:rsidRPr="007C2C3D">
        <w:rPr>
          <w:rFonts w:asciiTheme="minorHAnsi" w:hAnsiTheme="minorHAnsi"/>
          <w:sz w:val="22"/>
          <w:szCs w:val="22"/>
        </w:rPr>
        <w:t>of Public Health, 2015</w:t>
      </w:r>
      <w:proofErr w:type="gramStart"/>
      <w:r w:rsidRPr="007C2C3D">
        <w:rPr>
          <w:rFonts w:asciiTheme="minorHAnsi" w:hAnsiTheme="minorHAnsi"/>
          <w:sz w:val="22"/>
          <w:szCs w:val="22"/>
        </w:rPr>
        <w:t>, :</w:t>
      </w:r>
      <w:proofErr w:type="gramEnd"/>
      <w:r w:rsidRPr="007C2C3D">
        <w:rPr>
          <w:rFonts w:asciiTheme="minorHAnsi" w:hAnsiTheme="minorHAnsi"/>
          <w:sz w:val="22"/>
          <w:szCs w:val="22"/>
        </w:rPr>
        <w:t xml:space="preserve"> 1-6.</w:t>
      </w:r>
      <w:r w:rsidR="007C2C3D" w:rsidRPr="007C2C3D">
        <w:rPr>
          <w:rFonts w:asciiTheme="minorHAnsi" w:hAnsiTheme="minorHAnsi"/>
          <w:sz w:val="22"/>
          <w:szCs w:val="22"/>
        </w:rPr>
        <w:t xml:space="preserve"> </w:t>
      </w:r>
      <w:r w:rsidR="007C2C3D">
        <w:rPr>
          <w:rFonts w:asciiTheme="minorHAnsi" w:hAnsiTheme="minorHAnsi"/>
          <w:sz w:val="22"/>
          <w:szCs w:val="22"/>
        </w:rPr>
        <w:t>(</w:t>
      </w:r>
      <w:proofErr w:type="spellStart"/>
      <w:r w:rsidR="007C2C3D" w:rsidRPr="007C2C3D">
        <w:rPr>
          <w:rFonts w:asciiTheme="minorHAnsi" w:hAnsiTheme="minorHAnsi" w:cs="Lucida Sans Unicode"/>
          <w:color w:val="333300"/>
          <w:sz w:val="22"/>
          <w:szCs w:val="22"/>
          <w:lang w:val="en"/>
        </w:rPr>
        <w:t>doi</w:t>
      </w:r>
      <w:proofErr w:type="spellEnd"/>
      <w:r w:rsidR="007C2C3D" w:rsidRPr="007C2C3D">
        <w:rPr>
          <w:rFonts w:asciiTheme="minorHAnsi" w:hAnsiTheme="minorHAnsi" w:cs="Lucida Sans Unicode"/>
          <w:color w:val="333300"/>
          <w:sz w:val="22"/>
          <w:szCs w:val="22"/>
          <w:lang w:val="en"/>
        </w:rPr>
        <w:t xml:space="preserve">: </w:t>
      </w:r>
      <w:r w:rsidR="007C2C3D" w:rsidRPr="007C2C3D">
        <w:rPr>
          <w:rStyle w:val="slug-doi"/>
          <w:rFonts w:asciiTheme="minorHAnsi" w:hAnsiTheme="minorHAnsi" w:cs="Lucida Sans Unicode"/>
          <w:color w:val="333300"/>
          <w:sz w:val="22"/>
          <w:szCs w:val="22"/>
          <w:lang w:val="en"/>
        </w:rPr>
        <w:t>10.1093/</w:t>
      </w:r>
      <w:proofErr w:type="spellStart"/>
      <w:r w:rsidR="007C2C3D" w:rsidRPr="007C2C3D">
        <w:rPr>
          <w:rStyle w:val="slug-doi"/>
          <w:rFonts w:asciiTheme="minorHAnsi" w:hAnsiTheme="minorHAnsi" w:cs="Lucida Sans Unicode"/>
          <w:color w:val="333300"/>
          <w:sz w:val="22"/>
          <w:szCs w:val="22"/>
          <w:lang w:val="en"/>
        </w:rPr>
        <w:t>pubmed</w:t>
      </w:r>
      <w:proofErr w:type="spellEnd"/>
      <w:r w:rsidR="007C2C3D" w:rsidRPr="007C2C3D">
        <w:rPr>
          <w:rStyle w:val="slug-doi"/>
          <w:rFonts w:asciiTheme="minorHAnsi" w:hAnsiTheme="minorHAnsi" w:cs="Lucida Sans Unicode"/>
          <w:color w:val="333300"/>
          <w:sz w:val="22"/>
          <w:szCs w:val="22"/>
          <w:lang w:val="en"/>
        </w:rPr>
        <w:t>/fdv035</w:t>
      </w:r>
      <w:r w:rsidR="007C2C3D">
        <w:rPr>
          <w:rStyle w:val="slug-doi"/>
          <w:rFonts w:asciiTheme="minorHAnsi" w:hAnsiTheme="minorHAnsi" w:cs="Lucida Sans Unicode"/>
          <w:color w:val="333300"/>
          <w:sz w:val="22"/>
          <w:szCs w:val="22"/>
          <w:lang w:val="en"/>
        </w:rPr>
        <w:t>)</w:t>
      </w:r>
    </w:p>
    <w:p w:rsidR="00457045" w:rsidRPr="00A74830" w:rsidRDefault="00457045" w:rsidP="00A74830">
      <w:pPr>
        <w:pStyle w:val="ListParagraph"/>
        <w:numPr>
          <w:ilvl w:val="0"/>
          <w:numId w:val="11"/>
        </w:numPr>
        <w:spacing w:line="360" w:lineRule="auto"/>
      </w:pPr>
      <w:r w:rsidRPr="00A74830">
        <w:t xml:space="preserve">Yost J, Dobbins M, </w:t>
      </w:r>
      <w:proofErr w:type="spellStart"/>
      <w:r w:rsidRPr="00A74830">
        <w:t>Traynor</w:t>
      </w:r>
      <w:proofErr w:type="spellEnd"/>
      <w:r w:rsidRPr="00A74830">
        <w:t xml:space="preserve"> R, </w:t>
      </w:r>
      <w:proofErr w:type="spellStart"/>
      <w:r w:rsidRPr="00A74830">
        <w:t>DeCorby</w:t>
      </w:r>
      <w:proofErr w:type="spellEnd"/>
      <w:r w:rsidRPr="00A74830">
        <w:t xml:space="preserve"> K, </w:t>
      </w:r>
      <w:proofErr w:type="spellStart"/>
      <w:r w:rsidRPr="00A74830">
        <w:t>Workentine</w:t>
      </w:r>
      <w:proofErr w:type="spellEnd"/>
      <w:r w:rsidRPr="00A74830">
        <w:t xml:space="preserve"> S, Greco L. </w:t>
      </w:r>
      <w:r w:rsidR="0030711D" w:rsidRPr="007C2C3D">
        <w:rPr>
          <w:i/>
        </w:rPr>
        <w:t>Tools to support evidence-informed public health decision making.</w:t>
      </w:r>
      <w:r w:rsidR="00CA75C4">
        <w:t xml:space="preserve"> </w:t>
      </w:r>
      <w:r w:rsidRPr="00A74830">
        <w:t xml:space="preserve">BMC Public Health, 2014, 14: 728. </w:t>
      </w:r>
    </w:p>
    <w:p w:rsidR="004C61B0" w:rsidRPr="00A74830" w:rsidRDefault="004C61B0" w:rsidP="00A74830">
      <w:pPr>
        <w:pStyle w:val="NormalWeb"/>
        <w:numPr>
          <w:ilvl w:val="0"/>
          <w:numId w:val="11"/>
        </w:numPr>
        <w:spacing w:before="0" w:beforeAutospacing="0" w:after="0" w:afterAutospacing="0" w:line="360" w:lineRule="auto"/>
        <w:rPr>
          <w:rFonts w:asciiTheme="minorHAnsi" w:hAnsiTheme="minorHAnsi"/>
          <w:sz w:val="22"/>
          <w:szCs w:val="22"/>
        </w:rPr>
      </w:pPr>
      <w:r w:rsidRPr="00A74830">
        <w:rPr>
          <w:rFonts w:asciiTheme="minorHAnsi" w:hAnsiTheme="minorHAnsi"/>
          <w:sz w:val="22"/>
          <w:szCs w:val="22"/>
        </w:rPr>
        <w:t xml:space="preserve">Association of Directors of Public Health. </w:t>
      </w:r>
      <w:r w:rsidRPr="00A74830">
        <w:rPr>
          <w:rFonts w:asciiTheme="minorHAnsi" w:hAnsiTheme="minorHAnsi"/>
          <w:i/>
          <w:sz w:val="22"/>
          <w:szCs w:val="22"/>
        </w:rPr>
        <w:t>English transition 2013 ‘6 months on’ survey – summary results.</w:t>
      </w:r>
      <w:r w:rsidRPr="00A74830">
        <w:rPr>
          <w:rFonts w:asciiTheme="minorHAnsi" w:hAnsiTheme="minorHAnsi"/>
          <w:sz w:val="22"/>
          <w:szCs w:val="22"/>
        </w:rPr>
        <w:t xml:space="preserve"> ADPH 2014. Available at: </w:t>
      </w:r>
      <w:hyperlink r:id="rId18" w:history="1">
        <w:r w:rsidRPr="00A74830">
          <w:rPr>
            <w:rStyle w:val="Hyperlink"/>
            <w:rFonts w:asciiTheme="minorHAnsi" w:hAnsiTheme="minorHAnsi"/>
            <w:color w:val="auto"/>
            <w:sz w:val="22"/>
            <w:szCs w:val="22"/>
          </w:rPr>
          <w:t>http://www.adph.org.uk/wp-content/uploads/2014/01/Final-Summary-Transition-6-Months-On.pdf</w:t>
        </w:r>
      </w:hyperlink>
      <w:r w:rsidRPr="00A74830">
        <w:rPr>
          <w:rFonts w:asciiTheme="minorHAnsi" w:hAnsiTheme="minorHAnsi"/>
          <w:sz w:val="22"/>
          <w:szCs w:val="22"/>
        </w:rPr>
        <w:t xml:space="preserve"> (accessed 3 February 2015)</w:t>
      </w:r>
    </w:p>
    <w:p w:rsidR="009601AB" w:rsidRPr="00A74830" w:rsidRDefault="009601AB" w:rsidP="00A74830">
      <w:pPr>
        <w:pStyle w:val="ListParagraph"/>
        <w:numPr>
          <w:ilvl w:val="0"/>
          <w:numId w:val="11"/>
        </w:numPr>
        <w:spacing w:line="360" w:lineRule="auto"/>
        <w:rPr>
          <w:rStyle w:val="highwire-cite-article-as"/>
          <w:rFonts w:asciiTheme="minorHAnsi" w:hAnsiTheme="minorHAnsi"/>
        </w:rPr>
      </w:pPr>
      <w:proofErr w:type="spellStart"/>
      <w:r w:rsidRPr="00A74830">
        <w:rPr>
          <w:rStyle w:val="italic"/>
          <w:rFonts w:asciiTheme="minorHAnsi" w:hAnsiTheme="minorHAnsi"/>
        </w:rPr>
        <w:t>Iacobucci</w:t>
      </w:r>
      <w:proofErr w:type="spellEnd"/>
      <w:r w:rsidRPr="00A74830">
        <w:rPr>
          <w:rStyle w:val="italic"/>
          <w:rFonts w:asciiTheme="minorHAnsi" w:hAnsiTheme="minorHAnsi"/>
        </w:rPr>
        <w:t xml:space="preserve"> G. </w:t>
      </w:r>
      <w:r w:rsidRPr="00A74830">
        <w:rPr>
          <w:rStyle w:val="highwire-cite-article-as"/>
          <w:rFonts w:asciiTheme="minorHAnsi" w:eastAsia="Times New Roman" w:hAnsiTheme="minorHAnsi"/>
          <w:i/>
        </w:rPr>
        <w:t>Raiding the public health budget.</w:t>
      </w:r>
      <w:r w:rsidRPr="00A74830">
        <w:rPr>
          <w:rStyle w:val="highwire-cite-article-as"/>
          <w:rFonts w:asciiTheme="minorHAnsi" w:hAnsiTheme="minorHAnsi"/>
        </w:rPr>
        <w:t xml:space="preserve"> BMJ, 2014;348:g2274 </w:t>
      </w:r>
    </w:p>
    <w:p w:rsidR="001C5145" w:rsidRPr="00A74830" w:rsidRDefault="001C5145" w:rsidP="00A74830">
      <w:pPr>
        <w:pStyle w:val="ListParagraph"/>
        <w:numPr>
          <w:ilvl w:val="0"/>
          <w:numId w:val="11"/>
        </w:numPr>
        <w:spacing w:line="360" w:lineRule="auto"/>
        <w:rPr>
          <w:rFonts w:cs="Frutiger-Light"/>
        </w:rPr>
      </w:pPr>
      <w:r w:rsidRPr="00A74830">
        <w:rPr>
          <w:rFonts w:cs="Frutiger-Light"/>
        </w:rPr>
        <w:t xml:space="preserve">Humphries R, </w:t>
      </w:r>
      <w:proofErr w:type="spellStart"/>
      <w:r w:rsidRPr="00A74830">
        <w:rPr>
          <w:rFonts w:cs="Frutiger-Light"/>
        </w:rPr>
        <w:t>Galea</w:t>
      </w:r>
      <w:proofErr w:type="spellEnd"/>
      <w:r w:rsidRPr="00A74830">
        <w:rPr>
          <w:rFonts w:cs="Frutiger-Light"/>
        </w:rPr>
        <w:t xml:space="preserve"> A. </w:t>
      </w:r>
      <w:r w:rsidRPr="00A74830">
        <w:rPr>
          <w:rFonts w:cs="Frutiger-Light"/>
          <w:i/>
        </w:rPr>
        <w:t>Health and wellbeing boards - one year on</w:t>
      </w:r>
      <w:r w:rsidRPr="00A74830">
        <w:rPr>
          <w:rFonts w:cs="Frutiger-Light"/>
        </w:rPr>
        <w:t xml:space="preserve">. London: King’s Fund, Oct </w:t>
      </w:r>
      <w:r w:rsidR="009601AB" w:rsidRPr="00A74830">
        <w:rPr>
          <w:rFonts w:cs="Frutiger-Light"/>
        </w:rPr>
        <w:t>2</w:t>
      </w:r>
      <w:r w:rsidRPr="00A74830">
        <w:rPr>
          <w:rFonts w:cs="Frutiger-Light"/>
        </w:rPr>
        <w:t>013.</w:t>
      </w:r>
    </w:p>
    <w:p w:rsidR="00674416" w:rsidRPr="00A74830" w:rsidRDefault="00674416" w:rsidP="00A74830">
      <w:pPr>
        <w:pStyle w:val="ListParagraph"/>
        <w:numPr>
          <w:ilvl w:val="0"/>
          <w:numId w:val="11"/>
        </w:numPr>
        <w:spacing w:line="360" w:lineRule="auto"/>
      </w:pPr>
      <w:proofErr w:type="spellStart"/>
      <w:r w:rsidRPr="00A74830">
        <w:t>Jongsma</w:t>
      </w:r>
      <w:proofErr w:type="spellEnd"/>
      <w:r w:rsidRPr="00A74830">
        <w:t xml:space="preserve"> H. </w:t>
      </w:r>
      <w:r w:rsidRPr="00A74830">
        <w:rPr>
          <w:i/>
        </w:rPr>
        <w:t>Findings from the Public Health Survey.</w:t>
      </w:r>
      <w:r w:rsidRPr="00A74830">
        <w:t xml:space="preserve"> London: British Medical Association, March 2014. Available at: </w:t>
      </w:r>
      <w:hyperlink r:id="rId19" w:history="1">
        <w:r w:rsidRPr="00A74830">
          <w:rPr>
            <w:rStyle w:val="Hyperlink"/>
            <w:rFonts w:asciiTheme="minorHAnsi" w:hAnsiTheme="minorHAnsi"/>
            <w:color w:val="auto"/>
          </w:rPr>
          <w:t>http://bma.org.uk/publichealthsurvey</w:t>
        </w:r>
      </w:hyperlink>
      <w:r w:rsidR="00917C63" w:rsidRPr="00A74830">
        <w:rPr>
          <w:rStyle w:val="Hyperlink"/>
          <w:rFonts w:asciiTheme="minorHAnsi" w:hAnsiTheme="minorHAnsi"/>
          <w:color w:val="auto"/>
        </w:rPr>
        <w:t xml:space="preserve"> (accessed 3 February 2015)</w:t>
      </w:r>
    </w:p>
    <w:p w:rsidR="00674416" w:rsidRPr="00A74830" w:rsidRDefault="00674416" w:rsidP="00A74830">
      <w:pPr>
        <w:pStyle w:val="ListParagraph"/>
        <w:numPr>
          <w:ilvl w:val="0"/>
          <w:numId w:val="11"/>
        </w:numPr>
        <w:spacing w:line="360" w:lineRule="auto"/>
      </w:pPr>
      <w:r w:rsidRPr="00A74830">
        <w:t xml:space="preserve">Local Government Association. </w:t>
      </w:r>
      <w:r w:rsidRPr="00A74830">
        <w:rPr>
          <w:i/>
        </w:rPr>
        <w:t>Public health transformation nine months on: bedding in and reaching out.</w:t>
      </w:r>
      <w:r w:rsidRPr="00A74830">
        <w:t xml:space="preserve"> </w:t>
      </w:r>
      <w:r w:rsidR="00184376" w:rsidRPr="00A74830">
        <w:t xml:space="preserve">London: Local Government Association, </w:t>
      </w:r>
      <w:r w:rsidRPr="00A74830">
        <w:t>Jan 2014</w:t>
      </w:r>
      <w:r w:rsidR="00C851E5" w:rsidRPr="00A74830">
        <w:t>a</w:t>
      </w:r>
      <w:r w:rsidR="00184376" w:rsidRPr="00A74830">
        <w:t>.</w:t>
      </w:r>
    </w:p>
    <w:p w:rsidR="00674416" w:rsidRPr="00A74830" w:rsidRDefault="00674416" w:rsidP="00A74830">
      <w:pPr>
        <w:pStyle w:val="ListParagraph"/>
        <w:numPr>
          <w:ilvl w:val="0"/>
          <w:numId w:val="11"/>
        </w:numPr>
        <w:spacing w:line="360" w:lineRule="auto"/>
      </w:pPr>
      <w:r w:rsidRPr="00A74830">
        <w:t xml:space="preserve">Local Government Association. </w:t>
      </w:r>
      <w:r w:rsidRPr="00A74830">
        <w:rPr>
          <w:i/>
        </w:rPr>
        <w:t>Public health in local government – one year on.</w:t>
      </w:r>
      <w:r w:rsidRPr="00A74830">
        <w:t xml:space="preserve"> London: Local Government Association, April 2014</w:t>
      </w:r>
      <w:r w:rsidR="00C851E5" w:rsidRPr="00A74830">
        <w:t>b</w:t>
      </w:r>
      <w:r w:rsidRPr="00A74830">
        <w:t xml:space="preserve">. Available </w:t>
      </w:r>
      <w:r w:rsidR="00FD3459" w:rsidRPr="00A74830">
        <w:t>at</w:t>
      </w:r>
      <w:r w:rsidRPr="00A74830">
        <w:t xml:space="preserve">: </w:t>
      </w:r>
      <w:hyperlink r:id="rId20" w:history="1">
        <w:r w:rsidRPr="00A74830">
          <w:rPr>
            <w:rStyle w:val="Hyperlink"/>
            <w:rFonts w:asciiTheme="minorHAnsi" w:hAnsiTheme="minorHAnsi"/>
            <w:color w:val="auto"/>
          </w:rPr>
          <w:t>http://www.local.gov.uk/documents/10180/5854661/L14-</w:t>
        </w:r>
        <w:r w:rsidRPr="00A74830">
          <w:rPr>
            <w:rStyle w:val="Hyperlink"/>
            <w:rFonts w:asciiTheme="minorHAnsi" w:hAnsiTheme="minorHAnsi"/>
            <w:color w:val="auto"/>
          </w:rPr>
          <w:lastRenderedPageBreak/>
          <w:t>150_Public+Health+in+LG_08.pdf/4c6b0b1d-3843-4eaa-92dd-b9109fb544fa</w:t>
        </w:r>
      </w:hyperlink>
      <w:r w:rsidR="00917C63" w:rsidRPr="00A74830">
        <w:rPr>
          <w:rStyle w:val="Hyperlink"/>
          <w:rFonts w:asciiTheme="minorHAnsi" w:hAnsiTheme="minorHAnsi"/>
          <w:color w:val="auto"/>
        </w:rPr>
        <w:t xml:space="preserve"> (accessed 3 February 2015)</w:t>
      </w:r>
    </w:p>
    <w:p w:rsidR="00674416" w:rsidRPr="00A74830" w:rsidRDefault="00674416" w:rsidP="00A74830">
      <w:pPr>
        <w:pStyle w:val="ListParagraph"/>
        <w:numPr>
          <w:ilvl w:val="0"/>
          <w:numId w:val="11"/>
        </w:numPr>
        <w:spacing w:line="360" w:lineRule="auto"/>
      </w:pPr>
      <w:r w:rsidRPr="00A74830">
        <w:t xml:space="preserve">Mansfield C. </w:t>
      </w:r>
      <w:r w:rsidRPr="00A74830">
        <w:rPr>
          <w:i/>
        </w:rPr>
        <w:t>Healthy Dialogues: embedding health in local government.</w:t>
      </w:r>
      <w:r w:rsidRPr="00A74830">
        <w:t xml:space="preserve"> London: New Local Government Network, 2013. Available at: </w:t>
      </w:r>
      <w:hyperlink r:id="rId21" w:history="1">
        <w:r w:rsidRPr="00A74830">
          <w:rPr>
            <w:rStyle w:val="Hyperlink"/>
            <w:rFonts w:asciiTheme="minorHAnsi" w:hAnsiTheme="minorHAnsi"/>
            <w:color w:val="auto"/>
          </w:rPr>
          <w:t>http://www.nlgn.org.uk/public/2013/healthy-dialogues-embedding-health-in-local-government/</w:t>
        </w:r>
      </w:hyperlink>
      <w:r w:rsidR="00917C63" w:rsidRPr="00A74830">
        <w:rPr>
          <w:rStyle w:val="Hyperlink"/>
          <w:rFonts w:asciiTheme="minorHAnsi" w:hAnsiTheme="minorHAnsi"/>
          <w:color w:val="auto"/>
        </w:rPr>
        <w:t xml:space="preserve"> (accessed 3 February 2015)</w:t>
      </w:r>
    </w:p>
    <w:p w:rsidR="00674416" w:rsidRPr="00A74830" w:rsidRDefault="00674416" w:rsidP="00A74830">
      <w:pPr>
        <w:pStyle w:val="ListParagraph"/>
        <w:numPr>
          <w:ilvl w:val="0"/>
          <w:numId w:val="11"/>
        </w:numPr>
        <w:spacing w:line="360" w:lineRule="auto"/>
      </w:pPr>
      <w:r w:rsidRPr="00A74830">
        <w:t xml:space="preserve">Royal Society for Public Health. </w:t>
      </w:r>
      <w:r w:rsidRPr="00A74830">
        <w:rPr>
          <w:i/>
        </w:rPr>
        <w:t>The views of public health teams working in local authorities: Year 1.</w:t>
      </w:r>
      <w:r w:rsidRPr="00A74830">
        <w:t xml:space="preserve"> London: Royal Society for Public Health, February 2014. Available at: </w:t>
      </w:r>
      <w:hyperlink r:id="rId22" w:history="1">
        <w:r w:rsidRPr="00A74830">
          <w:rPr>
            <w:rStyle w:val="Hyperlink"/>
            <w:rFonts w:asciiTheme="minorHAnsi" w:hAnsiTheme="minorHAnsi"/>
            <w:color w:val="auto"/>
          </w:rPr>
          <w:t>http://www.rsph.org.uk/filemanager/root/site_assets/about_us/reports_and_publications/the_views_of_public_health_teams_working_in_local_authorities.pdf</w:t>
        </w:r>
      </w:hyperlink>
      <w:r w:rsidR="00FD3459" w:rsidRPr="00A74830">
        <w:rPr>
          <w:rStyle w:val="Hyperlink"/>
          <w:rFonts w:asciiTheme="minorHAnsi" w:hAnsiTheme="minorHAnsi"/>
          <w:color w:val="auto"/>
        </w:rPr>
        <w:t xml:space="preserve"> (accessed 3 February 2015)</w:t>
      </w:r>
    </w:p>
    <w:p w:rsidR="00A71645" w:rsidRPr="00A74830" w:rsidRDefault="00A71645" w:rsidP="00A74830">
      <w:pPr>
        <w:pStyle w:val="ListParagraph"/>
        <w:numPr>
          <w:ilvl w:val="0"/>
          <w:numId w:val="11"/>
        </w:numPr>
        <w:spacing w:line="360" w:lineRule="auto"/>
        <w:rPr>
          <w:noProof/>
        </w:rPr>
      </w:pPr>
      <w:bookmarkStart w:id="1" w:name="_ENREF_2"/>
      <w:r w:rsidRPr="00A74830">
        <w:rPr>
          <w:noProof/>
        </w:rPr>
        <w:t xml:space="preserve">Communities and Local Government Committee (2013). </w:t>
      </w:r>
      <w:r w:rsidRPr="00A74830">
        <w:rPr>
          <w:i/>
          <w:noProof/>
        </w:rPr>
        <w:t>The role of local authorities in health issues</w:t>
      </w:r>
      <w:r w:rsidRPr="00A74830">
        <w:rPr>
          <w:noProof/>
        </w:rPr>
        <w:t xml:space="preserve">. Available at: </w:t>
      </w:r>
      <w:hyperlink r:id="rId23" w:history="1">
        <w:r w:rsidRPr="00A74830">
          <w:rPr>
            <w:rStyle w:val="Hyperlink"/>
            <w:rFonts w:asciiTheme="minorHAnsi" w:hAnsiTheme="minorHAnsi"/>
            <w:noProof/>
            <w:color w:val="auto"/>
          </w:rPr>
          <w:t>http://www.publications.parliament.uk/pa/cm201213/cmselect/cmcomloc/694/694.pdf</w:t>
        </w:r>
      </w:hyperlink>
      <w:r w:rsidRPr="00A74830">
        <w:rPr>
          <w:noProof/>
        </w:rPr>
        <w:t xml:space="preserve">  (accessed 26</w:t>
      </w:r>
      <w:r w:rsidRPr="00A74830">
        <w:rPr>
          <w:noProof/>
          <w:vertAlign w:val="superscript"/>
        </w:rPr>
        <w:t>th</w:t>
      </w:r>
      <w:r w:rsidRPr="00A74830">
        <w:rPr>
          <w:noProof/>
        </w:rPr>
        <w:t xml:space="preserve"> January 2015)</w:t>
      </w:r>
      <w:bookmarkEnd w:id="1"/>
    </w:p>
    <w:p w:rsidR="00457045" w:rsidRDefault="00457045" w:rsidP="00A74830">
      <w:pPr>
        <w:pStyle w:val="Heading1"/>
        <w:numPr>
          <w:ilvl w:val="0"/>
          <w:numId w:val="11"/>
        </w:numPr>
        <w:spacing w:before="0" w:line="360" w:lineRule="auto"/>
        <w:rPr>
          <w:rFonts w:asciiTheme="minorHAnsi" w:hAnsiTheme="minorHAnsi" w:cs="Arial"/>
          <w:b w:val="0"/>
          <w:sz w:val="22"/>
          <w:szCs w:val="22"/>
          <w:lang w:val="en-GB"/>
        </w:rPr>
      </w:pPr>
      <w:r w:rsidRPr="00A74830">
        <w:rPr>
          <w:rFonts w:asciiTheme="minorHAnsi" w:hAnsiTheme="minorHAnsi" w:cs="Arial"/>
          <w:b w:val="0"/>
          <w:sz w:val="22"/>
          <w:szCs w:val="22"/>
        </w:rPr>
        <w:t xml:space="preserve">Peckham S, Gadsby E, Coleman A, Jenkins L, Perkins N, Rutter H, Segar J and </w:t>
      </w:r>
      <w:proofErr w:type="spellStart"/>
      <w:r w:rsidRPr="00A74830">
        <w:rPr>
          <w:rFonts w:asciiTheme="minorHAnsi" w:hAnsiTheme="minorHAnsi" w:cs="Arial"/>
          <w:b w:val="0"/>
          <w:sz w:val="22"/>
          <w:szCs w:val="22"/>
        </w:rPr>
        <w:t>Bramwell</w:t>
      </w:r>
      <w:proofErr w:type="spellEnd"/>
      <w:r w:rsidRPr="00A74830">
        <w:rPr>
          <w:rFonts w:asciiTheme="minorHAnsi" w:hAnsiTheme="minorHAnsi" w:cs="Arial"/>
          <w:b w:val="0"/>
          <w:sz w:val="22"/>
          <w:szCs w:val="22"/>
        </w:rPr>
        <w:t xml:space="preserve"> D (forthcoming) </w:t>
      </w:r>
      <w:r w:rsidR="0030711D" w:rsidRPr="007C2C3D">
        <w:rPr>
          <w:rFonts w:asciiTheme="minorHAnsi" w:hAnsiTheme="minorHAnsi" w:cs="Arial"/>
          <w:b w:val="0"/>
          <w:i/>
          <w:sz w:val="22"/>
          <w:szCs w:val="22"/>
          <w:lang w:val="en-GB"/>
        </w:rPr>
        <w:t>PHOENIX: Public Health and Obesity in England – the New Infrastructure Examined.</w:t>
      </w:r>
      <w:r w:rsidR="0030711D" w:rsidRPr="007C2C3D">
        <w:rPr>
          <w:rFonts w:asciiTheme="minorHAnsi" w:hAnsiTheme="minorHAnsi" w:cs="Arial"/>
          <w:i/>
          <w:sz w:val="22"/>
          <w:szCs w:val="22"/>
          <w:lang w:val="en-GB"/>
        </w:rPr>
        <w:t xml:space="preserve"> </w:t>
      </w:r>
      <w:proofErr w:type="gramStart"/>
      <w:r w:rsidR="0030711D" w:rsidRPr="007C2C3D">
        <w:rPr>
          <w:rFonts w:asciiTheme="minorHAnsi" w:hAnsiTheme="minorHAnsi" w:cs="Arial"/>
          <w:b w:val="0"/>
          <w:i/>
          <w:sz w:val="22"/>
          <w:szCs w:val="22"/>
          <w:lang w:val="en-GB"/>
        </w:rPr>
        <w:t>Second interim report.</w:t>
      </w:r>
      <w:proofErr w:type="gramEnd"/>
      <w:r w:rsidRPr="00A74830">
        <w:rPr>
          <w:rFonts w:asciiTheme="minorHAnsi" w:hAnsiTheme="minorHAnsi" w:cs="Arial"/>
          <w:b w:val="0"/>
          <w:sz w:val="22"/>
          <w:szCs w:val="22"/>
          <w:lang w:val="en-GB"/>
        </w:rPr>
        <w:t xml:space="preserve"> </w:t>
      </w:r>
      <w:proofErr w:type="spellStart"/>
      <w:proofErr w:type="gramStart"/>
      <w:r w:rsidRPr="00A74830">
        <w:rPr>
          <w:rFonts w:asciiTheme="minorHAnsi" w:hAnsiTheme="minorHAnsi" w:cs="Arial"/>
          <w:b w:val="0"/>
          <w:sz w:val="22"/>
          <w:szCs w:val="22"/>
          <w:lang w:val="en-GB"/>
        </w:rPr>
        <w:t>PRUComm</w:t>
      </w:r>
      <w:proofErr w:type="spellEnd"/>
      <w:r w:rsidRPr="00A74830">
        <w:rPr>
          <w:rFonts w:asciiTheme="minorHAnsi" w:hAnsiTheme="minorHAnsi" w:cs="Arial"/>
          <w:b w:val="0"/>
          <w:sz w:val="22"/>
          <w:szCs w:val="22"/>
          <w:lang w:val="en-GB"/>
        </w:rPr>
        <w:t>.</w:t>
      </w:r>
      <w:proofErr w:type="gramEnd"/>
      <w:r w:rsidRPr="00A74830">
        <w:rPr>
          <w:rFonts w:asciiTheme="minorHAnsi" w:hAnsiTheme="minorHAnsi" w:cs="Arial"/>
          <w:b w:val="0"/>
          <w:sz w:val="22"/>
          <w:szCs w:val="22"/>
          <w:lang w:val="en-GB"/>
        </w:rPr>
        <w:t xml:space="preserve"> </w:t>
      </w:r>
      <w:r w:rsidR="00BC0FB3">
        <w:rPr>
          <w:rFonts w:asciiTheme="minorHAnsi" w:hAnsiTheme="minorHAnsi" w:cs="Arial"/>
          <w:b w:val="0"/>
          <w:sz w:val="22"/>
          <w:szCs w:val="22"/>
          <w:lang w:val="en-GB"/>
        </w:rPr>
        <w:t>Forthcoming</w:t>
      </w:r>
      <w:r w:rsidRPr="00A74830">
        <w:rPr>
          <w:rFonts w:asciiTheme="minorHAnsi" w:hAnsiTheme="minorHAnsi" w:cs="Arial"/>
          <w:b w:val="0"/>
          <w:sz w:val="22"/>
          <w:szCs w:val="22"/>
          <w:lang w:val="en-GB"/>
        </w:rPr>
        <w:t xml:space="preserve"> at: </w:t>
      </w:r>
      <w:hyperlink r:id="rId24" w:history="1">
        <w:r w:rsidRPr="00A74830">
          <w:rPr>
            <w:rStyle w:val="Hyperlink"/>
            <w:rFonts w:asciiTheme="minorHAnsi" w:hAnsiTheme="minorHAnsi" w:cs="Arial"/>
            <w:b w:val="0"/>
            <w:color w:val="auto"/>
            <w:sz w:val="22"/>
            <w:szCs w:val="22"/>
            <w:lang w:val="en-GB"/>
          </w:rPr>
          <w:t>http://www.prucomm.ac.uk/projects/current-projects/phoenix.html</w:t>
        </w:r>
      </w:hyperlink>
      <w:r w:rsidRPr="00A74830">
        <w:rPr>
          <w:rFonts w:asciiTheme="minorHAnsi" w:hAnsiTheme="minorHAnsi" w:cs="Arial"/>
          <w:b w:val="0"/>
          <w:sz w:val="22"/>
          <w:szCs w:val="22"/>
          <w:lang w:val="en-GB"/>
        </w:rPr>
        <w:t xml:space="preserve"> </w:t>
      </w:r>
    </w:p>
    <w:p w:rsidR="00746A0C" w:rsidRPr="0012066E" w:rsidRDefault="0012066E" w:rsidP="00A74830">
      <w:pPr>
        <w:pStyle w:val="ListParagraph"/>
        <w:numPr>
          <w:ilvl w:val="0"/>
          <w:numId w:val="11"/>
        </w:numPr>
        <w:spacing w:line="360" w:lineRule="auto"/>
      </w:pPr>
      <w:r>
        <w:t>Jenkins</w:t>
      </w:r>
      <w:r w:rsidRPr="0012066E">
        <w:t xml:space="preserve"> </w:t>
      </w:r>
      <w:r w:rsidRPr="006E1E73">
        <w:rPr>
          <w:rFonts w:asciiTheme="minorHAnsi" w:hAnsiTheme="minorHAnsi"/>
        </w:rPr>
        <w:t xml:space="preserve">L, </w:t>
      </w:r>
      <w:proofErr w:type="spellStart"/>
      <w:r w:rsidRPr="006E1E73">
        <w:rPr>
          <w:rFonts w:asciiTheme="minorHAnsi" w:hAnsiTheme="minorHAnsi"/>
        </w:rPr>
        <w:t>B</w:t>
      </w:r>
      <w:r w:rsidRPr="006E1E73">
        <w:rPr>
          <w:rFonts w:asciiTheme="minorHAnsi" w:hAnsiTheme="minorHAnsi" w:cs="Tahoma"/>
        </w:rPr>
        <w:t>ramwell</w:t>
      </w:r>
      <w:proofErr w:type="spellEnd"/>
      <w:r w:rsidRPr="006E1E73">
        <w:rPr>
          <w:rFonts w:asciiTheme="minorHAnsi" w:hAnsiTheme="minorHAnsi" w:cs="Tahoma"/>
        </w:rPr>
        <w:t xml:space="preserve"> D, Coleman A, Gadsby E, Ogilvie J, Peckham S, Perkins N, Segar J, Rutter H (</w:t>
      </w:r>
      <w:r w:rsidR="007C2C3D">
        <w:rPr>
          <w:rFonts w:asciiTheme="minorHAnsi" w:hAnsiTheme="minorHAnsi" w:cs="Tahoma"/>
        </w:rPr>
        <w:t>forthcoming</w:t>
      </w:r>
      <w:r w:rsidRPr="006E1E73">
        <w:rPr>
          <w:rFonts w:asciiTheme="minorHAnsi" w:hAnsiTheme="minorHAnsi" w:cs="Tahoma"/>
        </w:rPr>
        <w:t xml:space="preserve">). </w:t>
      </w:r>
      <w:r w:rsidR="0030711D" w:rsidRPr="007C2C3D">
        <w:rPr>
          <w:rFonts w:asciiTheme="minorHAnsi" w:hAnsiTheme="minorHAnsi" w:cs="Tahoma"/>
          <w:i/>
        </w:rPr>
        <w:t xml:space="preserve">First survey report: findings from a survey of directors of public health and elected members. </w:t>
      </w:r>
      <w:proofErr w:type="spellStart"/>
      <w:r w:rsidRPr="006E1E73">
        <w:rPr>
          <w:rFonts w:asciiTheme="minorHAnsi" w:hAnsiTheme="minorHAnsi" w:cs="Tahoma"/>
        </w:rPr>
        <w:t>PRUComm</w:t>
      </w:r>
      <w:proofErr w:type="spellEnd"/>
      <w:r w:rsidRPr="006E1E73">
        <w:rPr>
          <w:rFonts w:asciiTheme="minorHAnsi" w:hAnsiTheme="minorHAnsi" w:cs="Tahoma"/>
        </w:rPr>
        <w:t xml:space="preserve">. </w:t>
      </w:r>
      <w:r w:rsidR="00BC0FB3">
        <w:rPr>
          <w:rFonts w:asciiTheme="minorHAnsi" w:hAnsiTheme="minorHAnsi" w:cs="Tahoma"/>
        </w:rPr>
        <w:t>Forthcoming</w:t>
      </w:r>
      <w:r w:rsidRPr="006E1E73">
        <w:rPr>
          <w:rFonts w:asciiTheme="minorHAnsi" w:hAnsiTheme="minorHAnsi" w:cs="Tahoma"/>
        </w:rPr>
        <w:t xml:space="preserve"> at:</w:t>
      </w:r>
      <w:r>
        <w:rPr>
          <w:rFonts w:asciiTheme="minorHAnsi" w:hAnsiTheme="minorHAnsi" w:cs="Tahoma"/>
        </w:rPr>
        <w:t xml:space="preserve"> </w:t>
      </w:r>
      <w:hyperlink r:id="rId25" w:history="1">
        <w:r w:rsidRPr="00A74830">
          <w:rPr>
            <w:rStyle w:val="Hyperlink"/>
            <w:rFonts w:asciiTheme="minorHAnsi" w:hAnsiTheme="minorHAnsi" w:cs="Arial"/>
            <w:color w:val="auto"/>
          </w:rPr>
          <w:t>http://www.prucomm.ac.uk/projects/current-projects/phoenix.html</w:t>
        </w:r>
      </w:hyperlink>
    </w:p>
    <w:p w:rsidR="00457045" w:rsidRPr="00A74830" w:rsidRDefault="00457045" w:rsidP="00A74830">
      <w:pPr>
        <w:pStyle w:val="ListParagraph"/>
        <w:numPr>
          <w:ilvl w:val="0"/>
          <w:numId w:val="11"/>
        </w:numPr>
        <w:spacing w:line="360" w:lineRule="auto"/>
      </w:pPr>
      <w:r w:rsidRPr="00A74830">
        <w:t xml:space="preserve">Martin G, Beech N, </w:t>
      </w:r>
      <w:proofErr w:type="spellStart"/>
      <w:r w:rsidRPr="00A74830">
        <w:t>MacIntosh</w:t>
      </w:r>
      <w:proofErr w:type="spellEnd"/>
      <w:r w:rsidRPr="00A74830">
        <w:t xml:space="preserve"> R, </w:t>
      </w:r>
      <w:proofErr w:type="spellStart"/>
      <w:r w:rsidRPr="00A74830">
        <w:t>Bushfield</w:t>
      </w:r>
      <w:proofErr w:type="spellEnd"/>
      <w:r w:rsidRPr="00A74830">
        <w:t xml:space="preserve"> S. </w:t>
      </w:r>
      <w:r w:rsidR="0030711D" w:rsidRPr="007C2C3D">
        <w:rPr>
          <w:i/>
        </w:rPr>
        <w:t>Potential challenges facing distributed leadership in health care: evidence from the UK National Health Service.</w:t>
      </w:r>
      <w:r w:rsidRPr="00A74830">
        <w:t xml:space="preserve"> Sociology of Health &amp; Illness, 2015, 37(1): 14-29.</w:t>
      </w:r>
    </w:p>
    <w:p w:rsidR="00A71645" w:rsidRPr="00A74830" w:rsidRDefault="00A71645" w:rsidP="00A74830">
      <w:pPr>
        <w:pStyle w:val="ListParagraph"/>
        <w:numPr>
          <w:ilvl w:val="0"/>
          <w:numId w:val="11"/>
        </w:numPr>
        <w:spacing w:line="360" w:lineRule="auto"/>
        <w:rPr>
          <w:u w:val="single"/>
        </w:rPr>
      </w:pPr>
      <w:r w:rsidRPr="00A74830">
        <w:rPr>
          <w:rFonts w:asciiTheme="minorHAnsi" w:hAnsiTheme="minorHAnsi" w:cs="Arial"/>
        </w:rPr>
        <w:t>Public Health in Local Government factsheets 2011</w:t>
      </w:r>
      <w:r w:rsidR="00163E23" w:rsidRPr="00A74830">
        <w:rPr>
          <w:rFonts w:asciiTheme="minorHAnsi" w:hAnsiTheme="minorHAnsi" w:cs="Arial"/>
        </w:rPr>
        <w:t>. Available at:</w:t>
      </w:r>
      <w:r w:rsidR="009601AB" w:rsidRPr="00A74830">
        <w:rPr>
          <w:rFonts w:asciiTheme="minorHAnsi" w:hAnsiTheme="minorHAnsi" w:cs="Arial"/>
        </w:rPr>
        <w:t xml:space="preserve"> </w:t>
      </w:r>
      <w:hyperlink r:id="rId26" w:history="1">
        <w:r w:rsidR="009601AB" w:rsidRPr="00A74830">
          <w:rPr>
            <w:rStyle w:val="Hyperlink"/>
            <w:rFonts w:asciiTheme="minorHAnsi" w:hAnsiTheme="minorHAnsi" w:cs="Arial"/>
            <w:color w:val="auto"/>
          </w:rPr>
          <w:t>https://www.gov.uk/government/uploads/system/uploads/attachment_data/file/216708/dh_131904.pdf</w:t>
        </w:r>
      </w:hyperlink>
    </w:p>
    <w:p w:rsidR="00C32721" w:rsidRDefault="00C32721"/>
    <w:p w:rsidR="002205E0" w:rsidRDefault="002205E0">
      <w:r>
        <w:br w:type="page"/>
      </w:r>
    </w:p>
    <w:p w:rsidR="00603353" w:rsidRPr="009A0348" w:rsidRDefault="00603353" w:rsidP="00603353">
      <w:r w:rsidRPr="009A0348">
        <w:lastRenderedPageBreak/>
        <w:t>Box 1: Survey questions on the influence of public health:</w:t>
      </w:r>
    </w:p>
    <w:p w:rsidR="00603353" w:rsidRPr="009A0348" w:rsidRDefault="00603353" w:rsidP="00603353">
      <w:pPr>
        <w:pStyle w:val="ListParagraph"/>
        <w:numPr>
          <w:ilvl w:val="0"/>
          <w:numId w:val="1"/>
        </w:numPr>
      </w:pPr>
      <w:r w:rsidRPr="009A0348">
        <w:t>To what extent do you feel able to influence the priorities of your local authority?</w:t>
      </w:r>
      <w:r>
        <w:t xml:space="preserve"> (Q21)</w:t>
      </w:r>
    </w:p>
    <w:p w:rsidR="00603353" w:rsidRPr="009A0348" w:rsidRDefault="00603353" w:rsidP="00603353">
      <w:pPr>
        <w:pStyle w:val="ListParagraph"/>
        <w:numPr>
          <w:ilvl w:val="0"/>
          <w:numId w:val="1"/>
        </w:numPr>
      </w:pPr>
      <w:r w:rsidRPr="009A0348">
        <w:t xml:space="preserve">Since the reforms do you feel more/similar/less able to deliver real improvements in local health by: influencing the work of the local authority as a whole, influencing the work of the local Clinical Commissioning Groups (CCGs), influencing the work of others </w:t>
      </w:r>
      <w:proofErr w:type="spellStart"/>
      <w:r w:rsidRPr="009A0348">
        <w:t>eg</w:t>
      </w:r>
      <w:proofErr w:type="spellEnd"/>
      <w:r w:rsidRPr="009A0348">
        <w:t xml:space="preserve"> local workplaces, schools?</w:t>
      </w:r>
      <w:r>
        <w:t xml:space="preserve"> (Q22 </w:t>
      </w:r>
      <w:proofErr w:type="spellStart"/>
      <w:r>
        <w:t>i</w:t>
      </w:r>
      <w:proofErr w:type="spellEnd"/>
      <w:r>
        <w:t>, ii, iii, iv)</w:t>
      </w:r>
    </w:p>
    <w:p w:rsidR="00603353" w:rsidRPr="009A0348" w:rsidRDefault="00603353" w:rsidP="00603353">
      <w:pPr>
        <w:pStyle w:val="ListParagraph"/>
        <w:numPr>
          <w:ilvl w:val="0"/>
          <w:numId w:val="1"/>
        </w:numPr>
      </w:pPr>
      <w:r w:rsidRPr="009A0348">
        <w:t>Apart from the ring-fenced budget, do you have influence over other departments</w:t>
      </w:r>
      <w:r>
        <w:t>’</w:t>
      </w:r>
      <w:r w:rsidRPr="009A0348">
        <w:t xml:space="preserve"> expenditure?</w:t>
      </w:r>
      <w:r>
        <w:t xml:space="preserve"> (Q31)</w:t>
      </w:r>
    </w:p>
    <w:p w:rsidR="00603353" w:rsidRPr="009A0348" w:rsidRDefault="00603353" w:rsidP="00603353">
      <w:pPr>
        <w:pStyle w:val="ListParagraph"/>
        <w:numPr>
          <w:ilvl w:val="0"/>
          <w:numId w:val="1"/>
        </w:numPr>
      </w:pPr>
      <w:r w:rsidRPr="009A0348">
        <w:t>Does your role on the health and wellbeing board (HWB) allow you to: influence decision-making in your own organisation</w:t>
      </w:r>
      <w:r>
        <w:t>;</w:t>
      </w:r>
      <w:r w:rsidRPr="009A0348">
        <w:t xml:space="preserve"> </w:t>
      </w:r>
      <w:r>
        <w:t xml:space="preserve">influence </w:t>
      </w:r>
      <w:r w:rsidRPr="009A0348">
        <w:t>decision-making in other organisations locally</w:t>
      </w:r>
      <w:r>
        <w:t>;</w:t>
      </w:r>
      <w:r w:rsidRPr="009A0348">
        <w:t xml:space="preserve"> strategically influence work in </w:t>
      </w:r>
      <w:r>
        <w:t xml:space="preserve">the </w:t>
      </w:r>
      <w:r w:rsidRPr="009A0348">
        <w:t>local health/social care economy?</w:t>
      </w:r>
      <w:r>
        <w:t xml:space="preserve"> (Q38 </w:t>
      </w:r>
      <w:proofErr w:type="spellStart"/>
      <w:r>
        <w:t>i</w:t>
      </w:r>
      <w:proofErr w:type="spellEnd"/>
      <w:r>
        <w:t>, ii, iii)</w:t>
      </w:r>
    </w:p>
    <w:p w:rsidR="00603353" w:rsidRPr="009A0348" w:rsidRDefault="00603353" w:rsidP="00603353"/>
    <w:p w:rsidR="00603353" w:rsidRPr="009A0348" w:rsidRDefault="00603353" w:rsidP="00603353">
      <w:r w:rsidRPr="009A0348">
        <w:t>Survey questions about changes being made:</w:t>
      </w:r>
    </w:p>
    <w:p w:rsidR="00603353" w:rsidRPr="009A0348" w:rsidRDefault="00603353" w:rsidP="00603353">
      <w:pPr>
        <w:pStyle w:val="ListParagraph"/>
        <w:numPr>
          <w:ilvl w:val="0"/>
          <w:numId w:val="1"/>
        </w:numPr>
      </w:pPr>
      <w:r w:rsidRPr="009A0348">
        <w:t>Since the April 2013 reforms, have you made any changes to services commissioned under the ring-fenced public health budget?</w:t>
      </w:r>
      <w:r>
        <w:t xml:space="preserve"> (Q42)</w:t>
      </w:r>
    </w:p>
    <w:p w:rsidR="00603353" w:rsidRPr="009A0348" w:rsidRDefault="00603353" w:rsidP="00603353">
      <w:pPr>
        <w:pStyle w:val="ListParagraph"/>
        <w:numPr>
          <w:ilvl w:val="0"/>
          <w:numId w:val="1"/>
        </w:numPr>
      </w:pPr>
      <w:r w:rsidRPr="009A0348">
        <w:t>Since April 2013, has your authority: set up new services, changed the provider, re-designed services, de-commissioned services directed at health improvement?</w:t>
      </w:r>
      <w:r>
        <w:t xml:space="preserve"> (Q43 </w:t>
      </w:r>
      <w:proofErr w:type="spellStart"/>
      <w:r>
        <w:t>i</w:t>
      </w:r>
      <w:proofErr w:type="spellEnd"/>
      <w:r>
        <w:t>, ii, iii, iv)</w:t>
      </w:r>
    </w:p>
    <w:p w:rsidR="00603353" w:rsidRPr="009A0348" w:rsidRDefault="00603353" w:rsidP="00603353"/>
    <w:p w:rsidR="00603353" w:rsidRDefault="00603353">
      <w:r>
        <w:br w:type="page"/>
      </w:r>
    </w:p>
    <w:p w:rsidR="0054750B" w:rsidRPr="00B57B9C" w:rsidRDefault="00672077">
      <w:r w:rsidRPr="00A43D7D">
        <w:lastRenderedPageBreak/>
        <w:t xml:space="preserve">Table 1 Tests of association between </w:t>
      </w:r>
      <w:proofErr w:type="spellStart"/>
      <w:r w:rsidR="00EF21D1">
        <w:t>DsPH</w:t>
      </w:r>
      <w:proofErr w:type="spellEnd"/>
      <w:r w:rsidR="00EF21D1">
        <w:t>’ perceived ability</w:t>
      </w:r>
      <w:r w:rsidRPr="00A43D7D">
        <w:t xml:space="preserve"> to influence local authority priorities </w:t>
      </w:r>
      <w:r w:rsidR="00F90345">
        <w:t>(Q21</w:t>
      </w:r>
      <w:r w:rsidR="009B23D1">
        <w:t>, 90% response rate</w:t>
      </w:r>
      <w:r w:rsidR="00F90345">
        <w:t xml:space="preserve">) </w:t>
      </w:r>
      <w:r w:rsidRPr="00A43D7D">
        <w:t>and other variables</w:t>
      </w:r>
    </w:p>
    <w:tbl>
      <w:tblPr>
        <w:tblStyle w:val="TableGrid"/>
        <w:tblW w:w="9039" w:type="dxa"/>
        <w:tblLayout w:type="fixed"/>
        <w:tblLook w:val="04A0" w:firstRow="1" w:lastRow="0" w:firstColumn="1" w:lastColumn="0" w:noHBand="0" w:noVBand="1"/>
      </w:tblPr>
      <w:tblGrid>
        <w:gridCol w:w="1384"/>
        <w:gridCol w:w="3827"/>
        <w:gridCol w:w="1134"/>
        <w:gridCol w:w="851"/>
        <w:gridCol w:w="992"/>
        <w:gridCol w:w="851"/>
      </w:tblGrid>
      <w:tr w:rsidR="00A502F7" w:rsidRPr="009A0348" w:rsidTr="00203107">
        <w:tc>
          <w:tcPr>
            <w:tcW w:w="1384" w:type="dxa"/>
          </w:tcPr>
          <w:p w:rsidR="00A502F7" w:rsidRPr="004B6CFE" w:rsidRDefault="00A502F7">
            <w:pPr>
              <w:rPr>
                <w:sz w:val="20"/>
                <w:szCs w:val="20"/>
              </w:rPr>
            </w:pPr>
            <w:r w:rsidRPr="004B6CFE">
              <w:rPr>
                <w:sz w:val="20"/>
                <w:szCs w:val="20"/>
              </w:rPr>
              <w:t>Variable type</w:t>
            </w:r>
          </w:p>
        </w:tc>
        <w:tc>
          <w:tcPr>
            <w:tcW w:w="3827" w:type="dxa"/>
          </w:tcPr>
          <w:p w:rsidR="00A502F7" w:rsidRPr="009A0348" w:rsidRDefault="00A502F7">
            <w:pPr>
              <w:rPr>
                <w:sz w:val="20"/>
                <w:szCs w:val="20"/>
              </w:rPr>
            </w:pPr>
            <w:r w:rsidRPr="009A0348">
              <w:rPr>
                <w:sz w:val="20"/>
                <w:szCs w:val="20"/>
              </w:rPr>
              <w:t>Variable name</w:t>
            </w:r>
          </w:p>
        </w:tc>
        <w:tc>
          <w:tcPr>
            <w:tcW w:w="1134" w:type="dxa"/>
          </w:tcPr>
          <w:p w:rsidR="00A502F7" w:rsidRPr="009A0348" w:rsidRDefault="00A502F7">
            <w:pPr>
              <w:rPr>
                <w:sz w:val="20"/>
                <w:szCs w:val="20"/>
              </w:rPr>
            </w:pPr>
            <w:r w:rsidRPr="009A0348">
              <w:rPr>
                <w:sz w:val="20"/>
                <w:szCs w:val="20"/>
              </w:rPr>
              <w:t>Response rate</w:t>
            </w:r>
          </w:p>
        </w:tc>
        <w:tc>
          <w:tcPr>
            <w:tcW w:w="851" w:type="dxa"/>
          </w:tcPr>
          <w:p w:rsidR="00A502F7" w:rsidRPr="009A0348" w:rsidRDefault="00A502F7">
            <w:pPr>
              <w:rPr>
                <w:sz w:val="20"/>
                <w:szCs w:val="20"/>
              </w:rPr>
            </w:pPr>
            <w:r w:rsidRPr="009A0348">
              <w:rPr>
                <w:sz w:val="20"/>
                <w:szCs w:val="20"/>
              </w:rPr>
              <w:t>Chi-square</w:t>
            </w:r>
          </w:p>
        </w:tc>
        <w:tc>
          <w:tcPr>
            <w:tcW w:w="992" w:type="dxa"/>
          </w:tcPr>
          <w:p w:rsidR="00A502F7" w:rsidRPr="009A0348" w:rsidRDefault="00A502F7">
            <w:pPr>
              <w:rPr>
                <w:sz w:val="20"/>
                <w:szCs w:val="20"/>
              </w:rPr>
            </w:pPr>
            <w:r w:rsidRPr="009A0348">
              <w:rPr>
                <w:sz w:val="20"/>
                <w:szCs w:val="20"/>
              </w:rPr>
              <w:t>Degrees of freedom</w:t>
            </w:r>
          </w:p>
        </w:tc>
        <w:tc>
          <w:tcPr>
            <w:tcW w:w="851" w:type="dxa"/>
          </w:tcPr>
          <w:p w:rsidR="00A502F7" w:rsidRPr="009A0348" w:rsidRDefault="00A502F7">
            <w:pPr>
              <w:rPr>
                <w:sz w:val="20"/>
                <w:szCs w:val="20"/>
              </w:rPr>
            </w:pPr>
            <w:r w:rsidRPr="009A0348">
              <w:rPr>
                <w:sz w:val="20"/>
                <w:szCs w:val="20"/>
              </w:rPr>
              <w:t>p value</w:t>
            </w:r>
          </w:p>
        </w:tc>
      </w:tr>
      <w:tr w:rsidR="00A502F7" w:rsidRPr="009A0348" w:rsidTr="00203107">
        <w:tc>
          <w:tcPr>
            <w:tcW w:w="1384" w:type="dxa"/>
          </w:tcPr>
          <w:p w:rsidR="00A502F7" w:rsidRPr="009A0348" w:rsidRDefault="005C0274" w:rsidP="00824CD8">
            <w:pPr>
              <w:rPr>
                <w:sz w:val="20"/>
                <w:szCs w:val="20"/>
              </w:rPr>
            </w:pPr>
            <w:r>
              <w:rPr>
                <w:sz w:val="20"/>
                <w:szCs w:val="20"/>
              </w:rPr>
              <w:t xml:space="preserve">1. </w:t>
            </w:r>
            <w:r w:rsidRPr="009A0348">
              <w:rPr>
                <w:sz w:val="20"/>
                <w:szCs w:val="20"/>
              </w:rPr>
              <w:t>Influence</w:t>
            </w:r>
          </w:p>
        </w:tc>
        <w:tc>
          <w:tcPr>
            <w:tcW w:w="3827" w:type="dxa"/>
          </w:tcPr>
          <w:p w:rsidR="00A502F7" w:rsidRPr="009A0348" w:rsidRDefault="00A502F7" w:rsidP="00F90345">
            <w:pPr>
              <w:rPr>
                <w:sz w:val="20"/>
                <w:szCs w:val="20"/>
              </w:rPr>
            </w:pPr>
            <w:r w:rsidRPr="009A0348">
              <w:rPr>
                <w:sz w:val="20"/>
                <w:szCs w:val="20"/>
              </w:rPr>
              <w:t>Since the reforms more able to deliver improvements by influencing the work of the local authority</w:t>
            </w:r>
            <w:r w:rsidR="00F90345">
              <w:rPr>
                <w:sz w:val="20"/>
                <w:szCs w:val="20"/>
              </w:rPr>
              <w:t xml:space="preserve"> Q22ii</w:t>
            </w:r>
          </w:p>
        </w:tc>
        <w:tc>
          <w:tcPr>
            <w:tcW w:w="1134" w:type="dxa"/>
          </w:tcPr>
          <w:p w:rsidR="00A502F7" w:rsidRPr="009A0348" w:rsidRDefault="005E560D" w:rsidP="00203107">
            <w:pPr>
              <w:jc w:val="center"/>
              <w:rPr>
                <w:sz w:val="20"/>
                <w:szCs w:val="20"/>
              </w:rPr>
            </w:pPr>
            <w:r w:rsidRPr="009A0348">
              <w:rPr>
                <w:sz w:val="20"/>
                <w:szCs w:val="20"/>
              </w:rPr>
              <w:t>88%</w:t>
            </w:r>
          </w:p>
        </w:tc>
        <w:tc>
          <w:tcPr>
            <w:tcW w:w="851" w:type="dxa"/>
          </w:tcPr>
          <w:p w:rsidR="00A502F7" w:rsidRPr="009A0348" w:rsidRDefault="00A502F7" w:rsidP="003E0EBB">
            <w:pPr>
              <w:jc w:val="right"/>
              <w:rPr>
                <w:sz w:val="20"/>
                <w:szCs w:val="20"/>
              </w:rPr>
            </w:pPr>
            <w:r w:rsidRPr="009A0348">
              <w:rPr>
                <w:sz w:val="20"/>
                <w:szCs w:val="20"/>
              </w:rPr>
              <w:t>48.28</w:t>
            </w:r>
          </w:p>
        </w:tc>
        <w:tc>
          <w:tcPr>
            <w:tcW w:w="992" w:type="dxa"/>
          </w:tcPr>
          <w:p w:rsidR="00A502F7" w:rsidRPr="009A0348" w:rsidRDefault="00A502F7" w:rsidP="003E0EBB">
            <w:pPr>
              <w:jc w:val="center"/>
              <w:rPr>
                <w:sz w:val="20"/>
                <w:szCs w:val="20"/>
              </w:rPr>
            </w:pPr>
            <w:r w:rsidRPr="009A0348">
              <w:rPr>
                <w:sz w:val="20"/>
                <w:szCs w:val="20"/>
              </w:rPr>
              <w:t>2</w:t>
            </w:r>
          </w:p>
        </w:tc>
        <w:tc>
          <w:tcPr>
            <w:tcW w:w="851" w:type="dxa"/>
          </w:tcPr>
          <w:p w:rsidR="00A502F7" w:rsidRPr="009A0348" w:rsidRDefault="00A502F7" w:rsidP="003E0EBB">
            <w:pPr>
              <w:jc w:val="center"/>
              <w:rPr>
                <w:sz w:val="20"/>
                <w:szCs w:val="20"/>
              </w:rPr>
            </w:pPr>
            <w:r w:rsidRPr="009A0348">
              <w:rPr>
                <w:sz w:val="20"/>
                <w:szCs w:val="20"/>
              </w:rPr>
              <w:t>0.000</w:t>
            </w:r>
          </w:p>
        </w:tc>
      </w:tr>
      <w:tr w:rsidR="00A502F7" w:rsidRPr="009A0348" w:rsidTr="00203107">
        <w:tc>
          <w:tcPr>
            <w:tcW w:w="1384" w:type="dxa"/>
          </w:tcPr>
          <w:p w:rsidR="00A502F7" w:rsidRPr="009A0348" w:rsidRDefault="00A502F7" w:rsidP="00824CD8">
            <w:pPr>
              <w:rPr>
                <w:sz w:val="20"/>
                <w:szCs w:val="20"/>
              </w:rPr>
            </w:pPr>
          </w:p>
        </w:tc>
        <w:tc>
          <w:tcPr>
            <w:tcW w:w="3827" w:type="dxa"/>
          </w:tcPr>
          <w:p w:rsidR="00A502F7" w:rsidRPr="009A0348" w:rsidRDefault="00A502F7" w:rsidP="00824CD8">
            <w:pPr>
              <w:rPr>
                <w:sz w:val="20"/>
                <w:szCs w:val="20"/>
              </w:rPr>
            </w:pPr>
            <w:r w:rsidRPr="009A0348">
              <w:rPr>
                <w:sz w:val="20"/>
                <w:szCs w:val="20"/>
              </w:rPr>
              <w:t>Since the reforms more able to deliver improvements by influencing the work of the CCGs</w:t>
            </w:r>
            <w:r w:rsidR="00F90345">
              <w:rPr>
                <w:sz w:val="20"/>
                <w:szCs w:val="20"/>
              </w:rPr>
              <w:t xml:space="preserve"> Q22iii</w:t>
            </w:r>
          </w:p>
        </w:tc>
        <w:tc>
          <w:tcPr>
            <w:tcW w:w="1134" w:type="dxa"/>
          </w:tcPr>
          <w:p w:rsidR="00A502F7" w:rsidRPr="009A0348" w:rsidRDefault="005E560D" w:rsidP="00203107">
            <w:pPr>
              <w:jc w:val="center"/>
              <w:rPr>
                <w:sz w:val="20"/>
                <w:szCs w:val="20"/>
              </w:rPr>
            </w:pPr>
            <w:r w:rsidRPr="009A0348">
              <w:rPr>
                <w:sz w:val="20"/>
                <w:szCs w:val="20"/>
              </w:rPr>
              <w:t>88%</w:t>
            </w:r>
          </w:p>
        </w:tc>
        <w:tc>
          <w:tcPr>
            <w:tcW w:w="851" w:type="dxa"/>
          </w:tcPr>
          <w:p w:rsidR="00A502F7" w:rsidRPr="009A0348" w:rsidRDefault="00A502F7" w:rsidP="003E0EBB">
            <w:pPr>
              <w:jc w:val="right"/>
              <w:rPr>
                <w:sz w:val="20"/>
                <w:szCs w:val="20"/>
              </w:rPr>
            </w:pPr>
            <w:r w:rsidRPr="009A0348">
              <w:rPr>
                <w:sz w:val="20"/>
                <w:szCs w:val="20"/>
              </w:rPr>
              <w:t>1.80</w:t>
            </w:r>
          </w:p>
        </w:tc>
        <w:tc>
          <w:tcPr>
            <w:tcW w:w="992" w:type="dxa"/>
          </w:tcPr>
          <w:p w:rsidR="00A502F7" w:rsidRPr="009A0348" w:rsidRDefault="00A502F7" w:rsidP="003E0EBB">
            <w:pPr>
              <w:jc w:val="center"/>
              <w:rPr>
                <w:sz w:val="20"/>
                <w:szCs w:val="20"/>
              </w:rPr>
            </w:pPr>
            <w:r w:rsidRPr="009A0348">
              <w:rPr>
                <w:sz w:val="20"/>
                <w:szCs w:val="20"/>
              </w:rPr>
              <w:t>2</w:t>
            </w:r>
          </w:p>
        </w:tc>
        <w:tc>
          <w:tcPr>
            <w:tcW w:w="851" w:type="dxa"/>
          </w:tcPr>
          <w:p w:rsidR="00A502F7" w:rsidRPr="009A0348" w:rsidRDefault="00A502F7" w:rsidP="003E0EBB">
            <w:pPr>
              <w:jc w:val="center"/>
              <w:rPr>
                <w:sz w:val="20"/>
                <w:szCs w:val="20"/>
              </w:rPr>
            </w:pPr>
            <w:r w:rsidRPr="009A0348">
              <w:rPr>
                <w:sz w:val="20"/>
                <w:szCs w:val="20"/>
              </w:rPr>
              <w:t>0.407</w:t>
            </w:r>
          </w:p>
        </w:tc>
      </w:tr>
      <w:tr w:rsidR="00A502F7" w:rsidRPr="009A0348" w:rsidTr="00203107">
        <w:tc>
          <w:tcPr>
            <w:tcW w:w="1384" w:type="dxa"/>
          </w:tcPr>
          <w:p w:rsidR="00A502F7" w:rsidRPr="009A0348" w:rsidRDefault="00A502F7" w:rsidP="00824CD8">
            <w:pPr>
              <w:rPr>
                <w:sz w:val="20"/>
                <w:szCs w:val="20"/>
              </w:rPr>
            </w:pPr>
          </w:p>
        </w:tc>
        <w:tc>
          <w:tcPr>
            <w:tcW w:w="3827" w:type="dxa"/>
          </w:tcPr>
          <w:p w:rsidR="00A502F7" w:rsidRPr="009A0348" w:rsidRDefault="00A502F7" w:rsidP="00F90345">
            <w:pPr>
              <w:rPr>
                <w:sz w:val="20"/>
                <w:szCs w:val="20"/>
              </w:rPr>
            </w:pPr>
            <w:r w:rsidRPr="009A0348">
              <w:rPr>
                <w:sz w:val="20"/>
                <w:szCs w:val="20"/>
              </w:rPr>
              <w:t>Since the reforms more able to deliver improvements by influencing the work of others</w:t>
            </w:r>
            <w:r w:rsidR="00F90345">
              <w:rPr>
                <w:sz w:val="20"/>
                <w:szCs w:val="20"/>
              </w:rPr>
              <w:t xml:space="preserve"> Q22iv</w:t>
            </w:r>
          </w:p>
        </w:tc>
        <w:tc>
          <w:tcPr>
            <w:tcW w:w="1134" w:type="dxa"/>
          </w:tcPr>
          <w:p w:rsidR="00A502F7" w:rsidRPr="009A0348" w:rsidRDefault="005E560D" w:rsidP="00203107">
            <w:pPr>
              <w:jc w:val="center"/>
              <w:rPr>
                <w:sz w:val="20"/>
                <w:szCs w:val="20"/>
              </w:rPr>
            </w:pPr>
            <w:r w:rsidRPr="009A0348">
              <w:rPr>
                <w:sz w:val="20"/>
                <w:szCs w:val="20"/>
              </w:rPr>
              <w:t>86%</w:t>
            </w:r>
          </w:p>
        </w:tc>
        <w:tc>
          <w:tcPr>
            <w:tcW w:w="851" w:type="dxa"/>
          </w:tcPr>
          <w:p w:rsidR="00A502F7" w:rsidRPr="009A0348" w:rsidRDefault="00A502F7" w:rsidP="003E0EBB">
            <w:pPr>
              <w:jc w:val="right"/>
              <w:rPr>
                <w:sz w:val="20"/>
                <w:szCs w:val="20"/>
              </w:rPr>
            </w:pPr>
            <w:r w:rsidRPr="009A0348">
              <w:rPr>
                <w:sz w:val="20"/>
                <w:szCs w:val="20"/>
              </w:rPr>
              <w:t>6.00</w:t>
            </w:r>
          </w:p>
        </w:tc>
        <w:tc>
          <w:tcPr>
            <w:tcW w:w="992" w:type="dxa"/>
          </w:tcPr>
          <w:p w:rsidR="00A502F7" w:rsidRPr="009A0348" w:rsidRDefault="00A502F7" w:rsidP="003E0EBB">
            <w:pPr>
              <w:jc w:val="center"/>
              <w:rPr>
                <w:sz w:val="20"/>
                <w:szCs w:val="20"/>
              </w:rPr>
            </w:pPr>
            <w:r w:rsidRPr="009A0348">
              <w:rPr>
                <w:sz w:val="20"/>
                <w:szCs w:val="20"/>
              </w:rPr>
              <w:t>2</w:t>
            </w:r>
          </w:p>
        </w:tc>
        <w:tc>
          <w:tcPr>
            <w:tcW w:w="851" w:type="dxa"/>
          </w:tcPr>
          <w:p w:rsidR="00A502F7" w:rsidRPr="009A0348" w:rsidRDefault="00A502F7" w:rsidP="003E0EBB">
            <w:pPr>
              <w:jc w:val="center"/>
              <w:rPr>
                <w:sz w:val="20"/>
                <w:szCs w:val="20"/>
              </w:rPr>
            </w:pPr>
            <w:r w:rsidRPr="009A0348">
              <w:rPr>
                <w:sz w:val="20"/>
                <w:szCs w:val="20"/>
              </w:rPr>
              <w:t>0.050</w:t>
            </w:r>
          </w:p>
        </w:tc>
      </w:tr>
      <w:tr w:rsidR="00A502F7" w:rsidRPr="009A0348" w:rsidTr="00203107">
        <w:tc>
          <w:tcPr>
            <w:tcW w:w="1384" w:type="dxa"/>
          </w:tcPr>
          <w:p w:rsidR="00A502F7" w:rsidRPr="009A0348" w:rsidRDefault="00A502F7" w:rsidP="00EA2826">
            <w:pPr>
              <w:rPr>
                <w:sz w:val="20"/>
                <w:szCs w:val="20"/>
              </w:rPr>
            </w:pPr>
          </w:p>
        </w:tc>
        <w:tc>
          <w:tcPr>
            <w:tcW w:w="3827" w:type="dxa"/>
          </w:tcPr>
          <w:p w:rsidR="00A502F7" w:rsidRPr="009A0348" w:rsidRDefault="00A502F7" w:rsidP="00EA2826">
            <w:pPr>
              <w:rPr>
                <w:sz w:val="20"/>
                <w:szCs w:val="20"/>
              </w:rPr>
            </w:pPr>
            <w:r w:rsidRPr="009A0348">
              <w:rPr>
                <w:sz w:val="20"/>
                <w:szCs w:val="20"/>
              </w:rPr>
              <w:t>DPH has influence over other department’s expenditure</w:t>
            </w:r>
            <w:r w:rsidR="00F90345">
              <w:rPr>
                <w:sz w:val="20"/>
                <w:szCs w:val="20"/>
              </w:rPr>
              <w:t xml:space="preserve"> Q31</w:t>
            </w:r>
          </w:p>
        </w:tc>
        <w:tc>
          <w:tcPr>
            <w:tcW w:w="1134" w:type="dxa"/>
          </w:tcPr>
          <w:p w:rsidR="00A502F7" w:rsidRPr="009A0348" w:rsidRDefault="005E560D" w:rsidP="00203107">
            <w:pPr>
              <w:jc w:val="center"/>
              <w:rPr>
                <w:sz w:val="20"/>
                <w:szCs w:val="20"/>
              </w:rPr>
            </w:pPr>
            <w:r w:rsidRPr="009A0348">
              <w:rPr>
                <w:sz w:val="20"/>
                <w:szCs w:val="20"/>
              </w:rPr>
              <w:t>90%</w:t>
            </w:r>
          </w:p>
        </w:tc>
        <w:tc>
          <w:tcPr>
            <w:tcW w:w="851" w:type="dxa"/>
          </w:tcPr>
          <w:p w:rsidR="00A502F7" w:rsidRPr="009A0348" w:rsidRDefault="00A502F7" w:rsidP="003E0EBB">
            <w:pPr>
              <w:jc w:val="right"/>
              <w:rPr>
                <w:sz w:val="20"/>
                <w:szCs w:val="20"/>
              </w:rPr>
            </w:pPr>
            <w:r w:rsidRPr="009A0348">
              <w:rPr>
                <w:sz w:val="20"/>
                <w:szCs w:val="20"/>
              </w:rPr>
              <w:t>15.67</w:t>
            </w:r>
          </w:p>
        </w:tc>
        <w:tc>
          <w:tcPr>
            <w:tcW w:w="992" w:type="dxa"/>
          </w:tcPr>
          <w:p w:rsidR="00A502F7" w:rsidRPr="009A0348" w:rsidRDefault="00A502F7" w:rsidP="003E0EBB">
            <w:pPr>
              <w:jc w:val="center"/>
              <w:rPr>
                <w:sz w:val="20"/>
                <w:szCs w:val="20"/>
              </w:rPr>
            </w:pPr>
            <w:r w:rsidRPr="009A0348">
              <w:rPr>
                <w:sz w:val="20"/>
                <w:szCs w:val="20"/>
              </w:rPr>
              <w:t>4</w:t>
            </w:r>
          </w:p>
        </w:tc>
        <w:tc>
          <w:tcPr>
            <w:tcW w:w="851" w:type="dxa"/>
          </w:tcPr>
          <w:p w:rsidR="00A502F7" w:rsidRPr="009A0348" w:rsidRDefault="00A502F7" w:rsidP="003E0EBB">
            <w:pPr>
              <w:jc w:val="center"/>
              <w:rPr>
                <w:sz w:val="20"/>
                <w:szCs w:val="20"/>
              </w:rPr>
            </w:pPr>
            <w:r w:rsidRPr="009A0348">
              <w:rPr>
                <w:sz w:val="20"/>
                <w:szCs w:val="20"/>
              </w:rPr>
              <w:t>0.003</w:t>
            </w:r>
          </w:p>
        </w:tc>
      </w:tr>
      <w:tr w:rsidR="00A502F7" w:rsidRPr="009A0348" w:rsidTr="00203107">
        <w:tc>
          <w:tcPr>
            <w:tcW w:w="1384" w:type="dxa"/>
          </w:tcPr>
          <w:p w:rsidR="00A502F7" w:rsidRPr="009A0348" w:rsidRDefault="00A502F7" w:rsidP="00EA2826">
            <w:pPr>
              <w:rPr>
                <w:sz w:val="20"/>
                <w:szCs w:val="20"/>
              </w:rPr>
            </w:pPr>
          </w:p>
        </w:tc>
        <w:tc>
          <w:tcPr>
            <w:tcW w:w="3827" w:type="dxa"/>
          </w:tcPr>
          <w:p w:rsidR="00A502F7" w:rsidRPr="009A0348" w:rsidRDefault="00A502F7" w:rsidP="00EA2826">
            <w:pPr>
              <w:rPr>
                <w:sz w:val="20"/>
                <w:szCs w:val="20"/>
              </w:rPr>
            </w:pPr>
            <w:r w:rsidRPr="009A0348">
              <w:rPr>
                <w:sz w:val="20"/>
                <w:szCs w:val="20"/>
              </w:rPr>
              <w:t>Being on the HWB allowed DPH - to influence decision-making in the authority</w:t>
            </w:r>
            <w:r w:rsidR="00F90345">
              <w:rPr>
                <w:sz w:val="20"/>
                <w:szCs w:val="20"/>
              </w:rPr>
              <w:t xml:space="preserve"> Q38i</w:t>
            </w:r>
            <w:r w:rsidRPr="009A0348">
              <w:rPr>
                <w:sz w:val="20"/>
                <w:szCs w:val="20"/>
              </w:rPr>
              <w:t xml:space="preserve"> </w:t>
            </w:r>
          </w:p>
        </w:tc>
        <w:tc>
          <w:tcPr>
            <w:tcW w:w="1134" w:type="dxa"/>
          </w:tcPr>
          <w:p w:rsidR="00A502F7" w:rsidRPr="009A0348" w:rsidRDefault="005E560D" w:rsidP="00203107">
            <w:pPr>
              <w:jc w:val="center"/>
              <w:rPr>
                <w:sz w:val="20"/>
                <w:szCs w:val="20"/>
              </w:rPr>
            </w:pPr>
            <w:r w:rsidRPr="009A0348">
              <w:rPr>
                <w:sz w:val="20"/>
                <w:szCs w:val="20"/>
              </w:rPr>
              <w:t>**</w:t>
            </w:r>
          </w:p>
        </w:tc>
        <w:tc>
          <w:tcPr>
            <w:tcW w:w="851" w:type="dxa"/>
          </w:tcPr>
          <w:p w:rsidR="00A502F7" w:rsidRPr="009A0348" w:rsidRDefault="00A502F7" w:rsidP="003E0EBB">
            <w:pPr>
              <w:jc w:val="right"/>
              <w:rPr>
                <w:sz w:val="20"/>
                <w:szCs w:val="20"/>
              </w:rPr>
            </w:pPr>
            <w:r w:rsidRPr="009A0348">
              <w:rPr>
                <w:sz w:val="20"/>
                <w:szCs w:val="20"/>
              </w:rPr>
              <w:t>5.89</w:t>
            </w:r>
          </w:p>
        </w:tc>
        <w:tc>
          <w:tcPr>
            <w:tcW w:w="992" w:type="dxa"/>
          </w:tcPr>
          <w:p w:rsidR="00A502F7" w:rsidRPr="009A0348" w:rsidRDefault="00A502F7" w:rsidP="003E0EBB">
            <w:pPr>
              <w:jc w:val="center"/>
              <w:rPr>
                <w:sz w:val="20"/>
                <w:szCs w:val="20"/>
              </w:rPr>
            </w:pPr>
            <w:r w:rsidRPr="009A0348">
              <w:rPr>
                <w:sz w:val="20"/>
                <w:szCs w:val="20"/>
              </w:rPr>
              <w:t>2</w:t>
            </w:r>
          </w:p>
        </w:tc>
        <w:tc>
          <w:tcPr>
            <w:tcW w:w="851" w:type="dxa"/>
          </w:tcPr>
          <w:p w:rsidR="00A502F7" w:rsidRPr="009A0348" w:rsidRDefault="00A502F7" w:rsidP="003E0EBB">
            <w:pPr>
              <w:jc w:val="center"/>
              <w:rPr>
                <w:sz w:val="20"/>
                <w:szCs w:val="20"/>
              </w:rPr>
            </w:pPr>
            <w:r w:rsidRPr="009A0348">
              <w:rPr>
                <w:sz w:val="20"/>
                <w:szCs w:val="20"/>
              </w:rPr>
              <w:t>0.053</w:t>
            </w:r>
          </w:p>
        </w:tc>
      </w:tr>
      <w:tr w:rsidR="00A502F7" w:rsidRPr="009A0348" w:rsidTr="00203107">
        <w:tc>
          <w:tcPr>
            <w:tcW w:w="1384" w:type="dxa"/>
          </w:tcPr>
          <w:p w:rsidR="00A502F7" w:rsidRPr="009A0348" w:rsidRDefault="00A502F7">
            <w:pPr>
              <w:rPr>
                <w:sz w:val="20"/>
                <w:szCs w:val="20"/>
              </w:rPr>
            </w:pPr>
          </w:p>
        </w:tc>
        <w:tc>
          <w:tcPr>
            <w:tcW w:w="3827" w:type="dxa"/>
          </w:tcPr>
          <w:p w:rsidR="00A502F7" w:rsidRPr="009A0348" w:rsidRDefault="00A502F7">
            <w:pPr>
              <w:rPr>
                <w:sz w:val="20"/>
                <w:szCs w:val="20"/>
              </w:rPr>
            </w:pPr>
            <w:r w:rsidRPr="009A0348">
              <w:rPr>
                <w:sz w:val="20"/>
                <w:szCs w:val="20"/>
              </w:rPr>
              <w:t>Being on the HWB allowed DPH - to influence decision-making in organisations locally</w:t>
            </w:r>
            <w:r w:rsidR="00F90345">
              <w:rPr>
                <w:sz w:val="20"/>
                <w:szCs w:val="20"/>
              </w:rPr>
              <w:t xml:space="preserve"> Q38ii</w:t>
            </w:r>
          </w:p>
        </w:tc>
        <w:tc>
          <w:tcPr>
            <w:tcW w:w="1134" w:type="dxa"/>
          </w:tcPr>
          <w:p w:rsidR="00A502F7" w:rsidRPr="009A0348" w:rsidRDefault="005E560D" w:rsidP="00203107">
            <w:pPr>
              <w:jc w:val="center"/>
              <w:rPr>
                <w:sz w:val="20"/>
                <w:szCs w:val="20"/>
              </w:rPr>
            </w:pPr>
            <w:r w:rsidRPr="009A0348">
              <w:rPr>
                <w:sz w:val="20"/>
                <w:szCs w:val="20"/>
              </w:rPr>
              <w:t>**</w:t>
            </w:r>
          </w:p>
        </w:tc>
        <w:tc>
          <w:tcPr>
            <w:tcW w:w="851" w:type="dxa"/>
          </w:tcPr>
          <w:p w:rsidR="00A502F7" w:rsidRPr="009A0348" w:rsidRDefault="00A502F7" w:rsidP="003E0EBB">
            <w:pPr>
              <w:jc w:val="right"/>
              <w:rPr>
                <w:sz w:val="20"/>
                <w:szCs w:val="20"/>
              </w:rPr>
            </w:pPr>
            <w:r w:rsidRPr="009A0348">
              <w:rPr>
                <w:sz w:val="20"/>
                <w:szCs w:val="20"/>
              </w:rPr>
              <w:t>4.37</w:t>
            </w:r>
          </w:p>
        </w:tc>
        <w:tc>
          <w:tcPr>
            <w:tcW w:w="992" w:type="dxa"/>
          </w:tcPr>
          <w:p w:rsidR="00A502F7" w:rsidRPr="009A0348" w:rsidRDefault="00A502F7" w:rsidP="003E0EBB">
            <w:pPr>
              <w:jc w:val="center"/>
              <w:rPr>
                <w:sz w:val="20"/>
                <w:szCs w:val="20"/>
              </w:rPr>
            </w:pPr>
            <w:r w:rsidRPr="009A0348">
              <w:rPr>
                <w:sz w:val="20"/>
                <w:szCs w:val="20"/>
              </w:rPr>
              <w:t>2</w:t>
            </w:r>
          </w:p>
        </w:tc>
        <w:tc>
          <w:tcPr>
            <w:tcW w:w="851" w:type="dxa"/>
          </w:tcPr>
          <w:p w:rsidR="00A502F7" w:rsidRPr="009A0348" w:rsidRDefault="00A502F7" w:rsidP="003E0EBB">
            <w:pPr>
              <w:jc w:val="center"/>
              <w:rPr>
                <w:sz w:val="20"/>
                <w:szCs w:val="20"/>
              </w:rPr>
            </w:pPr>
            <w:r w:rsidRPr="009A0348">
              <w:rPr>
                <w:sz w:val="20"/>
                <w:szCs w:val="20"/>
              </w:rPr>
              <w:t>0.112</w:t>
            </w:r>
          </w:p>
        </w:tc>
      </w:tr>
      <w:tr w:rsidR="00A502F7" w:rsidRPr="009A0348" w:rsidTr="00203107">
        <w:tc>
          <w:tcPr>
            <w:tcW w:w="1384" w:type="dxa"/>
          </w:tcPr>
          <w:p w:rsidR="00A502F7" w:rsidRPr="009A0348" w:rsidRDefault="00A502F7">
            <w:pPr>
              <w:rPr>
                <w:sz w:val="20"/>
                <w:szCs w:val="20"/>
              </w:rPr>
            </w:pPr>
          </w:p>
        </w:tc>
        <w:tc>
          <w:tcPr>
            <w:tcW w:w="3827" w:type="dxa"/>
          </w:tcPr>
          <w:p w:rsidR="00A502F7" w:rsidRPr="009A0348" w:rsidRDefault="00A502F7">
            <w:pPr>
              <w:rPr>
                <w:sz w:val="20"/>
                <w:szCs w:val="20"/>
              </w:rPr>
            </w:pPr>
            <w:r w:rsidRPr="009A0348">
              <w:rPr>
                <w:sz w:val="20"/>
                <w:szCs w:val="20"/>
              </w:rPr>
              <w:t>Being on the HWB allowed DPH - to influence work in the local health/social care economy</w:t>
            </w:r>
            <w:r w:rsidR="00F90345">
              <w:rPr>
                <w:sz w:val="20"/>
                <w:szCs w:val="20"/>
              </w:rPr>
              <w:t xml:space="preserve"> Q38iii</w:t>
            </w:r>
          </w:p>
        </w:tc>
        <w:tc>
          <w:tcPr>
            <w:tcW w:w="1134" w:type="dxa"/>
          </w:tcPr>
          <w:p w:rsidR="00A502F7" w:rsidRPr="009A0348" w:rsidRDefault="005E560D" w:rsidP="00203107">
            <w:pPr>
              <w:jc w:val="center"/>
              <w:rPr>
                <w:sz w:val="20"/>
                <w:szCs w:val="20"/>
              </w:rPr>
            </w:pPr>
            <w:r w:rsidRPr="009A0348">
              <w:rPr>
                <w:sz w:val="20"/>
                <w:szCs w:val="20"/>
              </w:rPr>
              <w:t>**</w:t>
            </w:r>
          </w:p>
        </w:tc>
        <w:tc>
          <w:tcPr>
            <w:tcW w:w="851" w:type="dxa"/>
          </w:tcPr>
          <w:p w:rsidR="00A502F7" w:rsidRPr="009A0348" w:rsidRDefault="00A502F7" w:rsidP="003E0EBB">
            <w:pPr>
              <w:jc w:val="right"/>
              <w:rPr>
                <w:sz w:val="20"/>
                <w:szCs w:val="20"/>
              </w:rPr>
            </w:pPr>
            <w:r w:rsidRPr="009A0348">
              <w:rPr>
                <w:sz w:val="20"/>
                <w:szCs w:val="20"/>
              </w:rPr>
              <w:t>2.17</w:t>
            </w:r>
          </w:p>
        </w:tc>
        <w:tc>
          <w:tcPr>
            <w:tcW w:w="992" w:type="dxa"/>
          </w:tcPr>
          <w:p w:rsidR="00A502F7" w:rsidRPr="009A0348" w:rsidRDefault="00A502F7" w:rsidP="003E0EBB">
            <w:pPr>
              <w:jc w:val="center"/>
              <w:rPr>
                <w:sz w:val="20"/>
                <w:szCs w:val="20"/>
              </w:rPr>
            </w:pPr>
            <w:r w:rsidRPr="009A0348">
              <w:rPr>
                <w:sz w:val="20"/>
                <w:szCs w:val="20"/>
              </w:rPr>
              <w:t>2</w:t>
            </w:r>
          </w:p>
        </w:tc>
        <w:tc>
          <w:tcPr>
            <w:tcW w:w="851" w:type="dxa"/>
          </w:tcPr>
          <w:p w:rsidR="00A502F7" w:rsidRPr="009A0348" w:rsidRDefault="00A502F7" w:rsidP="003E0EBB">
            <w:pPr>
              <w:jc w:val="center"/>
              <w:rPr>
                <w:sz w:val="20"/>
                <w:szCs w:val="20"/>
              </w:rPr>
            </w:pPr>
            <w:r w:rsidRPr="009A0348">
              <w:rPr>
                <w:sz w:val="20"/>
                <w:szCs w:val="20"/>
              </w:rPr>
              <w:t>0.337</w:t>
            </w:r>
          </w:p>
        </w:tc>
      </w:tr>
      <w:tr w:rsidR="00A502F7" w:rsidRPr="009A0348" w:rsidTr="00203107">
        <w:tc>
          <w:tcPr>
            <w:tcW w:w="1384" w:type="dxa"/>
          </w:tcPr>
          <w:p w:rsidR="00A502F7" w:rsidRPr="009A0348" w:rsidRDefault="005109EC" w:rsidP="00B22781">
            <w:pPr>
              <w:rPr>
                <w:sz w:val="20"/>
                <w:szCs w:val="20"/>
              </w:rPr>
            </w:pPr>
            <w:r>
              <w:rPr>
                <w:sz w:val="20"/>
                <w:szCs w:val="20"/>
              </w:rPr>
              <w:t xml:space="preserve">2. </w:t>
            </w:r>
            <w:r w:rsidR="00A502F7" w:rsidRPr="009A0348">
              <w:rPr>
                <w:sz w:val="20"/>
                <w:szCs w:val="20"/>
              </w:rPr>
              <w:t>Description of authority</w:t>
            </w:r>
          </w:p>
        </w:tc>
        <w:tc>
          <w:tcPr>
            <w:tcW w:w="3827" w:type="dxa"/>
          </w:tcPr>
          <w:p w:rsidR="00A502F7" w:rsidRPr="009A0348" w:rsidRDefault="00A502F7" w:rsidP="00B22781">
            <w:pPr>
              <w:rPr>
                <w:sz w:val="20"/>
                <w:szCs w:val="20"/>
              </w:rPr>
            </w:pPr>
            <w:r w:rsidRPr="009A0348">
              <w:rPr>
                <w:sz w:val="20"/>
                <w:szCs w:val="20"/>
              </w:rPr>
              <w:t>Region</w:t>
            </w:r>
            <w:r w:rsidR="00ED2061">
              <w:rPr>
                <w:sz w:val="20"/>
                <w:szCs w:val="20"/>
              </w:rPr>
              <w:t xml:space="preserve"> (10 former England regions)</w:t>
            </w:r>
            <w:r w:rsidRPr="009A0348">
              <w:rPr>
                <w:sz w:val="20"/>
                <w:szCs w:val="20"/>
              </w:rPr>
              <w:t>*</w:t>
            </w:r>
          </w:p>
        </w:tc>
        <w:tc>
          <w:tcPr>
            <w:tcW w:w="1134" w:type="dxa"/>
          </w:tcPr>
          <w:p w:rsidR="00A502F7" w:rsidRPr="009A0348" w:rsidRDefault="00DD6DF0" w:rsidP="00DD6DF0">
            <w:pPr>
              <w:jc w:val="center"/>
              <w:rPr>
                <w:sz w:val="20"/>
                <w:szCs w:val="20"/>
              </w:rPr>
            </w:pPr>
            <w:r>
              <w:rPr>
                <w:sz w:val="20"/>
                <w:szCs w:val="20"/>
              </w:rPr>
              <w:t>9</w:t>
            </w:r>
            <w:r w:rsidR="005E560D" w:rsidRPr="009A0348">
              <w:rPr>
                <w:sz w:val="20"/>
                <w:szCs w:val="20"/>
              </w:rPr>
              <w:t>8%</w:t>
            </w:r>
          </w:p>
        </w:tc>
        <w:tc>
          <w:tcPr>
            <w:tcW w:w="851" w:type="dxa"/>
          </w:tcPr>
          <w:p w:rsidR="00A502F7" w:rsidRPr="009A0348" w:rsidRDefault="00A502F7" w:rsidP="003E0EBB">
            <w:pPr>
              <w:jc w:val="right"/>
              <w:rPr>
                <w:sz w:val="20"/>
                <w:szCs w:val="20"/>
              </w:rPr>
            </w:pPr>
            <w:r w:rsidRPr="009A0348">
              <w:rPr>
                <w:sz w:val="20"/>
                <w:szCs w:val="20"/>
              </w:rPr>
              <w:t>19.30</w:t>
            </w:r>
          </w:p>
        </w:tc>
        <w:tc>
          <w:tcPr>
            <w:tcW w:w="992" w:type="dxa"/>
          </w:tcPr>
          <w:p w:rsidR="00A502F7" w:rsidRPr="009A0348" w:rsidRDefault="00A502F7" w:rsidP="003E0EBB">
            <w:pPr>
              <w:jc w:val="center"/>
              <w:rPr>
                <w:sz w:val="20"/>
                <w:szCs w:val="20"/>
              </w:rPr>
            </w:pPr>
            <w:r w:rsidRPr="009A0348">
              <w:rPr>
                <w:sz w:val="20"/>
                <w:szCs w:val="20"/>
              </w:rPr>
              <w:t>18</w:t>
            </w:r>
          </w:p>
        </w:tc>
        <w:tc>
          <w:tcPr>
            <w:tcW w:w="851" w:type="dxa"/>
          </w:tcPr>
          <w:p w:rsidR="00A502F7" w:rsidRPr="009A0348" w:rsidRDefault="00A502F7" w:rsidP="003E0EBB">
            <w:pPr>
              <w:jc w:val="center"/>
              <w:rPr>
                <w:sz w:val="20"/>
                <w:szCs w:val="20"/>
              </w:rPr>
            </w:pPr>
            <w:r w:rsidRPr="009A0348">
              <w:rPr>
                <w:sz w:val="20"/>
                <w:szCs w:val="20"/>
              </w:rPr>
              <w:t>0.374</w:t>
            </w:r>
          </w:p>
        </w:tc>
      </w:tr>
      <w:tr w:rsidR="00A502F7" w:rsidRPr="009A0348" w:rsidTr="00203107">
        <w:tc>
          <w:tcPr>
            <w:tcW w:w="1384" w:type="dxa"/>
          </w:tcPr>
          <w:p w:rsidR="00A502F7" w:rsidRPr="009A0348" w:rsidRDefault="00A502F7">
            <w:pPr>
              <w:rPr>
                <w:sz w:val="20"/>
                <w:szCs w:val="20"/>
              </w:rPr>
            </w:pPr>
          </w:p>
        </w:tc>
        <w:tc>
          <w:tcPr>
            <w:tcW w:w="3827" w:type="dxa"/>
          </w:tcPr>
          <w:p w:rsidR="00A502F7" w:rsidRPr="009A0348" w:rsidRDefault="00A502F7">
            <w:pPr>
              <w:rPr>
                <w:sz w:val="20"/>
                <w:szCs w:val="20"/>
              </w:rPr>
            </w:pPr>
            <w:r w:rsidRPr="009A0348">
              <w:rPr>
                <w:sz w:val="20"/>
                <w:szCs w:val="20"/>
              </w:rPr>
              <w:t>Type of authority</w:t>
            </w:r>
            <w:r w:rsidR="00ED2061">
              <w:rPr>
                <w:sz w:val="20"/>
                <w:szCs w:val="20"/>
              </w:rPr>
              <w:t xml:space="preserve"> (two-tier, unitary)</w:t>
            </w:r>
          </w:p>
        </w:tc>
        <w:tc>
          <w:tcPr>
            <w:tcW w:w="1134" w:type="dxa"/>
          </w:tcPr>
          <w:p w:rsidR="00A502F7" w:rsidRPr="009A0348" w:rsidRDefault="00DD6DF0" w:rsidP="00DD6DF0">
            <w:pPr>
              <w:jc w:val="center"/>
              <w:rPr>
                <w:sz w:val="20"/>
                <w:szCs w:val="20"/>
              </w:rPr>
            </w:pPr>
            <w:r>
              <w:rPr>
                <w:sz w:val="20"/>
                <w:szCs w:val="20"/>
              </w:rPr>
              <w:t>9</w:t>
            </w:r>
            <w:r w:rsidR="005E560D" w:rsidRPr="009A0348">
              <w:rPr>
                <w:sz w:val="20"/>
                <w:szCs w:val="20"/>
              </w:rPr>
              <w:t>8%</w:t>
            </w:r>
          </w:p>
        </w:tc>
        <w:tc>
          <w:tcPr>
            <w:tcW w:w="851" w:type="dxa"/>
          </w:tcPr>
          <w:p w:rsidR="00A502F7" w:rsidRPr="009A0348" w:rsidRDefault="00A502F7" w:rsidP="003E0EBB">
            <w:pPr>
              <w:jc w:val="right"/>
              <w:rPr>
                <w:sz w:val="20"/>
                <w:szCs w:val="20"/>
              </w:rPr>
            </w:pPr>
            <w:r w:rsidRPr="009A0348">
              <w:rPr>
                <w:sz w:val="20"/>
                <w:szCs w:val="20"/>
              </w:rPr>
              <w:t>0.146</w:t>
            </w:r>
          </w:p>
        </w:tc>
        <w:tc>
          <w:tcPr>
            <w:tcW w:w="992" w:type="dxa"/>
          </w:tcPr>
          <w:p w:rsidR="00A502F7" w:rsidRPr="009A0348" w:rsidRDefault="00A502F7" w:rsidP="00777F4F">
            <w:pPr>
              <w:jc w:val="center"/>
              <w:rPr>
                <w:sz w:val="20"/>
                <w:szCs w:val="20"/>
              </w:rPr>
            </w:pPr>
            <w:r w:rsidRPr="009A0348">
              <w:rPr>
                <w:sz w:val="20"/>
                <w:szCs w:val="20"/>
              </w:rPr>
              <w:t>2</w:t>
            </w:r>
          </w:p>
        </w:tc>
        <w:tc>
          <w:tcPr>
            <w:tcW w:w="851" w:type="dxa"/>
          </w:tcPr>
          <w:p w:rsidR="00A502F7" w:rsidRPr="009A0348" w:rsidRDefault="00A502F7" w:rsidP="003E0EBB">
            <w:pPr>
              <w:jc w:val="center"/>
              <w:rPr>
                <w:sz w:val="20"/>
                <w:szCs w:val="20"/>
              </w:rPr>
            </w:pPr>
            <w:r w:rsidRPr="009A0348">
              <w:rPr>
                <w:sz w:val="20"/>
                <w:szCs w:val="20"/>
              </w:rPr>
              <w:t>0.929</w:t>
            </w:r>
          </w:p>
        </w:tc>
      </w:tr>
      <w:tr w:rsidR="00A502F7" w:rsidRPr="009A0348" w:rsidTr="00203107">
        <w:tc>
          <w:tcPr>
            <w:tcW w:w="1384" w:type="dxa"/>
          </w:tcPr>
          <w:p w:rsidR="00A502F7" w:rsidRPr="009A0348" w:rsidRDefault="00A502F7">
            <w:pPr>
              <w:rPr>
                <w:sz w:val="20"/>
                <w:szCs w:val="20"/>
              </w:rPr>
            </w:pPr>
          </w:p>
        </w:tc>
        <w:tc>
          <w:tcPr>
            <w:tcW w:w="3827" w:type="dxa"/>
          </w:tcPr>
          <w:p w:rsidR="00A502F7" w:rsidRPr="009A0348" w:rsidRDefault="00A502F7">
            <w:pPr>
              <w:rPr>
                <w:sz w:val="20"/>
                <w:szCs w:val="20"/>
              </w:rPr>
            </w:pPr>
            <w:r w:rsidRPr="009A0348">
              <w:rPr>
                <w:sz w:val="20"/>
                <w:szCs w:val="20"/>
              </w:rPr>
              <w:t>Political party in power</w:t>
            </w:r>
            <w:r w:rsidR="00ED2061">
              <w:rPr>
                <w:sz w:val="20"/>
                <w:szCs w:val="20"/>
              </w:rPr>
              <w:t xml:space="preserve"> (Conservative, Labour, Liberal, no overall control)</w:t>
            </w:r>
          </w:p>
        </w:tc>
        <w:tc>
          <w:tcPr>
            <w:tcW w:w="1134" w:type="dxa"/>
          </w:tcPr>
          <w:p w:rsidR="00A502F7" w:rsidRPr="009A0348" w:rsidRDefault="00DD6DF0" w:rsidP="00DD6DF0">
            <w:pPr>
              <w:jc w:val="center"/>
              <w:rPr>
                <w:sz w:val="20"/>
                <w:szCs w:val="20"/>
              </w:rPr>
            </w:pPr>
            <w:r>
              <w:rPr>
                <w:sz w:val="20"/>
                <w:szCs w:val="20"/>
              </w:rPr>
              <w:t>9</w:t>
            </w:r>
            <w:r w:rsidR="005E560D" w:rsidRPr="009A0348">
              <w:rPr>
                <w:sz w:val="20"/>
                <w:szCs w:val="20"/>
              </w:rPr>
              <w:t>8%</w:t>
            </w:r>
          </w:p>
        </w:tc>
        <w:tc>
          <w:tcPr>
            <w:tcW w:w="851" w:type="dxa"/>
          </w:tcPr>
          <w:p w:rsidR="00A502F7" w:rsidRPr="009A0348" w:rsidRDefault="00A502F7" w:rsidP="00083A13">
            <w:pPr>
              <w:jc w:val="right"/>
              <w:rPr>
                <w:sz w:val="20"/>
                <w:szCs w:val="20"/>
              </w:rPr>
            </w:pPr>
            <w:r w:rsidRPr="009A0348">
              <w:rPr>
                <w:sz w:val="20"/>
                <w:szCs w:val="20"/>
              </w:rPr>
              <w:t>4.37</w:t>
            </w:r>
          </w:p>
        </w:tc>
        <w:tc>
          <w:tcPr>
            <w:tcW w:w="992" w:type="dxa"/>
          </w:tcPr>
          <w:p w:rsidR="00A502F7" w:rsidRPr="009A0348" w:rsidRDefault="00A502F7" w:rsidP="00083A13">
            <w:pPr>
              <w:jc w:val="center"/>
              <w:rPr>
                <w:sz w:val="20"/>
                <w:szCs w:val="20"/>
              </w:rPr>
            </w:pPr>
            <w:r w:rsidRPr="009A0348">
              <w:rPr>
                <w:sz w:val="20"/>
                <w:szCs w:val="20"/>
              </w:rPr>
              <w:t>4</w:t>
            </w:r>
          </w:p>
        </w:tc>
        <w:tc>
          <w:tcPr>
            <w:tcW w:w="851" w:type="dxa"/>
          </w:tcPr>
          <w:p w:rsidR="00A502F7" w:rsidRPr="009A0348" w:rsidRDefault="00A502F7" w:rsidP="00083A13">
            <w:pPr>
              <w:jc w:val="center"/>
              <w:rPr>
                <w:sz w:val="20"/>
                <w:szCs w:val="20"/>
              </w:rPr>
            </w:pPr>
            <w:r w:rsidRPr="009A0348">
              <w:rPr>
                <w:sz w:val="20"/>
                <w:szCs w:val="20"/>
              </w:rPr>
              <w:t>0.358</w:t>
            </w:r>
          </w:p>
        </w:tc>
      </w:tr>
      <w:tr w:rsidR="00A502F7" w:rsidRPr="009A0348" w:rsidTr="00203107">
        <w:tc>
          <w:tcPr>
            <w:tcW w:w="1384" w:type="dxa"/>
          </w:tcPr>
          <w:p w:rsidR="00A502F7" w:rsidRPr="009A0348" w:rsidRDefault="00A502F7" w:rsidP="00B22781">
            <w:pPr>
              <w:rPr>
                <w:sz w:val="20"/>
                <w:szCs w:val="20"/>
              </w:rPr>
            </w:pPr>
          </w:p>
        </w:tc>
        <w:tc>
          <w:tcPr>
            <w:tcW w:w="3827" w:type="dxa"/>
          </w:tcPr>
          <w:p w:rsidR="00A502F7" w:rsidRPr="009A0348" w:rsidRDefault="00A502F7" w:rsidP="00B22781">
            <w:pPr>
              <w:rPr>
                <w:sz w:val="20"/>
                <w:szCs w:val="20"/>
              </w:rPr>
            </w:pPr>
            <w:r w:rsidRPr="009A0348">
              <w:rPr>
                <w:sz w:val="20"/>
                <w:szCs w:val="20"/>
              </w:rPr>
              <w:t>Population of authority</w:t>
            </w:r>
            <w:r w:rsidR="00ED2061">
              <w:rPr>
                <w:sz w:val="20"/>
                <w:szCs w:val="20"/>
              </w:rPr>
              <w:t xml:space="preserve"> (5 categories)</w:t>
            </w:r>
            <w:r w:rsidRPr="009A0348">
              <w:rPr>
                <w:sz w:val="20"/>
                <w:szCs w:val="20"/>
              </w:rPr>
              <w:t>*</w:t>
            </w:r>
          </w:p>
        </w:tc>
        <w:tc>
          <w:tcPr>
            <w:tcW w:w="1134" w:type="dxa"/>
          </w:tcPr>
          <w:p w:rsidR="00A502F7" w:rsidRPr="009A0348" w:rsidRDefault="00DD6DF0" w:rsidP="00DD6DF0">
            <w:pPr>
              <w:jc w:val="center"/>
              <w:rPr>
                <w:sz w:val="20"/>
                <w:szCs w:val="20"/>
              </w:rPr>
            </w:pPr>
            <w:r>
              <w:rPr>
                <w:sz w:val="20"/>
                <w:szCs w:val="20"/>
              </w:rPr>
              <w:t>9</w:t>
            </w:r>
            <w:r w:rsidR="005E560D" w:rsidRPr="009A0348">
              <w:rPr>
                <w:sz w:val="20"/>
                <w:szCs w:val="20"/>
              </w:rPr>
              <w:t>8%</w:t>
            </w:r>
          </w:p>
        </w:tc>
        <w:tc>
          <w:tcPr>
            <w:tcW w:w="851" w:type="dxa"/>
          </w:tcPr>
          <w:p w:rsidR="00A502F7" w:rsidRPr="009A0348" w:rsidRDefault="000A24F8" w:rsidP="000A24F8">
            <w:pPr>
              <w:jc w:val="right"/>
              <w:rPr>
                <w:sz w:val="20"/>
                <w:szCs w:val="20"/>
              </w:rPr>
            </w:pPr>
            <w:r>
              <w:rPr>
                <w:sz w:val="20"/>
                <w:szCs w:val="20"/>
              </w:rPr>
              <w:t>6.62</w:t>
            </w:r>
            <w:r w:rsidR="00A502F7" w:rsidRPr="009A0348">
              <w:rPr>
                <w:sz w:val="20"/>
                <w:szCs w:val="20"/>
              </w:rPr>
              <w:t>1</w:t>
            </w:r>
          </w:p>
        </w:tc>
        <w:tc>
          <w:tcPr>
            <w:tcW w:w="992" w:type="dxa"/>
          </w:tcPr>
          <w:p w:rsidR="00A502F7" w:rsidRPr="009A0348" w:rsidRDefault="00A502F7" w:rsidP="003E0EBB">
            <w:pPr>
              <w:jc w:val="center"/>
              <w:rPr>
                <w:sz w:val="20"/>
                <w:szCs w:val="20"/>
              </w:rPr>
            </w:pPr>
            <w:r w:rsidRPr="009A0348">
              <w:rPr>
                <w:sz w:val="20"/>
                <w:szCs w:val="20"/>
              </w:rPr>
              <w:t>8</w:t>
            </w:r>
          </w:p>
        </w:tc>
        <w:tc>
          <w:tcPr>
            <w:tcW w:w="851" w:type="dxa"/>
          </w:tcPr>
          <w:p w:rsidR="00A502F7" w:rsidRPr="009A0348" w:rsidRDefault="00A502F7" w:rsidP="000A24F8">
            <w:pPr>
              <w:jc w:val="center"/>
              <w:rPr>
                <w:sz w:val="20"/>
                <w:szCs w:val="20"/>
              </w:rPr>
            </w:pPr>
            <w:r w:rsidRPr="009A0348">
              <w:rPr>
                <w:sz w:val="20"/>
                <w:szCs w:val="20"/>
              </w:rPr>
              <w:t>0.</w:t>
            </w:r>
            <w:r w:rsidR="000A24F8">
              <w:rPr>
                <w:sz w:val="20"/>
                <w:szCs w:val="20"/>
              </w:rPr>
              <w:t>578</w:t>
            </w:r>
          </w:p>
        </w:tc>
      </w:tr>
      <w:tr w:rsidR="00A502F7" w:rsidRPr="009A0348" w:rsidTr="00203107">
        <w:tc>
          <w:tcPr>
            <w:tcW w:w="1384" w:type="dxa"/>
          </w:tcPr>
          <w:p w:rsidR="00A502F7" w:rsidRPr="009A0348" w:rsidRDefault="00A502F7">
            <w:pPr>
              <w:rPr>
                <w:sz w:val="20"/>
                <w:szCs w:val="20"/>
              </w:rPr>
            </w:pPr>
          </w:p>
        </w:tc>
        <w:tc>
          <w:tcPr>
            <w:tcW w:w="3827" w:type="dxa"/>
          </w:tcPr>
          <w:p w:rsidR="00A502F7" w:rsidRPr="009A0348" w:rsidRDefault="00A502F7">
            <w:pPr>
              <w:rPr>
                <w:sz w:val="20"/>
                <w:szCs w:val="20"/>
              </w:rPr>
            </w:pPr>
            <w:r w:rsidRPr="009A0348">
              <w:rPr>
                <w:sz w:val="20"/>
                <w:szCs w:val="20"/>
              </w:rPr>
              <w:t>Deprivation level</w:t>
            </w:r>
            <w:r w:rsidR="00ED2061">
              <w:rPr>
                <w:sz w:val="20"/>
                <w:szCs w:val="20"/>
              </w:rPr>
              <w:t xml:space="preserve"> (IMD 2010 score &lt;26, 26+)</w:t>
            </w:r>
          </w:p>
        </w:tc>
        <w:tc>
          <w:tcPr>
            <w:tcW w:w="1134" w:type="dxa"/>
          </w:tcPr>
          <w:p w:rsidR="00A502F7" w:rsidRPr="009A0348" w:rsidRDefault="00DD6DF0" w:rsidP="00DD6DF0">
            <w:pPr>
              <w:jc w:val="center"/>
              <w:rPr>
                <w:sz w:val="20"/>
                <w:szCs w:val="20"/>
              </w:rPr>
            </w:pPr>
            <w:r>
              <w:rPr>
                <w:sz w:val="20"/>
                <w:szCs w:val="20"/>
              </w:rPr>
              <w:t>95</w:t>
            </w:r>
            <w:r w:rsidR="005E560D" w:rsidRPr="009A0348">
              <w:rPr>
                <w:sz w:val="20"/>
                <w:szCs w:val="20"/>
              </w:rPr>
              <w:t>%</w:t>
            </w:r>
          </w:p>
        </w:tc>
        <w:tc>
          <w:tcPr>
            <w:tcW w:w="851" w:type="dxa"/>
          </w:tcPr>
          <w:p w:rsidR="00A502F7" w:rsidRPr="009A0348" w:rsidRDefault="00A502F7" w:rsidP="003E0EBB">
            <w:pPr>
              <w:jc w:val="right"/>
              <w:rPr>
                <w:sz w:val="20"/>
                <w:szCs w:val="20"/>
              </w:rPr>
            </w:pPr>
            <w:r w:rsidRPr="009A0348">
              <w:rPr>
                <w:sz w:val="20"/>
                <w:szCs w:val="20"/>
              </w:rPr>
              <w:t>6.13</w:t>
            </w:r>
          </w:p>
        </w:tc>
        <w:tc>
          <w:tcPr>
            <w:tcW w:w="992" w:type="dxa"/>
          </w:tcPr>
          <w:p w:rsidR="00A502F7" w:rsidRPr="009A0348" w:rsidRDefault="00A502F7" w:rsidP="003E0EBB">
            <w:pPr>
              <w:jc w:val="center"/>
              <w:rPr>
                <w:sz w:val="20"/>
                <w:szCs w:val="20"/>
              </w:rPr>
            </w:pPr>
            <w:r w:rsidRPr="009A0348">
              <w:rPr>
                <w:sz w:val="20"/>
                <w:szCs w:val="20"/>
              </w:rPr>
              <w:t>2</w:t>
            </w:r>
          </w:p>
        </w:tc>
        <w:tc>
          <w:tcPr>
            <w:tcW w:w="851" w:type="dxa"/>
          </w:tcPr>
          <w:p w:rsidR="00A502F7" w:rsidRPr="009A0348" w:rsidRDefault="00A502F7" w:rsidP="003E0EBB">
            <w:pPr>
              <w:jc w:val="center"/>
              <w:rPr>
                <w:sz w:val="20"/>
                <w:szCs w:val="20"/>
              </w:rPr>
            </w:pPr>
            <w:r w:rsidRPr="009A0348">
              <w:rPr>
                <w:sz w:val="20"/>
                <w:szCs w:val="20"/>
              </w:rPr>
              <w:t>0.047</w:t>
            </w:r>
          </w:p>
        </w:tc>
      </w:tr>
      <w:tr w:rsidR="00A502F7" w:rsidRPr="009A0348" w:rsidTr="00203107">
        <w:tc>
          <w:tcPr>
            <w:tcW w:w="1384" w:type="dxa"/>
          </w:tcPr>
          <w:p w:rsidR="00A502F7" w:rsidRPr="009A0348" w:rsidRDefault="00A502F7" w:rsidP="00B22781">
            <w:pPr>
              <w:rPr>
                <w:sz w:val="20"/>
                <w:szCs w:val="20"/>
              </w:rPr>
            </w:pPr>
          </w:p>
        </w:tc>
        <w:tc>
          <w:tcPr>
            <w:tcW w:w="3827" w:type="dxa"/>
          </w:tcPr>
          <w:p w:rsidR="00A502F7" w:rsidRPr="009A0348" w:rsidRDefault="00A502F7" w:rsidP="00B22781">
            <w:pPr>
              <w:rPr>
                <w:sz w:val="20"/>
                <w:szCs w:val="20"/>
              </w:rPr>
            </w:pPr>
            <w:r w:rsidRPr="009A0348">
              <w:rPr>
                <w:sz w:val="20"/>
                <w:szCs w:val="20"/>
              </w:rPr>
              <w:t>Public health budget per head</w:t>
            </w:r>
            <w:r w:rsidR="00ED2061">
              <w:rPr>
                <w:sz w:val="20"/>
                <w:szCs w:val="20"/>
              </w:rPr>
              <w:t xml:space="preserve"> (&lt;£50, £50-£99, £100+)</w:t>
            </w:r>
          </w:p>
        </w:tc>
        <w:tc>
          <w:tcPr>
            <w:tcW w:w="1134" w:type="dxa"/>
          </w:tcPr>
          <w:p w:rsidR="00A502F7" w:rsidRPr="009A0348" w:rsidRDefault="00DD6DF0" w:rsidP="00DD6DF0">
            <w:pPr>
              <w:jc w:val="center"/>
              <w:rPr>
                <w:sz w:val="20"/>
                <w:szCs w:val="20"/>
              </w:rPr>
            </w:pPr>
            <w:r>
              <w:rPr>
                <w:sz w:val="20"/>
                <w:szCs w:val="20"/>
              </w:rPr>
              <w:t>9</w:t>
            </w:r>
            <w:r w:rsidR="005E560D" w:rsidRPr="009A0348">
              <w:rPr>
                <w:sz w:val="20"/>
                <w:szCs w:val="20"/>
              </w:rPr>
              <w:t>8%</w:t>
            </w:r>
          </w:p>
        </w:tc>
        <w:tc>
          <w:tcPr>
            <w:tcW w:w="851" w:type="dxa"/>
          </w:tcPr>
          <w:p w:rsidR="00A502F7" w:rsidRPr="009A0348" w:rsidRDefault="000A24F8" w:rsidP="000A24F8">
            <w:pPr>
              <w:jc w:val="right"/>
              <w:rPr>
                <w:sz w:val="20"/>
                <w:szCs w:val="20"/>
              </w:rPr>
            </w:pPr>
            <w:r>
              <w:rPr>
                <w:sz w:val="20"/>
                <w:szCs w:val="20"/>
              </w:rPr>
              <w:t>4.22</w:t>
            </w:r>
          </w:p>
        </w:tc>
        <w:tc>
          <w:tcPr>
            <w:tcW w:w="992" w:type="dxa"/>
          </w:tcPr>
          <w:p w:rsidR="00A502F7" w:rsidRPr="009A0348" w:rsidRDefault="00A502F7" w:rsidP="003E0EBB">
            <w:pPr>
              <w:jc w:val="center"/>
              <w:rPr>
                <w:sz w:val="20"/>
                <w:szCs w:val="20"/>
              </w:rPr>
            </w:pPr>
            <w:r w:rsidRPr="009A0348">
              <w:rPr>
                <w:sz w:val="20"/>
                <w:szCs w:val="20"/>
              </w:rPr>
              <w:t>4</w:t>
            </w:r>
          </w:p>
        </w:tc>
        <w:tc>
          <w:tcPr>
            <w:tcW w:w="851" w:type="dxa"/>
          </w:tcPr>
          <w:p w:rsidR="00A502F7" w:rsidRPr="009A0348" w:rsidRDefault="00A502F7" w:rsidP="000A24F8">
            <w:pPr>
              <w:jc w:val="center"/>
              <w:rPr>
                <w:sz w:val="20"/>
                <w:szCs w:val="20"/>
              </w:rPr>
            </w:pPr>
            <w:r w:rsidRPr="009A0348">
              <w:rPr>
                <w:sz w:val="20"/>
                <w:szCs w:val="20"/>
              </w:rPr>
              <w:t>0.</w:t>
            </w:r>
            <w:r w:rsidR="000A24F8">
              <w:rPr>
                <w:sz w:val="20"/>
                <w:szCs w:val="20"/>
              </w:rPr>
              <w:t>377</w:t>
            </w:r>
          </w:p>
        </w:tc>
      </w:tr>
      <w:tr w:rsidR="00A502F7" w:rsidRPr="009A0348" w:rsidTr="00203107">
        <w:tc>
          <w:tcPr>
            <w:tcW w:w="1384" w:type="dxa"/>
          </w:tcPr>
          <w:p w:rsidR="00A502F7" w:rsidRPr="009A0348" w:rsidRDefault="005109EC" w:rsidP="00B22781">
            <w:pPr>
              <w:rPr>
                <w:sz w:val="20"/>
                <w:szCs w:val="20"/>
              </w:rPr>
            </w:pPr>
            <w:r>
              <w:rPr>
                <w:sz w:val="20"/>
                <w:szCs w:val="20"/>
              </w:rPr>
              <w:t xml:space="preserve">3. </w:t>
            </w:r>
            <w:r w:rsidR="00A502F7" w:rsidRPr="009A0348">
              <w:rPr>
                <w:sz w:val="20"/>
                <w:szCs w:val="20"/>
              </w:rPr>
              <w:t>Description of PH function</w:t>
            </w:r>
          </w:p>
        </w:tc>
        <w:tc>
          <w:tcPr>
            <w:tcW w:w="3827" w:type="dxa"/>
          </w:tcPr>
          <w:p w:rsidR="00A502F7" w:rsidRPr="009A0348" w:rsidRDefault="00A502F7" w:rsidP="00B22781">
            <w:pPr>
              <w:rPr>
                <w:sz w:val="20"/>
                <w:szCs w:val="20"/>
              </w:rPr>
            </w:pPr>
            <w:r w:rsidRPr="009A0348">
              <w:rPr>
                <w:sz w:val="20"/>
                <w:szCs w:val="20"/>
              </w:rPr>
              <w:t>PH service shared across authorities</w:t>
            </w:r>
            <w:r w:rsidR="00F90345">
              <w:rPr>
                <w:sz w:val="20"/>
                <w:szCs w:val="20"/>
              </w:rPr>
              <w:t xml:space="preserve"> Q1</w:t>
            </w:r>
          </w:p>
        </w:tc>
        <w:tc>
          <w:tcPr>
            <w:tcW w:w="1134" w:type="dxa"/>
          </w:tcPr>
          <w:p w:rsidR="00A502F7" w:rsidRPr="009A0348" w:rsidRDefault="00DD6DF0" w:rsidP="00DD6DF0">
            <w:pPr>
              <w:jc w:val="center"/>
              <w:rPr>
                <w:sz w:val="20"/>
                <w:szCs w:val="20"/>
              </w:rPr>
            </w:pPr>
            <w:r>
              <w:rPr>
                <w:sz w:val="20"/>
                <w:szCs w:val="20"/>
              </w:rPr>
              <w:t>10</w:t>
            </w:r>
            <w:r w:rsidR="005E560D" w:rsidRPr="009A0348">
              <w:rPr>
                <w:sz w:val="20"/>
                <w:szCs w:val="20"/>
              </w:rPr>
              <w:t>0%</w:t>
            </w:r>
          </w:p>
        </w:tc>
        <w:tc>
          <w:tcPr>
            <w:tcW w:w="851" w:type="dxa"/>
          </w:tcPr>
          <w:p w:rsidR="00A502F7" w:rsidRPr="009A0348" w:rsidRDefault="00A502F7" w:rsidP="003E0EBB">
            <w:pPr>
              <w:jc w:val="right"/>
              <w:rPr>
                <w:sz w:val="20"/>
                <w:szCs w:val="20"/>
              </w:rPr>
            </w:pPr>
            <w:r w:rsidRPr="009A0348">
              <w:rPr>
                <w:sz w:val="20"/>
                <w:szCs w:val="20"/>
              </w:rPr>
              <w:t>1.47</w:t>
            </w:r>
          </w:p>
        </w:tc>
        <w:tc>
          <w:tcPr>
            <w:tcW w:w="992" w:type="dxa"/>
          </w:tcPr>
          <w:p w:rsidR="00A502F7" w:rsidRPr="009A0348" w:rsidRDefault="00A502F7" w:rsidP="003E0EBB">
            <w:pPr>
              <w:jc w:val="center"/>
              <w:rPr>
                <w:sz w:val="20"/>
                <w:szCs w:val="20"/>
              </w:rPr>
            </w:pPr>
            <w:r w:rsidRPr="009A0348">
              <w:rPr>
                <w:sz w:val="20"/>
                <w:szCs w:val="20"/>
              </w:rPr>
              <w:t>2</w:t>
            </w:r>
          </w:p>
        </w:tc>
        <w:tc>
          <w:tcPr>
            <w:tcW w:w="851" w:type="dxa"/>
          </w:tcPr>
          <w:p w:rsidR="00A502F7" w:rsidRPr="009A0348" w:rsidRDefault="00A502F7" w:rsidP="003E0EBB">
            <w:pPr>
              <w:jc w:val="center"/>
              <w:rPr>
                <w:sz w:val="20"/>
                <w:szCs w:val="20"/>
              </w:rPr>
            </w:pPr>
            <w:r w:rsidRPr="009A0348">
              <w:rPr>
                <w:sz w:val="20"/>
                <w:szCs w:val="20"/>
              </w:rPr>
              <w:t>0.480</w:t>
            </w:r>
          </w:p>
        </w:tc>
      </w:tr>
      <w:tr w:rsidR="00A502F7" w:rsidRPr="009A0348" w:rsidTr="00203107">
        <w:tc>
          <w:tcPr>
            <w:tcW w:w="1384" w:type="dxa"/>
          </w:tcPr>
          <w:p w:rsidR="00A502F7" w:rsidRPr="009A0348" w:rsidRDefault="00A502F7">
            <w:pPr>
              <w:rPr>
                <w:sz w:val="20"/>
                <w:szCs w:val="20"/>
              </w:rPr>
            </w:pPr>
          </w:p>
        </w:tc>
        <w:tc>
          <w:tcPr>
            <w:tcW w:w="3827" w:type="dxa"/>
          </w:tcPr>
          <w:p w:rsidR="00A502F7" w:rsidRPr="009A0348" w:rsidRDefault="00A502F7">
            <w:pPr>
              <w:rPr>
                <w:sz w:val="20"/>
                <w:szCs w:val="20"/>
              </w:rPr>
            </w:pPr>
            <w:r w:rsidRPr="009A0348">
              <w:rPr>
                <w:sz w:val="20"/>
                <w:szCs w:val="20"/>
              </w:rPr>
              <w:t>Grade/experience of PH leader</w:t>
            </w:r>
            <w:r w:rsidR="00F90345">
              <w:rPr>
                <w:sz w:val="20"/>
                <w:szCs w:val="20"/>
              </w:rPr>
              <w:t xml:space="preserve"> (from Q6i &amp; Q7)</w:t>
            </w:r>
          </w:p>
        </w:tc>
        <w:tc>
          <w:tcPr>
            <w:tcW w:w="1134" w:type="dxa"/>
          </w:tcPr>
          <w:p w:rsidR="00A502F7" w:rsidRPr="009A0348" w:rsidRDefault="005E560D" w:rsidP="00DD6DF0">
            <w:pPr>
              <w:jc w:val="center"/>
              <w:rPr>
                <w:sz w:val="20"/>
                <w:szCs w:val="20"/>
              </w:rPr>
            </w:pPr>
            <w:r w:rsidRPr="009A0348">
              <w:rPr>
                <w:sz w:val="20"/>
                <w:szCs w:val="20"/>
              </w:rPr>
              <w:t>9</w:t>
            </w:r>
            <w:r w:rsidR="00DD6DF0">
              <w:rPr>
                <w:sz w:val="20"/>
                <w:szCs w:val="20"/>
              </w:rPr>
              <w:t>7</w:t>
            </w:r>
            <w:r w:rsidRPr="009A0348">
              <w:rPr>
                <w:sz w:val="20"/>
                <w:szCs w:val="20"/>
              </w:rPr>
              <w:t>%</w:t>
            </w:r>
          </w:p>
        </w:tc>
        <w:tc>
          <w:tcPr>
            <w:tcW w:w="851" w:type="dxa"/>
          </w:tcPr>
          <w:p w:rsidR="00A502F7" w:rsidRPr="009A0348" w:rsidRDefault="00A502F7" w:rsidP="003E0EBB">
            <w:pPr>
              <w:jc w:val="right"/>
              <w:rPr>
                <w:sz w:val="20"/>
                <w:szCs w:val="20"/>
              </w:rPr>
            </w:pPr>
            <w:r w:rsidRPr="009A0348">
              <w:rPr>
                <w:sz w:val="20"/>
                <w:szCs w:val="20"/>
              </w:rPr>
              <w:t>1.17</w:t>
            </w:r>
          </w:p>
        </w:tc>
        <w:tc>
          <w:tcPr>
            <w:tcW w:w="992" w:type="dxa"/>
          </w:tcPr>
          <w:p w:rsidR="00A502F7" w:rsidRPr="009A0348" w:rsidRDefault="00A502F7" w:rsidP="003E0EBB">
            <w:pPr>
              <w:jc w:val="center"/>
              <w:rPr>
                <w:sz w:val="20"/>
                <w:szCs w:val="20"/>
              </w:rPr>
            </w:pPr>
            <w:r w:rsidRPr="009A0348">
              <w:rPr>
                <w:sz w:val="20"/>
                <w:szCs w:val="20"/>
              </w:rPr>
              <w:t>2</w:t>
            </w:r>
          </w:p>
        </w:tc>
        <w:tc>
          <w:tcPr>
            <w:tcW w:w="851" w:type="dxa"/>
          </w:tcPr>
          <w:p w:rsidR="00A502F7" w:rsidRPr="009A0348" w:rsidRDefault="00A502F7" w:rsidP="003E0EBB">
            <w:pPr>
              <w:jc w:val="center"/>
              <w:rPr>
                <w:sz w:val="20"/>
                <w:szCs w:val="20"/>
              </w:rPr>
            </w:pPr>
            <w:r w:rsidRPr="009A0348">
              <w:rPr>
                <w:sz w:val="20"/>
                <w:szCs w:val="20"/>
              </w:rPr>
              <w:t>0.556</w:t>
            </w:r>
          </w:p>
        </w:tc>
      </w:tr>
      <w:tr w:rsidR="00A502F7" w:rsidRPr="009A0348" w:rsidTr="00203107">
        <w:tc>
          <w:tcPr>
            <w:tcW w:w="1384" w:type="dxa"/>
          </w:tcPr>
          <w:p w:rsidR="00A502F7" w:rsidRPr="009A0348" w:rsidRDefault="00A502F7" w:rsidP="00E02404">
            <w:pPr>
              <w:rPr>
                <w:sz w:val="20"/>
                <w:szCs w:val="20"/>
              </w:rPr>
            </w:pPr>
          </w:p>
        </w:tc>
        <w:tc>
          <w:tcPr>
            <w:tcW w:w="3827" w:type="dxa"/>
          </w:tcPr>
          <w:p w:rsidR="00A502F7" w:rsidRPr="009A0348" w:rsidRDefault="00A502F7" w:rsidP="00DB5E49">
            <w:pPr>
              <w:rPr>
                <w:sz w:val="20"/>
                <w:szCs w:val="20"/>
              </w:rPr>
            </w:pPr>
            <w:r w:rsidRPr="009A0348">
              <w:rPr>
                <w:sz w:val="20"/>
                <w:szCs w:val="20"/>
              </w:rPr>
              <w:t>Location of PH team (distinct team, or part of other directorate, or other arrangement)</w:t>
            </w:r>
            <w:r w:rsidR="00DB5E49">
              <w:rPr>
                <w:sz w:val="20"/>
                <w:szCs w:val="20"/>
              </w:rPr>
              <w:t xml:space="preserve"> Q9</w:t>
            </w:r>
            <w:r w:rsidRPr="009A0348">
              <w:rPr>
                <w:sz w:val="20"/>
                <w:szCs w:val="20"/>
              </w:rPr>
              <w:t>*</w:t>
            </w:r>
          </w:p>
        </w:tc>
        <w:tc>
          <w:tcPr>
            <w:tcW w:w="1134" w:type="dxa"/>
          </w:tcPr>
          <w:p w:rsidR="00A502F7" w:rsidRPr="009A0348" w:rsidRDefault="005E560D" w:rsidP="00203107">
            <w:pPr>
              <w:jc w:val="center"/>
              <w:rPr>
                <w:sz w:val="20"/>
                <w:szCs w:val="20"/>
              </w:rPr>
            </w:pPr>
            <w:r w:rsidRPr="009A0348">
              <w:rPr>
                <w:sz w:val="20"/>
                <w:szCs w:val="20"/>
              </w:rPr>
              <w:t>9</w:t>
            </w:r>
            <w:r w:rsidR="00DD6DF0">
              <w:rPr>
                <w:sz w:val="20"/>
                <w:szCs w:val="20"/>
              </w:rPr>
              <w:t>4</w:t>
            </w:r>
            <w:r w:rsidRPr="009A0348">
              <w:rPr>
                <w:sz w:val="20"/>
                <w:szCs w:val="20"/>
              </w:rPr>
              <w:t>%</w:t>
            </w:r>
          </w:p>
        </w:tc>
        <w:tc>
          <w:tcPr>
            <w:tcW w:w="851" w:type="dxa"/>
          </w:tcPr>
          <w:p w:rsidR="00A502F7" w:rsidRPr="009A0348" w:rsidRDefault="00A502F7" w:rsidP="003E0EBB">
            <w:pPr>
              <w:jc w:val="right"/>
              <w:rPr>
                <w:sz w:val="20"/>
                <w:szCs w:val="20"/>
              </w:rPr>
            </w:pPr>
            <w:r w:rsidRPr="009A0348">
              <w:rPr>
                <w:sz w:val="20"/>
                <w:szCs w:val="20"/>
              </w:rPr>
              <w:t>5.83</w:t>
            </w:r>
          </w:p>
        </w:tc>
        <w:tc>
          <w:tcPr>
            <w:tcW w:w="992" w:type="dxa"/>
          </w:tcPr>
          <w:p w:rsidR="00A502F7" w:rsidRPr="009A0348" w:rsidRDefault="00A502F7" w:rsidP="003E0EBB">
            <w:pPr>
              <w:jc w:val="center"/>
              <w:rPr>
                <w:sz w:val="20"/>
                <w:szCs w:val="20"/>
              </w:rPr>
            </w:pPr>
            <w:r w:rsidRPr="009A0348">
              <w:rPr>
                <w:sz w:val="20"/>
                <w:szCs w:val="20"/>
              </w:rPr>
              <w:t>4</w:t>
            </w:r>
          </w:p>
        </w:tc>
        <w:tc>
          <w:tcPr>
            <w:tcW w:w="851" w:type="dxa"/>
          </w:tcPr>
          <w:p w:rsidR="00A502F7" w:rsidRPr="009A0348" w:rsidRDefault="00A502F7" w:rsidP="003E0EBB">
            <w:pPr>
              <w:jc w:val="center"/>
              <w:rPr>
                <w:sz w:val="20"/>
                <w:szCs w:val="20"/>
              </w:rPr>
            </w:pPr>
            <w:r w:rsidRPr="009A0348">
              <w:rPr>
                <w:sz w:val="20"/>
                <w:szCs w:val="20"/>
              </w:rPr>
              <w:t>0.213</w:t>
            </w:r>
          </w:p>
        </w:tc>
      </w:tr>
      <w:tr w:rsidR="00A502F7" w:rsidRPr="009A0348" w:rsidTr="00203107">
        <w:tc>
          <w:tcPr>
            <w:tcW w:w="1384" w:type="dxa"/>
          </w:tcPr>
          <w:p w:rsidR="00A502F7" w:rsidRPr="009A0348" w:rsidRDefault="00A502F7">
            <w:pPr>
              <w:rPr>
                <w:sz w:val="20"/>
                <w:szCs w:val="20"/>
              </w:rPr>
            </w:pPr>
          </w:p>
        </w:tc>
        <w:tc>
          <w:tcPr>
            <w:tcW w:w="3827" w:type="dxa"/>
          </w:tcPr>
          <w:p w:rsidR="00A502F7" w:rsidRPr="009A0348" w:rsidRDefault="00A502F7" w:rsidP="00DC374C">
            <w:pPr>
              <w:rPr>
                <w:sz w:val="20"/>
                <w:szCs w:val="20"/>
              </w:rPr>
            </w:pPr>
            <w:r w:rsidRPr="009A0348">
              <w:rPr>
                <w:sz w:val="20"/>
                <w:szCs w:val="20"/>
              </w:rPr>
              <w:t>Managerial responsibility for PH leader</w:t>
            </w:r>
            <w:r w:rsidR="00DB5E49">
              <w:rPr>
                <w:sz w:val="20"/>
                <w:szCs w:val="20"/>
              </w:rPr>
              <w:t xml:space="preserve"> Q11</w:t>
            </w:r>
          </w:p>
        </w:tc>
        <w:tc>
          <w:tcPr>
            <w:tcW w:w="1134" w:type="dxa"/>
          </w:tcPr>
          <w:p w:rsidR="00A502F7" w:rsidRPr="009A0348" w:rsidRDefault="005E560D" w:rsidP="00DD6DF0">
            <w:pPr>
              <w:jc w:val="center"/>
              <w:rPr>
                <w:sz w:val="20"/>
                <w:szCs w:val="20"/>
              </w:rPr>
            </w:pPr>
            <w:r w:rsidRPr="009A0348">
              <w:rPr>
                <w:sz w:val="20"/>
                <w:szCs w:val="20"/>
              </w:rPr>
              <w:t>9</w:t>
            </w:r>
            <w:r w:rsidR="00DD6DF0">
              <w:rPr>
                <w:sz w:val="20"/>
                <w:szCs w:val="20"/>
              </w:rPr>
              <w:t>5</w:t>
            </w:r>
            <w:r w:rsidRPr="009A0348">
              <w:rPr>
                <w:sz w:val="20"/>
                <w:szCs w:val="20"/>
              </w:rPr>
              <w:t>%</w:t>
            </w:r>
          </w:p>
        </w:tc>
        <w:tc>
          <w:tcPr>
            <w:tcW w:w="851" w:type="dxa"/>
          </w:tcPr>
          <w:p w:rsidR="00A502F7" w:rsidRPr="009A0348" w:rsidRDefault="00A502F7" w:rsidP="003E0EBB">
            <w:pPr>
              <w:jc w:val="right"/>
              <w:rPr>
                <w:sz w:val="20"/>
                <w:szCs w:val="20"/>
              </w:rPr>
            </w:pPr>
            <w:r w:rsidRPr="009A0348">
              <w:rPr>
                <w:sz w:val="20"/>
                <w:szCs w:val="20"/>
              </w:rPr>
              <w:t>11.02</w:t>
            </w:r>
          </w:p>
        </w:tc>
        <w:tc>
          <w:tcPr>
            <w:tcW w:w="992" w:type="dxa"/>
          </w:tcPr>
          <w:p w:rsidR="00A502F7" w:rsidRPr="009A0348" w:rsidRDefault="00A502F7" w:rsidP="003E0EBB">
            <w:pPr>
              <w:jc w:val="center"/>
              <w:rPr>
                <w:sz w:val="20"/>
                <w:szCs w:val="20"/>
              </w:rPr>
            </w:pPr>
            <w:r w:rsidRPr="009A0348">
              <w:rPr>
                <w:sz w:val="20"/>
                <w:szCs w:val="20"/>
              </w:rPr>
              <w:t>4</w:t>
            </w:r>
          </w:p>
        </w:tc>
        <w:tc>
          <w:tcPr>
            <w:tcW w:w="851" w:type="dxa"/>
          </w:tcPr>
          <w:p w:rsidR="00A502F7" w:rsidRPr="009A0348" w:rsidRDefault="00A502F7" w:rsidP="003E0EBB">
            <w:pPr>
              <w:jc w:val="center"/>
              <w:rPr>
                <w:sz w:val="20"/>
                <w:szCs w:val="20"/>
              </w:rPr>
            </w:pPr>
            <w:r w:rsidRPr="009A0348">
              <w:rPr>
                <w:sz w:val="20"/>
                <w:szCs w:val="20"/>
              </w:rPr>
              <w:t>0.026</w:t>
            </w:r>
          </w:p>
        </w:tc>
      </w:tr>
      <w:tr w:rsidR="00A502F7" w:rsidRPr="009A0348" w:rsidTr="00203107">
        <w:tc>
          <w:tcPr>
            <w:tcW w:w="1384" w:type="dxa"/>
          </w:tcPr>
          <w:p w:rsidR="00A502F7" w:rsidRPr="009A0348" w:rsidRDefault="00A502F7" w:rsidP="00E02404">
            <w:pPr>
              <w:rPr>
                <w:sz w:val="20"/>
                <w:szCs w:val="20"/>
              </w:rPr>
            </w:pPr>
          </w:p>
        </w:tc>
        <w:tc>
          <w:tcPr>
            <w:tcW w:w="3827" w:type="dxa"/>
          </w:tcPr>
          <w:p w:rsidR="00A502F7" w:rsidRPr="009A0348" w:rsidRDefault="00A502F7" w:rsidP="00E02404">
            <w:pPr>
              <w:rPr>
                <w:sz w:val="20"/>
                <w:szCs w:val="20"/>
              </w:rPr>
            </w:pPr>
            <w:r w:rsidRPr="009A0348">
              <w:rPr>
                <w:sz w:val="20"/>
                <w:szCs w:val="20"/>
              </w:rPr>
              <w:t>PH team - good relationships (yes definitely, or not really/to some extent)</w:t>
            </w:r>
            <w:r w:rsidR="00DB5E49">
              <w:rPr>
                <w:sz w:val="20"/>
                <w:szCs w:val="20"/>
              </w:rPr>
              <w:t xml:space="preserve"> Q17i</w:t>
            </w:r>
          </w:p>
        </w:tc>
        <w:tc>
          <w:tcPr>
            <w:tcW w:w="1134" w:type="dxa"/>
          </w:tcPr>
          <w:p w:rsidR="00A502F7" w:rsidRPr="009A0348" w:rsidRDefault="005E560D" w:rsidP="00203107">
            <w:pPr>
              <w:jc w:val="center"/>
              <w:rPr>
                <w:sz w:val="20"/>
                <w:szCs w:val="20"/>
              </w:rPr>
            </w:pPr>
            <w:r w:rsidRPr="009A0348">
              <w:rPr>
                <w:sz w:val="20"/>
                <w:szCs w:val="20"/>
              </w:rPr>
              <w:t>90%</w:t>
            </w:r>
          </w:p>
        </w:tc>
        <w:tc>
          <w:tcPr>
            <w:tcW w:w="851" w:type="dxa"/>
          </w:tcPr>
          <w:p w:rsidR="00A502F7" w:rsidRPr="009A0348" w:rsidRDefault="00A502F7" w:rsidP="003E0EBB">
            <w:pPr>
              <w:jc w:val="right"/>
              <w:rPr>
                <w:sz w:val="20"/>
                <w:szCs w:val="20"/>
              </w:rPr>
            </w:pPr>
            <w:r w:rsidRPr="009A0348">
              <w:rPr>
                <w:sz w:val="20"/>
                <w:szCs w:val="20"/>
              </w:rPr>
              <w:t>21.78</w:t>
            </w:r>
          </w:p>
        </w:tc>
        <w:tc>
          <w:tcPr>
            <w:tcW w:w="992" w:type="dxa"/>
          </w:tcPr>
          <w:p w:rsidR="00A502F7" w:rsidRPr="009A0348" w:rsidRDefault="00A502F7" w:rsidP="003E0EBB">
            <w:pPr>
              <w:jc w:val="center"/>
              <w:rPr>
                <w:sz w:val="20"/>
                <w:szCs w:val="20"/>
              </w:rPr>
            </w:pPr>
            <w:r w:rsidRPr="009A0348">
              <w:rPr>
                <w:sz w:val="20"/>
                <w:szCs w:val="20"/>
              </w:rPr>
              <w:t>2</w:t>
            </w:r>
          </w:p>
        </w:tc>
        <w:tc>
          <w:tcPr>
            <w:tcW w:w="851" w:type="dxa"/>
          </w:tcPr>
          <w:p w:rsidR="00A502F7" w:rsidRPr="009A0348" w:rsidRDefault="00A502F7" w:rsidP="003E0EBB">
            <w:pPr>
              <w:jc w:val="center"/>
              <w:rPr>
                <w:sz w:val="20"/>
                <w:szCs w:val="20"/>
              </w:rPr>
            </w:pPr>
            <w:r w:rsidRPr="009A0348">
              <w:rPr>
                <w:sz w:val="20"/>
                <w:szCs w:val="20"/>
              </w:rPr>
              <w:t>0.000</w:t>
            </w:r>
          </w:p>
        </w:tc>
      </w:tr>
      <w:tr w:rsidR="00A502F7" w:rsidRPr="009A0348" w:rsidTr="00203107">
        <w:tc>
          <w:tcPr>
            <w:tcW w:w="1384" w:type="dxa"/>
          </w:tcPr>
          <w:p w:rsidR="00A502F7" w:rsidRPr="009A0348" w:rsidRDefault="00A502F7">
            <w:pPr>
              <w:rPr>
                <w:sz w:val="20"/>
                <w:szCs w:val="20"/>
              </w:rPr>
            </w:pPr>
          </w:p>
        </w:tc>
        <w:tc>
          <w:tcPr>
            <w:tcW w:w="3827" w:type="dxa"/>
          </w:tcPr>
          <w:p w:rsidR="00A502F7" w:rsidRPr="009A0348" w:rsidRDefault="00A502F7" w:rsidP="00DC374C">
            <w:pPr>
              <w:rPr>
                <w:sz w:val="20"/>
                <w:szCs w:val="20"/>
              </w:rPr>
            </w:pPr>
            <w:r w:rsidRPr="009A0348">
              <w:rPr>
                <w:sz w:val="20"/>
                <w:szCs w:val="20"/>
              </w:rPr>
              <w:t xml:space="preserve">PH team </w:t>
            </w:r>
            <w:r w:rsidR="00DB5E49">
              <w:rPr>
                <w:sz w:val="20"/>
                <w:szCs w:val="20"/>
              </w:rPr>
              <w:t>–</w:t>
            </w:r>
            <w:r w:rsidRPr="009A0348">
              <w:rPr>
                <w:sz w:val="20"/>
                <w:szCs w:val="20"/>
              </w:rPr>
              <w:t xml:space="preserve"> valued</w:t>
            </w:r>
            <w:r w:rsidR="00DB5E49">
              <w:rPr>
                <w:sz w:val="20"/>
                <w:szCs w:val="20"/>
              </w:rPr>
              <w:t xml:space="preserve"> Q17ii</w:t>
            </w:r>
          </w:p>
        </w:tc>
        <w:tc>
          <w:tcPr>
            <w:tcW w:w="1134" w:type="dxa"/>
          </w:tcPr>
          <w:p w:rsidR="00A502F7" w:rsidRPr="009A0348" w:rsidRDefault="00DD6DF0" w:rsidP="00DD6DF0">
            <w:pPr>
              <w:jc w:val="center"/>
              <w:rPr>
                <w:sz w:val="20"/>
                <w:szCs w:val="20"/>
              </w:rPr>
            </w:pPr>
            <w:r>
              <w:rPr>
                <w:sz w:val="20"/>
                <w:szCs w:val="20"/>
              </w:rPr>
              <w:t>88</w:t>
            </w:r>
            <w:r w:rsidR="005E560D" w:rsidRPr="009A0348">
              <w:rPr>
                <w:sz w:val="20"/>
                <w:szCs w:val="20"/>
              </w:rPr>
              <w:t>%</w:t>
            </w:r>
          </w:p>
        </w:tc>
        <w:tc>
          <w:tcPr>
            <w:tcW w:w="851" w:type="dxa"/>
          </w:tcPr>
          <w:p w:rsidR="00A502F7" w:rsidRPr="009A0348" w:rsidRDefault="00A502F7" w:rsidP="003E0EBB">
            <w:pPr>
              <w:jc w:val="right"/>
              <w:rPr>
                <w:sz w:val="20"/>
                <w:szCs w:val="20"/>
              </w:rPr>
            </w:pPr>
            <w:r w:rsidRPr="009A0348">
              <w:rPr>
                <w:sz w:val="20"/>
                <w:szCs w:val="20"/>
              </w:rPr>
              <w:t>6.27</w:t>
            </w:r>
          </w:p>
        </w:tc>
        <w:tc>
          <w:tcPr>
            <w:tcW w:w="992" w:type="dxa"/>
          </w:tcPr>
          <w:p w:rsidR="00A502F7" w:rsidRPr="009A0348" w:rsidRDefault="00A502F7" w:rsidP="003E0EBB">
            <w:pPr>
              <w:jc w:val="center"/>
              <w:rPr>
                <w:sz w:val="20"/>
                <w:szCs w:val="20"/>
              </w:rPr>
            </w:pPr>
            <w:r w:rsidRPr="009A0348">
              <w:rPr>
                <w:sz w:val="20"/>
                <w:szCs w:val="20"/>
              </w:rPr>
              <w:t>2</w:t>
            </w:r>
          </w:p>
        </w:tc>
        <w:tc>
          <w:tcPr>
            <w:tcW w:w="851" w:type="dxa"/>
          </w:tcPr>
          <w:p w:rsidR="00A502F7" w:rsidRPr="009A0348" w:rsidRDefault="00A502F7" w:rsidP="003E0EBB">
            <w:pPr>
              <w:jc w:val="center"/>
              <w:rPr>
                <w:sz w:val="20"/>
                <w:szCs w:val="20"/>
              </w:rPr>
            </w:pPr>
            <w:r w:rsidRPr="009A0348">
              <w:rPr>
                <w:sz w:val="20"/>
                <w:szCs w:val="20"/>
              </w:rPr>
              <w:t>0.043</w:t>
            </w:r>
          </w:p>
        </w:tc>
      </w:tr>
      <w:tr w:rsidR="00A502F7" w:rsidRPr="009A0348" w:rsidTr="00203107">
        <w:tc>
          <w:tcPr>
            <w:tcW w:w="1384" w:type="dxa"/>
          </w:tcPr>
          <w:p w:rsidR="00A502F7" w:rsidRPr="009A0348" w:rsidRDefault="00A502F7" w:rsidP="00A34FFE">
            <w:pPr>
              <w:rPr>
                <w:sz w:val="20"/>
                <w:szCs w:val="20"/>
              </w:rPr>
            </w:pPr>
          </w:p>
        </w:tc>
        <w:tc>
          <w:tcPr>
            <w:tcW w:w="3827" w:type="dxa"/>
          </w:tcPr>
          <w:p w:rsidR="00A502F7" w:rsidRPr="009A0348" w:rsidRDefault="00A502F7" w:rsidP="00DC374C">
            <w:pPr>
              <w:rPr>
                <w:sz w:val="20"/>
                <w:szCs w:val="20"/>
              </w:rPr>
            </w:pPr>
            <w:r w:rsidRPr="009A0348">
              <w:rPr>
                <w:sz w:val="20"/>
                <w:szCs w:val="20"/>
              </w:rPr>
              <w:t>PH team – others know what they offer</w:t>
            </w:r>
            <w:r w:rsidR="00DB5E49">
              <w:rPr>
                <w:sz w:val="20"/>
                <w:szCs w:val="20"/>
              </w:rPr>
              <w:t xml:space="preserve"> Q17iii</w:t>
            </w:r>
          </w:p>
        </w:tc>
        <w:tc>
          <w:tcPr>
            <w:tcW w:w="1134" w:type="dxa"/>
          </w:tcPr>
          <w:p w:rsidR="00A502F7" w:rsidRPr="009A0348" w:rsidRDefault="00DD6DF0" w:rsidP="00DD6DF0">
            <w:pPr>
              <w:jc w:val="center"/>
              <w:rPr>
                <w:sz w:val="20"/>
                <w:szCs w:val="20"/>
              </w:rPr>
            </w:pPr>
            <w:r>
              <w:rPr>
                <w:sz w:val="20"/>
                <w:szCs w:val="20"/>
              </w:rPr>
              <w:t>8</w:t>
            </w:r>
            <w:r w:rsidR="005E560D" w:rsidRPr="009A0348">
              <w:rPr>
                <w:sz w:val="20"/>
                <w:szCs w:val="20"/>
              </w:rPr>
              <w:t>9%</w:t>
            </w:r>
          </w:p>
        </w:tc>
        <w:tc>
          <w:tcPr>
            <w:tcW w:w="851" w:type="dxa"/>
          </w:tcPr>
          <w:p w:rsidR="00A502F7" w:rsidRPr="009A0348" w:rsidRDefault="00A502F7" w:rsidP="003E0EBB">
            <w:pPr>
              <w:jc w:val="right"/>
              <w:rPr>
                <w:sz w:val="20"/>
                <w:szCs w:val="20"/>
              </w:rPr>
            </w:pPr>
            <w:r w:rsidRPr="009A0348">
              <w:rPr>
                <w:sz w:val="20"/>
                <w:szCs w:val="20"/>
              </w:rPr>
              <w:t>5.44</w:t>
            </w:r>
          </w:p>
        </w:tc>
        <w:tc>
          <w:tcPr>
            <w:tcW w:w="992" w:type="dxa"/>
          </w:tcPr>
          <w:p w:rsidR="00A502F7" w:rsidRPr="009A0348" w:rsidRDefault="00A502F7" w:rsidP="003E0EBB">
            <w:pPr>
              <w:jc w:val="center"/>
              <w:rPr>
                <w:sz w:val="20"/>
                <w:szCs w:val="20"/>
              </w:rPr>
            </w:pPr>
            <w:r w:rsidRPr="009A0348">
              <w:rPr>
                <w:sz w:val="20"/>
                <w:szCs w:val="20"/>
              </w:rPr>
              <w:t>2</w:t>
            </w:r>
          </w:p>
        </w:tc>
        <w:tc>
          <w:tcPr>
            <w:tcW w:w="851" w:type="dxa"/>
          </w:tcPr>
          <w:p w:rsidR="00A502F7" w:rsidRPr="009A0348" w:rsidRDefault="00A502F7" w:rsidP="003E0EBB">
            <w:pPr>
              <w:jc w:val="center"/>
              <w:rPr>
                <w:sz w:val="20"/>
                <w:szCs w:val="20"/>
              </w:rPr>
            </w:pPr>
            <w:r w:rsidRPr="009A0348">
              <w:rPr>
                <w:sz w:val="20"/>
                <w:szCs w:val="20"/>
              </w:rPr>
              <w:t>0.066</w:t>
            </w:r>
          </w:p>
        </w:tc>
      </w:tr>
      <w:tr w:rsidR="00A502F7" w:rsidRPr="009A0348" w:rsidTr="00203107">
        <w:tc>
          <w:tcPr>
            <w:tcW w:w="1384" w:type="dxa"/>
          </w:tcPr>
          <w:p w:rsidR="00A502F7" w:rsidRPr="009A0348" w:rsidRDefault="00A502F7" w:rsidP="00A34FFE">
            <w:pPr>
              <w:rPr>
                <w:sz w:val="20"/>
                <w:szCs w:val="20"/>
              </w:rPr>
            </w:pPr>
          </w:p>
        </w:tc>
        <w:tc>
          <w:tcPr>
            <w:tcW w:w="3827" w:type="dxa"/>
          </w:tcPr>
          <w:p w:rsidR="00A502F7" w:rsidRPr="009A0348" w:rsidRDefault="00A502F7" w:rsidP="00DC374C">
            <w:pPr>
              <w:rPr>
                <w:sz w:val="20"/>
                <w:szCs w:val="20"/>
              </w:rPr>
            </w:pPr>
            <w:r w:rsidRPr="009A0348">
              <w:rPr>
                <w:sz w:val="20"/>
                <w:szCs w:val="20"/>
              </w:rPr>
              <w:t>PH team - asked for advice</w:t>
            </w:r>
            <w:r w:rsidR="00DB5E49">
              <w:rPr>
                <w:sz w:val="20"/>
                <w:szCs w:val="20"/>
              </w:rPr>
              <w:t xml:space="preserve"> Q17iv</w:t>
            </w:r>
          </w:p>
        </w:tc>
        <w:tc>
          <w:tcPr>
            <w:tcW w:w="1134" w:type="dxa"/>
          </w:tcPr>
          <w:p w:rsidR="00A502F7" w:rsidRPr="009A0348" w:rsidRDefault="005E560D" w:rsidP="00203107">
            <w:pPr>
              <w:jc w:val="center"/>
              <w:rPr>
                <w:sz w:val="20"/>
                <w:szCs w:val="20"/>
              </w:rPr>
            </w:pPr>
            <w:r w:rsidRPr="009A0348">
              <w:rPr>
                <w:sz w:val="20"/>
                <w:szCs w:val="20"/>
              </w:rPr>
              <w:t>90%</w:t>
            </w:r>
          </w:p>
        </w:tc>
        <w:tc>
          <w:tcPr>
            <w:tcW w:w="851" w:type="dxa"/>
          </w:tcPr>
          <w:p w:rsidR="00A502F7" w:rsidRPr="009A0348" w:rsidRDefault="00A502F7" w:rsidP="003E0EBB">
            <w:pPr>
              <w:jc w:val="right"/>
              <w:rPr>
                <w:sz w:val="20"/>
                <w:szCs w:val="20"/>
              </w:rPr>
            </w:pPr>
            <w:r w:rsidRPr="009A0348">
              <w:rPr>
                <w:sz w:val="20"/>
                <w:szCs w:val="20"/>
              </w:rPr>
              <w:t>9.87</w:t>
            </w:r>
          </w:p>
        </w:tc>
        <w:tc>
          <w:tcPr>
            <w:tcW w:w="992" w:type="dxa"/>
          </w:tcPr>
          <w:p w:rsidR="00A502F7" w:rsidRPr="009A0348" w:rsidRDefault="00A502F7" w:rsidP="003E0EBB">
            <w:pPr>
              <w:jc w:val="center"/>
              <w:rPr>
                <w:sz w:val="20"/>
                <w:szCs w:val="20"/>
              </w:rPr>
            </w:pPr>
            <w:r w:rsidRPr="009A0348">
              <w:rPr>
                <w:sz w:val="20"/>
                <w:szCs w:val="20"/>
              </w:rPr>
              <w:t>2</w:t>
            </w:r>
          </w:p>
        </w:tc>
        <w:tc>
          <w:tcPr>
            <w:tcW w:w="851" w:type="dxa"/>
          </w:tcPr>
          <w:p w:rsidR="00A502F7" w:rsidRPr="009A0348" w:rsidRDefault="00A502F7" w:rsidP="003E0EBB">
            <w:pPr>
              <w:jc w:val="center"/>
              <w:rPr>
                <w:sz w:val="20"/>
                <w:szCs w:val="20"/>
              </w:rPr>
            </w:pPr>
            <w:r w:rsidRPr="009A0348">
              <w:rPr>
                <w:sz w:val="20"/>
                <w:szCs w:val="20"/>
              </w:rPr>
              <w:t>0.007</w:t>
            </w:r>
          </w:p>
        </w:tc>
      </w:tr>
      <w:tr w:rsidR="00A502F7" w:rsidRPr="009A0348" w:rsidTr="00203107">
        <w:tc>
          <w:tcPr>
            <w:tcW w:w="1384" w:type="dxa"/>
          </w:tcPr>
          <w:p w:rsidR="00A502F7" w:rsidRPr="009A0348" w:rsidRDefault="00A502F7" w:rsidP="00A34FFE">
            <w:pPr>
              <w:rPr>
                <w:sz w:val="20"/>
                <w:szCs w:val="20"/>
              </w:rPr>
            </w:pPr>
          </w:p>
        </w:tc>
        <w:tc>
          <w:tcPr>
            <w:tcW w:w="3827" w:type="dxa"/>
          </w:tcPr>
          <w:p w:rsidR="00A502F7" w:rsidRPr="009A0348" w:rsidRDefault="00A502F7" w:rsidP="00DC374C">
            <w:pPr>
              <w:rPr>
                <w:sz w:val="20"/>
                <w:szCs w:val="20"/>
              </w:rPr>
            </w:pPr>
            <w:r w:rsidRPr="009A0348">
              <w:rPr>
                <w:sz w:val="20"/>
                <w:szCs w:val="20"/>
              </w:rPr>
              <w:t>PH team – advice trusted</w:t>
            </w:r>
            <w:r w:rsidR="00DB5E49">
              <w:rPr>
                <w:sz w:val="20"/>
                <w:szCs w:val="20"/>
              </w:rPr>
              <w:t xml:space="preserve"> Q17v</w:t>
            </w:r>
          </w:p>
        </w:tc>
        <w:tc>
          <w:tcPr>
            <w:tcW w:w="1134" w:type="dxa"/>
          </w:tcPr>
          <w:p w:rsidR="00A502F7" w:rsidRPr="009A0348" w:rsidRDefault="00DD6DF0" w:rsidP="00DD6DF0">
            <w:pPr>
              <w:jc w:val="center"/>
              <w:rPr>
                <w:sz w:val="20"/>
                <w:szCs w:val="20"/>
              </w:rPr>
            </w:pPr>
            <w:r>
              <w:rPr>
                <w:sz w:val="20"/>
                <w:szCs w:val="20"/>
              </w:rPr>
              <w:t>83</w:t>
            </w:r>
            <w:r w:rsidR="005E560D" w:rsidRPr="009A0348">
              <w:rPr>
                <w:sz w:val="20"/>
                <w:szCs w:val="20"/>
              </w:rPr>
              <w:t>%</w:t>
            </w:r>
          </w:p>
        </w:tc>
        <w:tc>
          <w:tcPr>
            <w:tcW w:w="851" w:type="dxa"/>
          </w:tcPr>
          <w:p w:rsidR="00A502F7" w:rsidRPr="009A0348" w:rsidRDefault="00A502F7" w:rsidP="003E0EBB">
            <w:pPr>
              <w:jc w:val="right"/>
              <w:rPr>
                <w:sz w:val="20"/>
                <w:szCs w:val="20"/>
              </w:rPr>
            </w:pPr>
            <w:r w:rsidRPr="009A0348">
              <w:rPr>
                <w:sz w:val="20"/>
                <w:szCs w:val="20"/>
              </w:rPr>
              <w:t>10.28</w:t>
            </w:r>
          </w:p>
        </w:tc>
        <w:tc>
          <w:tcPr>
            <w:tcW w:w="992" w:type="dxa"/>
          </w:tcPr>
          <w:p w:rsidR="00A502F7" w:rsidRPr="009A0348" w:rsidRDefault="00A502F7" w:rsidP="003E0EBB">
            <w:pPr>
              <w:jc w:val="center"/>
              <w:rPr>
                <w:sz w:val="20"/>
                <w:szCs w:val="20"/>
              </w:rPr>
            </w:pPr>
            <w:r w:rsidRPr="009A0348">
              <w:rPr>
                <w:sz w:val="20"/>
                <w:szCs w:val="20"/>
              </w:rPr>
              <w:t>2</w:t>
            </w:r>
          </w:p>
        </w:tc>
        <w:tc>
          <w:tcPr>
            <w:tcW w:w="851" w:type="dxa"/>
          </w:tcPr>
          <w:p w:rsidR="00A502F7" w:rsidRPr="009A0348" w:rsidRDefault="00A502F7" w:rsidP="003E0EBB">
            <w:pPr>
              <w:jc w:val="center"/>
              <w:rPr>
                <w:sz w:val="20"/>
                <w:szCs w:val="20"/>
              </w:rPr>
            </w:pPr>
            <w:r w:rsidRPr="009A0348">
              <w:rPr>
                <w:sz w:val="20"/>
                <w:szCs w:val="20"/>
              </w:rPr>
              <w:t>0.006</w:t>
            </w:r>
          </w:p>
        </w:tc>
      </w:tr>
      <w:tr w:rsidR="00A502F7" w:rsidRPr="009A0348" w:rsidTr="00203107">
        <w:tc>
          <w:tcPr>
            <w:tcW w:w="1384" w:type="dxa"/>
          </w:tcPr>
          <w:p w:rsidR="00A502F7" w:rsidRPr="009A0348" w:rsidRDefault="00A502F7" w:rsidP="00A34FFE">
            <w:pPr>
              <w:rPr>
                <w:sz w:val="20"/>
                <w:szCs w:val="20"/>
              </w:rPr>
            </w:pPr>
          </w:p>
        </w:tc>
        <w:tc>
          <w:tcPr>
            <w:tcW w:w="3827" w:type="dxa"/>
          </w:tcPr>
          <w:p w:rsidR="00A502F7" w:rsidRPr="009A0348" w:rsidRDefault="00A502F7" w:rsidP="00DB5E49">
            <w:pPr>
              <w:rPr>
                <w:sz w:val="20"/>
                <w:szCs w:val="20"/>
              </w:rPr>
            </w:pPr>
            <w:r w:rsidRPr="009A0348">
              <w:rPr>
                <w:sz w:val="20"/>
                <w:szCs w:val="20"/>
              </w:rPr>
              <w:t>Requirement for other departments to collaborate with PH</w:t>
            </w:r>
            <w:r w:rsidR="00DB5E49">
              <w:rPr>
                <w:sz w:val="20"/>
                <w:szCs w:val="20"/>
              </w:rPr>
              <w:t xml:space="preserve"> Q23</w:t>
            </w:r>
          </w:p>
        </w:tc>
        <w:tc>
          <w:tcPr>
            <w:tcW w:w="1134" w:type="dxa"/>
          </w:tcPr>
          <w:p w:rsidR="00A502F7" w:rsidRPr="009A0348" w:rsidRDefault="005E560D" w:rsidP="00203107">
            <w:pPr>
              <w:jc w:val="center"/>
              <w:rPr>
                <w:sz w:val="20"/>
                <w:szCs w:val="20"/>
              </w:rPr>
            </w:pPr>
            <w:r w:rsidRPr="009A0348">
              <w:rPr>
                <w:sz w:val="20"/>
                <w:szCs w:val="20"/>
              </w:rPr>
              <w:t>89%</w:t>
            </w:r>
          </w:p>
        </w:tc>
        <w:tc>
          <w:tcPr>
            <w:tcW w:w="851" w:type="dxa"/>
          </w:tcPr>
          <w:p w:rsidR="00A502F7" w:rsidRPr="009A0348" w:rsidRDefault="00A502F7" w:rsidP="003E0EBB">
            <w:pPr>
              <w:jc w:val="right"/>
              <w:rPr>
                <w:sz w:val="20"/>
                <w:szCs w:val="20"/>
              </w:rPr>
            </w:pPr>
            <w:r w:rsidRPr="009A0348">
              <w:rPr>
                <w:sz w:val="20"/>
                <w:szCs w:val="20"/>
              </w:rPr>
              <w:t>9.82</w:t>
            </w:r>
          </w:p>
        </w:tc>
        <w:tc>
          <w:tcPr>
            <w:tcW w:w="992" w:type="dxa"/>
          </w:tcPr>
          <w:p w:rsidR="00A502F7" w:rsidRPr="009A0348" w:rsidRDefault="00A502F7" w:rsidP="003E0EBB">
            <w:pPr>
              <w:jc w:val="center"/>
              <w:rPr>
                <w:sz w:val="20"/>
                <w:szCs w:val="20"/>
              </w:rPr>
            </w:pPr>
            <w:r w:rsidRPr="009A0348">
              <w:rPr>
                <w:sz w:val="20"/>
                <w:szCs w:val="20"/>
              </w:rPr>
              <w:t>4</w:t>
            </w:r>
          </w:p>
        </w:tc>
        <w:tc>
          <w:tcPr>
            <w:tcW w:w="851" w:type="dxa"/>
          </w:tcPr>
          <w:p w:rsidR="00A502F7" w:rsidRPr="009A0348" w:rsidRDefault="00A502F7" w:rsidP="003E0EBB">
            <w:pPr>
              <w:jc w:val="center"/>
              <w:rPr>
                <w:sz w:val="20"/>
                <w:szCs w:val="20"/>
              </w:rPr>
            </w:pPr>
            <w:r w:rsidRPr="009A0348">
              <w:rPr>
                <w:sz w:val="20"/>
                <w:szCs w:val="20"/>
              </w:rPr>
              <w:t>0.044</w:t>
            </w:r>
          </w:p>
        </w:tc>
      </w:tr>
      <w:tr w:rsidR="00A502F7" w:rsidRPr="009A0348" w:rsidTr="00203107">
        <w:tc>
          <w:tcPr>
            <w:tcW w:w="1384" w:type="dxa"/>
          </w:tcPr>
          <w:p w:rsidR="00A502F7" w:rsidRPr="009A0348" w:rsidRDefault="00A502F7" w:rsidP="00A34FFE">
            <w:pPr>
              <w:rPr>
                <w:sz w:val="20"/>
                <w:szCs w:val="20"/>
              </w:rPr>
            </w:pPr>
          </w:p>
        </w:tc>
        <w:tc>
          <w:tcPr>
            <w:tcW w:w="3827" w:type="dxa"/>
          </w:tcPr>
          <w:p w:rsidR="00A502F7" w:rsidRPr="009A0348" w:rsidRDefault="00A502F7" w:rsidP="00A34FFE">
            <w:pPr>
              <w:rPr>
                <w:sz w:val="20"/>
                <w:szCs w:val="20"/>
              </w:rPr>
            </w:pPr>
            <w:r w:rsidRPr="009A0348">
              <w:rPr>
                <w:sz w:val="20"/>
                <w:szCs w:val="20"/>
              </w:rPr>
              <w:t>Who authorises expenditure (DPH alone, or DPH with others, or others (excluding DPH))</w:t>
            </w:r>
            <w:r w:rsidR="00DB5E49">
              <w:rPr>
                <w:sz w:val="20"/>
                <w:szCs w:val="20"/>
              </w:rPr>
              <w:t xml:space="preserve"> Q27</w:t>
            </w:r>
          </w:p>
        </w:tc>
        <w:tc>
          <w:tcPr>
            <w:tcW w:w="1134" w:type="dxa"/>
          </w:tcPr>
          <w:p w:rsidR="00A502F7" w:rsidRPr="009A0348" w:rsidRDefault="005E560D" w:rsidP="00203107">
            <w:pPr>
              <w:jc w:val="center"/>
              <w:rPr>
                <w:sz w:val="20"/>
                <w:szCs w:val="20"/>
              </w:rPr>
            </w:pPr>
            <w:r w:rsidRPr="009A0348">
              <w:rPr>
                <w:sz w:val="20"/>
                <w:szCs w:val="20"/>
              </w:rPr>
              <w:t>89%</w:t>
            </w:r>
          </w:p>
        </w:tc>
        <w:tc>
          <w:tcPr>
            <w:tcW w:w="851" w:type="dxa"/>
          </w:tcPr>
          <w:p w:rsidR="00A502F7" w:rsidRPr="009A0348" w:rsidRDefault="00A502F7" w:rsidP="003E0EBB">
            <w:pPr>
              <w:jc w:val="right"/>
              <w:rPr>
                <w:sz w:val="20"/>
                <w:szCs w:val="20"/>
              </w:rPr>
            </w:pPr>
            <w:r w:rsidRPr="009A0348">
              <w:rPr>
                <w:sz w:val="20"/>
                <w:szCs w:val="20"/>
              </w:rPr>
              <w:t>6.12</w:t>
            </w:r>
          </w:p>
        </w:tc>
        <w:tc>
          <w:tcPr>
            <w:tcW w:w="992" w:type="dxa"/>
          </w:tcPr>
          <w:p w:rsidR="00A502F7" w:rsidRPr="009A0348" w:rsidRDefault="00A502F7" w:rsidP="003E0EBB">
            <w:pPr>
              <w:jc w:val="center"/>
              <w:rPr>
                <w:sz w:val="20"/>
                <w:szCs w:val="20"/>
              </w:rPr>
            </w:pPr>
            <w:r w:rsidRPr="009A0348">
              <w:rPr>
                <w:sz w:val="20"/>
                <w:szCs w:val="20"/>
              </w:rPr>
              <w:t>4</w:t>
            </w:r>
          </w:p>
        </w:tc>
        <w:tc>
          <w:tcPr>
            <w:tcW w:w="851" w:type="dxa"/>
          </w:tcPr>
          <w:p w:rsidR="00A502F7" w:rsidRPr="009A0348" w:rsidRDefault="00A502F7" w:rsidP="003E0EBB">
            <w:pPr>
              <w:jc w:val="center"/>
              <w:rPr>
                <w:sz w:val="20"/>
                <w:szCs w:val="20"/>
              </w:rPr>
            </w:pPr>
            <w:r w:rsidRPr="009A0348">
              <w:rPr>
                <w:sz w:val="20"/>
                <w:szCs w:val="20"/>
              </w:rPr>
              <w:t>0.190</w:t>
            </w:r>
          </w:p>
        </w:tc>
      </w:tr>
      <w:tr w:rsidR="00A502F7" w:rsidRPr="009A0348" w:rsidTr="00203107">
        <w:tc>
          <w:tcPr>
            <w:tcW w:w="1384" w:type="dxa"/>
          </w:tcPr>
          <w:p w:rsidR="00A502F7" w:rsidRPr="009A0348" w:rsidRDefault="00A502F7" w:rsidP="005861F9">
            <w:pPr>
              <w:rPr>
                <w:sz w:val="20"/>
                <w:szCs w:val="20"/>
              </w:rPr>
            </w:pPr>
          </w:p>
        </w:tc>
        <w:tc>
          <w:tcPr>
            <w:tcW w:w="3827" w:type="dxa"/>
          </w:tcPr>
          <w:p w:rsidR="00A502F7" w:rsidRPr="009A0348" w:rsidRDefault="00A502F7" w:rsidP="00DC374C">
            <w:pPr>
              <w:rPr>
                <w:sz w:val="20"/>
                <w:szCs w:val="20"/>
              </w:rPr>
            </w:pPr>
            <w:r w:rsidRPr="009A0348">
              <w:rPr>
                <w:sz w:val="20"/>
                <w:szCs w:val="20"/>
              </w:rPr>
              <w:t>PH business plan approved</w:t>
            </w:r>
            <w:r w:rsidR="00DB5E49">
              <w:rPr>
                <w:sz w:val="20"/>
                <w:szCs w:val="20"/>
              </w:rPr>
              <w:t xml:space="preserve"> Q28</w:t>
            </w:r>
          </w:p>
        </w:tc>
        <w:tc>
          <w:tcPr>
            <w:tcW w:w="1134" w:type="dxa"/>
          </w:tcPr>
          <w:p w:rsidR="00A502F7" w:rsidRPr="009A0348" w:rsidRDefault="005E560D" w:rsidP="00203107">
            <w:pPr>
              <w:jc w:val="center"/>
              <w:rPr>
                <w:sz w:val="20"/>
                <w:szCs w:val="20"/>
              </w:rPr>
            </w:pPr>
            <w:r w:rsidRPr="009A0348">
              <w:rPr>
                <w:sz w:val="20"/>
                <w:szCs w:val="20"/>
              </w:rPr>
              <w:t>89%</w:t>
            </w:r>
          </w:p>
        </w:tc>
        <w:tc>
          <w:tcPr>
            <w:tcW w:w="851" w:type="dxa"/>
          </w:tcPr>
          <w:p w:rsidR="00A502F7" w:rsidRPr="009A0348" w:rsidRDefault="00A502F7" w:rsidP="00EE3ABB">
            <w:pPr>
              <w:jc w:val="right"/>
              <w:rPr>
                <w:sz w:val="20"/>
                <w:szCs w:val="20"/>
              </w:rPr>
            </w:pPr>
            <w:r w:rsidRPr="009A0348">
              <w:rPr>
                <w:sz w:val="20"/>
                <w:szCs w:val="20"/>
              </w:rPr>
              <w:t>11.05</w:t>
            </w:r>
          </w:p>
        </w:tc>
        <w:tc>
          <w:tcPr>
            <w:tcW w:w="992" w:type="dxa"/>
          </w:tcPr>
          <w:p w:rsidR="00A502F7" w:rsidRPr="009A0348" w:rsidRDefault="00A502F7" w:rsidP="00EE3ABB">
            <w:pPr>
              <w:jc w:val="center"/>
              <w:rPr>
                <w:sz w:val="20"/>
                <w:szCs w:val="20"/>
              </w:rPr>
            </w:pPr>
            <w:r w:rsidRPr="009A0348">
              <w:rPr>
                <w:sz w:val="20"/>
                <w:szCs w:val="20"/>
              </w:rPr>
              <w:t>2</w:t>
            </w:r>
          </w:p>
        </w:tc>
        <w:tc>
          <w:tcPr>
            <w:tcW w:w="851" w:type="dxa"/>
          </w:tcPr>
          <w:p w:rsidR="00A502F7" w:rsidRPr="009A0348" w:rsidRDefault="00A502F7" w:rsidP="00EE3ABB">
            <w:pPr>
              <w:jc w:val="center"/>
              <w:rPr>
                <w:sz w:val="20"/>
                <w:szCs w:val="20"/>
              </w:rPr>
            </w:pPr>
            <w:r w:rsidRPr="009A0348">
              <w:rPr>
                <w:sz w:val="20"/>
                <w:szCs w:val="20"/>
              </w:rPr>
              <w:t>0.004</w:t>
            </w:r>
          </w:p>
        </w:tc>
      </w:tr>
      <w:tr w:rsidR="00A502F7" w:rsidRPr="009A0348" w:rsidTr="00203107">
        <w:tc>
          <w:tcPr>
            <w:tcW w:w="1384" w:type="dxa"/>
          </w:tcPr>
          <w:p w:rsidR="00A502F7" w:rsidRPr="009A0348" w:rsidRDefault="00A502F7" w:rsidP="003E0EBB">
            <w:pPr>
              <w:rPr>
                <w:sz w:val="20"/>
                <w:szCs w:val="20"/>
              </w:rPr>
            </w:pPr>
          </w:p>
        </w:tc>
        <w:tc>
          <w:tcPr>
            <w:tcW w:w="3827" w:type="dxa"/>
          </w:tcPr>
          <w:p w:rsidR="00A502F7" w:rsidRPr="009A0348" w:rsidRDefault="00A502F7" w:rsidP="003E0EBB">
            <w:pPr>
              <w:rPr>
                <w:sz w:val="20"/>
                <w:szCs w:val="20"/>
              </w:rPr>
            </w:pPr>
            <w:r w:rsidRPr="009A0348">
              <w:rPr>
                <w:sz w:val="20"/>
                <w:szCs w:val="20"/>
              </w:rPr>
              <w:t>DPH is on the health and wellbeing board</w:t>
            </w:r>
            <w:r w:rsidR="00DB5E49">
              <w:rPr>
                <w:sz w:val="20"/>
                <w:szCs w:val="20"/>
              </w:rPr>
              <w:t xml:space="preserve"> Q36</w:t>
            </w:r>
            <w:r w:rsidRPr="009A0348">
              <w:rPr>
                <w:sz w:val="20"/>
                <w:szCs w:val="20"/>
              </w:rPr>
              <w:t>*</w:t>
            </w:r>
          </w:p>
        </w:tc>
        <w:tc>
          <w:tcPr>
            <w:tcW w:w="1134" w:type="dxa"/>
          </w:tcPr>
          <w:p w:rsidR="00A502F7" w:rsidRPr="009A0348" w:rsidRDefault="005E560D" w:rsidP="00203107">
            <w:pPr>
              <w:jc w:val="center"/>
              <w:rPr>
                <w:sz w:val="20"/>
                <w:szCs w:val="20"/>
              </w:rPr>
            </w:pPr>
            <w:r w:rsidRPr="009A0348">
              <w:rPr>
                <w:sz w:val="20"/>
                <w:szCs w:val="20"/>
              </w:rPr>
              <w:t>89%</w:t>
            </w:r>
          </w:p>
        </w:tc>
        <w:tc>
          <w:tcPr>
            <w:tcW w:w="851" w:type="dxa"/>
          </w:tcPr>
          <w:p w:rsidR="00A502F7" w:rsidRPr="009A0348" w:rsidRDefault="00A502F7" w:rsidP="003E0EBB">
            <w:pPr>
              <w:jc w:val="right"/>
              <w:rPr>
                <w:sz w:val="20"/>
                <w:szCs w:val="20"/>
              </w:rPr>
            </w:pPr>
            <w:r w:rsidRPr="009A0348">
              <w:rPr>
                <w:sz w:val="20"/>
                <w:szCs w:val="20"/>
              </w:rPr>
              <w:t>7.76</w:t>
            </w:r>
          </w:p>
        </w:tc>
        <w:tc>
          <w:tcPr>
            <w:tcW w:w="992" w:type="dxa"/>
          </w:tcPr>
          <w:p w:rsidR="00A502F7" w:rsidRPr="009A0348" w:rsidRDefault="00A502F7" w:rsidP="003E0EBB">
            <w:pPr>
              <w:jc w:val="center"/>
              <w:rPr>
                <w:sz w:val="20"/>
                <w:szCs w:val="20"/>
              </w:rPr>
            </w:pPr>
            <w:r w:rsidRPr="009A0348">
              <w:rPr>
                <w:sz w:val="20"/>
                <w:szCs w:val="20"/>
              </w:rPr>
              <w:t>2</w:t>
            </w:r>
          </w:p>
        </w:tc>
        <w:tc>
          <w:tcPr>
            <w:tcW w:w="851" w:type="dxa"/>
          </w:tcPr>
          <w:p w:rsidR="00A502F7" w:rsidRPr="009A0348" w:rsidRDefault="00A502F7" w:rsidP="003E0EBB">
            <w:pPr>
              <w:jc w:val="center"/>
              <w:rPr>
                <w:sz w:val="20"/>
                <w:szCs w:val="20"/>
              </w:rPr>
            </w:pPr>
            <w:r w:rsidRPr="009A0348">
              <w:rPr>
                <w:sz w:val="20"/>
                <w:szCs w:val="20"/>
              </w:rPr>
              <w:t>0.021</w:t>
            </w:r>
          </w:p>
        </w:tc>
      </w:tr>
      <w:tr w:rsidR="00A502F7" w:rsidRPr="009A0348" w:rsidTr="00203107">
        <w:tc>
          <w:tcPr>
            <w:tcW w:w="1384" w:type="dxa"/>
          </w:tcPr>
          <w:p w:rsidR="00A502F7" w:rsidRPr="009A0348" w:rsidRDefault="00A502F7" w:rsidP="00A85AD9">
            <w:pPr>
              <w:rPr>
                <w:sz w:val="20"/>
                <w:szCs w:val="20"/>
              </w:rPr>
            </w:pPr>
          </w:p>
        </w:tc>
        <w:tc>
          <w:tcPr>
            <w:tcW w:w="3827" w:type="dxa"/>
          </w:tcPr>
          <w:p w:rsidR="00A502F7" w:rsidRPr="009A0348" w:rsidRDefault="00A502F7" w:rsidP="00DC374C">
            <w:pPr>
              <w:rPr>
                <w:sz w:val="20"/>
                <w:szCs w:val="20"/>
              </w:rPr>
            </w:pPr>
            <w:r w:rsidRPr="009A0348">
              <w:rPr>
                <w:sz w:val="20"/>
                <w:szCs w:val="20"/>
              </w:rPr>
              <w:t>HWB - facilitating greater use of collective budgets</w:t>
            </w:r>
            <w:r w:rsidR="00DB5E49">
              <w:rPr>
                <w:sz w:val="20"/>
                <w:szCs w:val="20"/>
              </w:rPr>
              <w:t xml:space="preserve"> Q37ii</w:t>
            </w:r>
          </w:p>
        </w:tc>
        <w:tc>
          <w:tcPr>
            <w:tcW w:w="1134" w:type="dxa"/>
          </w:tcPr>
          <w:p w:rsidR="00A502F7" w:rsidRPr="009A0348" w:rsidRDefault="005E560D" w:rsidP="00203107">
            <w:pPr>
              <w:jc w:val="center"/>
              <w:rPr>
                <w:sz w:val="20"/>
                <w:szCs w:val="20"/>
              </w:rPr>
            </w:pPr>
            <w:r w:rsidRPr="009A0348">
              <w:rPr>
                <w:sz w:val="20"/>
                <w:szCs w:val="20"/>
              </w:rPr>
              <w:t>8</w:t>
            </w:r>
            <w:r w:rsidR="00DD6DF0">
              <w:rPr>
                <w:sz w:val="20"/>
                <w:szCs w:val="20"/>
              </w:rPr>
              <w:t>4</w:t>
            </w:r>
            <w:r w:rsidRPr="009A0348">
              <w:rPr>
                <w:sz w:val="20"/>
                <w:szCs w:val="20"/>
              </w:rPr>
              <w:t>%</w:t>
            </w:r>
          </w:p>
        </w:tc>
        <w:tc>
          <w:tcPr>
            <w:tcW w:w="851" w:type="dxa"/>
          </w:tcPr>
          <w:p w:rsidR="00A502F7" w:rsidRPr="009A0348" w:rsidRDefault="00A502F7" w:rsidP="003E0EBB">
            <w:pPr>
              <w:jc w:val="right"/>
              <w:rPr>
                <w:sz w:val="20"/>
                <w:szCs w:val="20"/>
              </w:rPr>
            </w:pPr>
            <w:r w:rsidRPr="009A0348">
              <w:rPr>
                <w:sz w:val="20"/>
                <w:szCs w:val="20"/>
              </w:rPr>
              <w:t>2.21</w:t>
            </w:r>
          </w:p>
        </w:tc>
        <w:tc>
          <w:tcPr>
            <w:tcW w:w="992" w:type="dxa"/>
          </w:tcPr>
          <w:p w:rsidR="00A502F7" w:rsidRPr="009A0348" w:rsidRDefault="00A502F7" w:rsidP="003E0EBB">
            <w:pPr>
              <w:jc w:val="center"/>
              <w:rPr>
                <w:sz w:val="20"/>
                <w:szCs w:val="20"/>
              </w:rPr>
            </w:pPr>
            <w:r w:rsidRPr="009A0348">
              <w:rPr>
                <w:sz w:val="20"/>
                <w:szCs w:val="20"/>
              </w:rPr>
              <w:t>4</w:t>
            </w:r>
          </w:p>
        </w:tc>
        <w:tc>
          <w:tcPr>
            <w:tcW w:w="851" w:type="dxa"/>
          </w:tcPr>
          <w:p w:rsidR="00A502F7" w:rsidRPr="009A0348" w:rsidRDefault="00A502F7" w:rsidP="003E0EBB">
            <w:pPr>
              <w:jc w:val="center"/>
              <w:rPr>
                <w:sz w:val="20"/>
                <w:szCs w:val="20"/>
              </w:rPr>
            </w:pPr>
            <w:r w:rsidRPr="009A0348">
              <w:rPr>
                <w:sz w:val="20"/>
                <w:szCs w:val="20"/>
              </w:rPr>
              <w:t>0.697</w:t>
            </w:r>
          </w:p>
        </w:tc>
      </w:tr>
      <w:tr w:rsidR="00A502F7" w:rsidRPr="009A0348" w:rsidTr="00203107">
        <w:tc>
          <w:tcPr>
            <w:tcW w:w="1384" w:type="dxa"/>
          </w:tcPr>
          <w:p w:rsidR="00A502F7" w:rsidRPr="009A0348" w:rsidRDefault="00A502F7" w:rsidP="00A85AD9">
            <w:pPr>
              <w:rPr>
                <w:sz w:val="20"/>
                <w:szCs w:val="20"/>
              </w:rPr>
            </w:pPr>
          </w:p>
        </w:tc>
        <w:tc>
          <w:tcPr>
            <w:tcW w:w="3827" w:type="dxa"/>
          </w:tcPr>
          <w:p w:rsidR="00A502F7" w:rsidRPr="009A0348" w:rsidRDefault="00A502F7" w:rsidP="00DC374C">
            <w:pPr>
              <w:rPr>
                <w:sz w:val="20"/>
                <w:szCs w:val="20"/>
              </w:rPr>
            </w:pPr>
            <w:r w:rsidRPr="009A0348">
              <w:rPr>
                <w:sz w:val="20"/>
                <w:szCs w:val="20"/>
              </w:rPr>
              <w:t>HWB - instrumental in identifying main health and wellbeing priorities</w:t>
            </w:r>
            <w:r w:rsidR="00DB5E49">
              <w:rPr>
                <w:sz w:val="20"/>
                <w:szCs w:val="20"/>
              </w:rPr>
              <w:t xml:space="preserve"> Q37iv</w:t>
            </w:r>
          </w:p>
        </w:tc>
        <w:tc>
          <w:tcPr>
            <w:tcW w:w="1134" w:type="dxa"/>
          </w:tcPr>
          <w:p w:rsidR="00A502F7" w:rsidRPr="009A0348" w:rsidRDefault="00DD6DF0" w:rsidP="00203107">
            <w:pPr>
              <w:jc w:val="center"/>
              <w:rPr>
                <w:sz w:val="20"/>
                <w:szCs w:val="20"/>
              </w:rPr>
            </w:pPr>
            <w:r>
              <w:rPr>
                <w:sz w:val="20"/>
                <w:szCs w:val="20"/>
              </w:rPr>
              <w:t>4</w:t>
            </w:r>
            <w:r w:rsidR="005E560D" w:rsidRPr="009A0348">
              <w:rPr>
                <w:sz w:val="20"/>
                <w:szCs w:val="20"/>
              </w:rPr>
              <w:t>8%</w:t>
            </w:r>
          </w:p>
        </w:tc>
        <w:tc>
          <w:tcPr>
            <w:tcW w:w="851" w:type="dxa"/>
          </w:tcPr>
          <w:p w:rsidR="00A502F7" w:rsidRPr="009A0348" w:rsidRDefault="00A502F7" w:rsidP="003E0EBB">
            <w:pPr>
              <w:jc w:val="right"/>
              <w:rPr>
                <w:sz w:val="20"/>
                <w:szCs w:val="20"/>
              </w:rPr>
            </w:pPr>
            <w:r w:rsidRPr="009A0348">
              <w:rPr>
                <w:sz w:val="20"/>
                <w:szCs w:val="20"/>
              </w:rPr>
              <w:t>23.68</w:t>
            </w:r>
          </w:p>
        </w:tc>
        <w:tc>
          <w:tcPr>
            <w:tcW w:w="992" w:type="dxa"/>
          </w:tcPr>
          <w:p w:rsidR="00A502F7" w:rsidRPr="009A0348" w:rsidRDefault="00A502F7" w:rsidP="003E0EBB">
            <w:pPr>
              <w:jc w:val="center"/>
              <w:rPr>
                <w:sz w:val="20"/>
                <w:szCs w:val="20"/>
              </w:rPr>
            </w:pPr>
            <w:r w:rsidRPr="009A0348">
              <w:rPr>
                <w:sz w:val="20"/>
                <w:szCs w:val="20"/>
              </w:rPr>
              <w:t>4</w:t>
            </w:r>
          </w:p>
        </w:tc>
        <w:tc>
          <w:tcPr>
            <w:tcW w:w="851" w:type="dxa"/>
          </w:tcPr>
          <w:p w:rsidR="00A502F7" w:rsidRPr="009A0348" w:rsidRDefault="00A502F7" w:rsidP="003E0EBB">
            <w:pPr>
              <w:jc w:val="center"/>
              <w:rPr>
                <w:sz w:val="20"/>
                <w:szCs w:val="20"/>
              </w:rPr>
            </w:pPr>
            <w:r w:rsidRPr="009A0348">
              <w:rPr>
                <w:sz w:val="20"/>
                <w:szCs w:val="20"/>
              </w:rPr>
              <w:t>0.000</w:t>
            </w:r>
          </w:p>
        </w:tc>
      </w:tr>
      <w:tr w:rsidR="00A502F7" w:rsidRPr="009A0348" w:rsidTr="00203107">
        <w:tc>
          <w:tcPr>
            <w:tcW w:w="1384" w:type="dxa"/>
          </w:tcPr>
          <w:p w:rsidR="00A502F7" w:rsidRPr="009A0348" w:rsidRDefault="00A502F7" w:rsidP="00A85AD9">
            <w:pPr>
              <w:rPr>
                <w:sz w:val="20"/>
                <w:szCs w:val="20"/>
              </w:rPr>
            </w:pPr>
          </w:p>
        </w:tc>
        <w:tc>
          <w:tcPr>
            <w:tcW w:w="3827" w:type="dxa"/>
          </w:tcPr>
          <w:p w:rsidR="00A502F7" w:rsidRPr="009A0348" w:rsidRDefault="00A502F7" w:rsidP="00DB5E49">
            <w:pPr>
              <w:rPr>
                <w:sz w:val="20"/>
                <w:szCs w:val="20"/>
              </w:rPr>
            </w:pPr>
            <w:r w:rsidRPr="009A0348">
              <w:rPr>
                <w:sz w:val="20"/>
                <w:szCs w:val="20"/>
              </w:rPr>
              <w:t>HWB - making difficult decisions</w:t>
            </w:r>
            <w:r w:rsidR="00DB5E49">
              <w:rPr>
                <w:sz w:val="20"/>
                <w:szCs w:val="20"/>
              </w:rPr>
              <w:t xml:space="preserve"> Q37vii</w:t>
            </w:r>
            <w:r w:rsidRPr="009A0348">
              <w:rPr>
                <w:sz w:val="20"/>
                <w:szCs w:val="20"/>
              </w:rPr>
              <w:t>*</w:t>
            </w:r>
          </w:p>
        </w:tc>
        <w:tc>
          <w:tcPr>
            <w:tcW w:w="1134" w:type="dxa"/>
          </w:tcPr>
          <w:p w:rsidR="00A502F7" w:rsidRPr="009A0348" w:rsidRDefault="00DD6DF0" w:rsidP="00203107">
            <w:pPr>
              <w:jc w:val="center"/>
              <w:rPr>
                <w:sz w:val="20"/>
                <w:szCs w:val="20"/>
              </w:rPr>
            </w:pPr>
            <w:r>
              <w:rPr>
                <w:sz w:val="20"/>
                <w:szCs w:val="20"/>
              </w:rPr>
              <w:t>4</w:t>
            </w:r>
            <w:r w:rsidR="005E560D" w:rsidRPr="009A0348">
              <w:rPr>
                <w:sz w:val="20"/>
                <w:szCs w:val="20"/>
              </w:rPr>
              <w:t>8%</w:t>
            </w:r>
          </w:p>
        </w:tc>
        <w:tc>
          <w:tcPr>
            <w:tcW w:w="851" w:type="dxa"/>
          </w:tcPr>
          <w:p w:rsidR="00A502F7" w:rsidRPr="009A0348" w:rsidRDefault="00A502F7" w:rsidP="003E0EBB">
            <w:pPr>
              <w:jc w:val="right"/>
              <w:rPr>
                <w:sz w:val="20"/>
                <w:szCs w:val="20"/>
              </w:rPr>
            </w:pPr>
            <w:r w:rsidRPr="009A0348">
              <w:rPr>
                <w:sz w:val="20"/>
                <w:szCs w:val="20"/>
              </w:rPr>
              <w:t>4.53</w:t>
            </w:r>
          </w:p>
        </w:tc>
        <w:tc>
          <w:tcPr>
            <w:tcW w:w="992" w:type="dxa"/>
          </w:tcPr>
          <w:p w:rsidR="00A502F7" w:rsidRPr="009A0348" w:rsidRDefault="00A502F7" w:rsidP="003E0EBB">
            <w:pPr>
              <w:jc w:val="center"/>
              <w:rPr>
                <w:sz w:val="20"/>
                <w:szCs w:val="20"/>
              </w:rPr>
            </w:pPr>
            <w:r w:rsidRPr="009A0348">
              <w:rPr>
                <w:sz w:val="20"/>
                <w:szCs w:val="20"/>
              </w:rPr>
              <w:t>4</w:t>
            </w:r>
          </w:p>
        </w:tc>
        <w:tc>
          <w:tcPr>
            <w:tcW w:w="851" w:type="dxa"/>
          </w:tcPr>
          <w:p w:rsidR="00A502F7" w:rsidRPr="009A0348" w:rsidRDefault="00A502F7" w:rsidP="003E0EBB">
            <w:pPr>
              <w:jc w:val="center"/>
              <w:rPr>
                <w:sz w:val="20"/>
                <w:szCs w:val="20"/>
              </w:rPr>
            </w:pPr>
            <w:r w:rsidRPr="009A0348">
              <w:rPr>
                <w:sz w:val="20"/>
                <w:szCs w:val="20"/>
              </w:rPr>
              <w:t>0.339</w:t>
            </w:r>
          </w:p>
        </w:tc>
      </w:tr>
      <w:tr w:rsidR="00A502F7" w:rsidRPr="009A0348" w:rsidTr="00203107">
        <w:tc>
          <w:tcPr>
            <w:tcW w:w="1384" w:type="dxa"/>
          </w:tcPr>
          <w:p w:rsidR="00A502F7" w:rsidRPr="009A0348" w:rsidRDefault="00A502F7" w:rsidP="00A85AD9">
            <w:pPr>
              <w:rPr>
                <w:sz w:val="20"/>
                <w:szCs w:val="20"/>
              </w:rPr>
            </w:pPr>
          </w:p>
        </w:tc>
        <w:tc>
          <w:tcPr>
            <w:tcW w:w="3827" w:type="dxa"/>
          </w:tcPr>
          <w:p w:rsidR="00A502F7" w:rsidRPr="009A0348" w:rsidRDefault="00A502F7" w:rsidP="00A85AD9">
            <w:pPr>
              <w:rPr>
                <w:sz w:val="20"/>
                <w:szCs w:val="20"/>
              </w:rPr>
            </w:pPr>
            <w:r w:rsidRPr="009A0348">
              <w:rPr>
                <w:sz w:val="20"/>
                <w:szCs w:val="20"/>
              </w:rPr>
              <w:t>PH team has capacity to provide specialist support to CCGs</w:t>
            </w:r>
            <w:r w:rsidR="00DB5E49">
              <w:rPr>
                <w:sz w:val="20"/>
                <w:szCs w:val="20"/>
              </w:rPr>
              <w:t xml:space="preserve"> Q41ii</w:t>
            </w:r>
          </w:p>
        </w:tc>
        <w:tc>
          <w:tcPr>
            <w:tcW w:w="1134" w:type="dxa"/>
          </w:tcPr>
          <w:p w:rsidR="00A502F7" w:rsidRPr="009A0348" w:rsidRDefault="00DD6DF0" w:rsidP="00203107">
            <w:pPr>
              <w:jc w:val="center"/>
              <w:rPr>
                <w:sz w:val="20"/>
                <w:szCs w:val="20"/>
              </w:rPr>
            </w:pPr>
            <w:r>
              <w:rPr>
                <w:sz w:val="20"/>
                <w:szCs w:val="20"/>
              </w:rPr>
              <w:t>8</w:t>
            </w:r>
            <w:r w:rsidR="005E560D" w:rsidRPr="009A0348">
              <w:rPr>
                <w:sz w:val="20"/>
                <w:szCs w:val="20"/>
              </w:rPr>
              <w:t>4%</w:t>
            </w:r>
          </w:p>
        </w:tc>
        <w:tc>
          <w:tcPr>
            <w:tcW w:w="851" w:type="dxa"/>
          </w:tcPr>
          <w:p w:rsidR="00A502F7" w:rsidRPr="009A0348" w:rsidRDefault="00A502F7" w:rsidP="003E0EBB">
            <w:pPr>
              <w:jc w:val="right"/>
              <w:rPr>
                <w:sz w:val="20"/>
                <w:szCs w:val="20"/>
              </w:rPr>
            </w:pPr>
            <w:r w:rsidRPr="009A0348">
              <w:rPr>
                <w:sz w:val="20"/>
                <w:szCs w:val="20"/>
              </w:rPr>
              <w:t>5.51</w:t>
            </w:r>
          </w:p>
        </w:tc>
        <w:tc>
          <w:tcPr>
            <w:tcW w:w="992" w:type="dxa"/>
          </w:tcPr>
          <w:p w:rsidR="00A502F7" w:rsidRPr="009A0348" w:rsidRDefault="00A502F7" w:rsidP="003E0EBB">
            <w:pPr>
              <w:jc w:val="center"/>
              <w:rPr>
                <w:sz w:val="20"/>
                <w:szCs w:val="20"/>
              </w:rPr>
            </w:pPr>
            <w:r w:rsidRPr="009A0348">
              <w:rPr>
                <w:sz w:val="20"/>
                <w:szCs w:val="20"/>
              </w:rPr>
              <w:t>4</w:t>
            </w:r>
          </w:p>
        </w:tc>
        <w:tc>
          <w:tcPr>
            <w:tcW w:w="851" w:type="dxa"/>
          </w:tcPr>
          <w:p w:rsidR="00A502F7" w:rsidRPr="009A0348" w:rsidRDefault="00A502F7" w:rsidP="003E0EBB">
            <w:pPr>
              <w:jc w:val="center"/>
              <w:rPr>
                <w:sz w:val="20"/>
                <w:szCs w:val="20"/>
              </w:rPr>
            </w:pPr>
            <w:r w:rsidRPr="009A0348">
              <w:rPr>
                <w:sz w:val="20"/>
                <w:szCs w:val="20"/>
              </w:rPr>
              <w:t>0.239</w:t>
            </w:r>
          </w:p>
        </w:tc>
      </w:tr>
      <w:tr w:rsidR="00E93C5D" w:rsidRPr="009A0348" w:rsidTr="00A502F7">
        <w:tc>
          <w:tcPr>
            <w:tcW w:w="1384" w:type="dxa"/>
          </w:tcPr>
          <w:p w:rsidR="00E93C5D" w:rsidRPr="009A0348" w:rsidRDefault="005109EC" w:rsidP="00A85AD9">
            <w:pPr>
              <w:rPr>
                <w:sz w:val="20"/>
                <w:szCs w:val="20"/>
              </w:rPr>
            </w:pPr>
            <w:r>
              <w:rPr>
                <w:sz w:val="20"/>
                <w:szCs w:val="20"/>
              </w:rPr>
              <w:t xml:space="preserve">4. </w:t>
            </w:r>
            <w:r w:rsidR="00E93C5D" w:rsidRPr="009A0348">
              <w:rPr>
                <w:sz w:val="20"/>
                <w:szCs w:val="20"/>
              </w:rPr>
              <w:t>Change</w:t>
            </w:r>
          </w:p>
        </w:tc>
        <w:tc>
          <w:tcPr>
            <w:tcW w:w="3827" w:type="dxa"/>
          </w:tcPr>
          <w:p w:rsidR="00E93C5D" w:rsidRPr="009A0348" w:rsidRDefault="00E93C5D" w:rsidP="00A85AD9">
            <w:pPr>
              <w:rPr>
                <w:sz w:val="20"/>
                <w:szCs w:val="20"/>
              </w:rPr>
            </w:pPr>
            <w:r w:rsidRPr="009A0348">
              <w:rPr>
                <w:sz w:val="20"/>
                <w:szCs w:val="20"/>
              </w:rPr>
              <w:t>Changes made to commissioning</w:t>
            </w:r>
            <w:r w:rsidR="00DB5E49">
              <w:rPr>
                <w:sz w:val="20"/>
                <w:szCs w:val="20"/>
              </w:rPr>
              <w:t xml:space="preserve"> Q42</w:t>
            </w:r>
            <w:r w:rsidRPr="009A0348">
              <w:rPr>
                <w:sz w:val="20"/>
                <w:szCs w:val="20"/>
              </w:rPr>
              <w:t>*</w:t>
            </w:r>
          </w:p>
        </w:tc>
        <w:tc>
          <w:tcPr>
            <w:tcW w:w="1134" w:type="dxa"/>
          </w:tcPr>
          <w:p w:rsidR="00E93C5D" w:rsidRPr="009A0348" w:rsidRDefault="00E93C5D" w:rsidP="00DD6DF0">
            <w:pPr>
              <w:jc w:val="center"/>
              <w:rPr>
                <w:sz w:val="20"/>
                <w:szCs w:val="20"/>
              </w:rPr>
            </w:pPr>
            <w:r w:rsidRPr="009A0348">
              <w:rPr>
                <w:sz w:val="20"/>
                <w:szCs w:val="20"/>
              </w:rPr>
              <w:t>8</w:t>
            </w:r>
            <w:r w:rsidR="00DD6DF0">
              <w:rPr>
                <w:sz w:val="20"/>
                <w:szCs w:val="20"/>
              </w:rPr>
              <w:t>7</w:t>
            </w:r>
            <w:r w:rsidRPr="009A0348">
              <w:rPr>
                <w:sz w:val="20"/>
                <w:szCs w:val="20"/>
              </w:rPr>
              <w:t>%</w:t>
            </w:r>
          </w:p>
        </w:tc>
        <w:tc>
          <w:tcPr>
            <w:tcW w:w="851" w:type="dxa"/>
          </w:tcPr>
          <w:p w:rsidR="00E93C5D" w:rsidRPr="009A0348" w:rsidRDefault="00E93C5D" w:rsidP="003E0EBB">
            <w:pPr>
              <w:jc w:val="right"/>
              <w:rPr>
                <w:sz w:val="20"/>
                <w:szCs w:val="20"/>
              </w:rPr>
            </w:pPr>
            <w:r w:rsidRPr="009A0348">
              <w:rPr>
                <w:sz w:val="20"/>
                <w:szCs w:val="20"/>
              </w:rPr>
              <w:t>6.30</w:t>
            </w:r>
          </w:p>
        </w:tc>
        <w:tc>
          <w:tcPr>
            <w:tcW w:w="992" w:type="dxa"/>
          </w:tcPr>
          <w:p w:rsidR="00E93C5D" w:rsidRPr="009A0348" w:rsidRDefault="00E93C5D" w:rsidP="003E0EBB">
            <w:pPr>
              <w:jc w:val="center"/>
              <w:rPr>
                <w:sz w:val="20"/>
                <w:szCs w:val="20"/>
              </w:rPr>
            </w:pPr>
            <w:r w:rsidRPr="009A0348">
              <w:rPr>
                <w:sz w:val="20"/>
                <w:szCs w:val="20"/>
              </w:rPr>
              <w:t>2</w:t>
            </w:r>
          </w:p>
        </w:tc>
        <w:tc>
          <w:tcPr>
            <w:tcW w:w="851" w:type="dxa"/>
          </w:tcPr>
          <w:p w:rsidR="00E93C5D" w:rsidRPr="009A0348" w:rsidRDefault="00E93C5D" w:rsidP="003E0EBB">
            <w:pPr>
              <w:jc w:val="center"/>
              <w:rPr>
                <w:sz w:val="20"/>
                <w:szCs w:val="20"/>
              </w:rPr>
            </w:pPr>
            <w:r w:rsidRPr="009A0348">
              <w:rPr>
                <w:sz w:val="20"/>
                <w:szCs w:val="20"/>
              </w:rPr>
              <w:t>0.043</w:t>
            </w:r>
          </w:p>
        </w:tc>
      </w:tr>
      <w:tr w:rsidR="00E93C5D" w:rsidRPr="009A0348" w:rsidTr="00A502F7">
        <w:tc>
          <w:tcPr>
            <w:tcW w:w="1384" w:type="dxa"/>
          </w:tcPr>
          <w:p w:rsidR="00E93C5D" w:rsidRPr="009A0348" w:rsidRDefault="00E93C5D" w:rsidP="00A85AD9">
            <w:pPr>
              <w:rPr>
                <w:sz w:val="20"/>
                <w:szCs w:val="20"/>
              </w:rPr>
            </w:pPr>
          </w:p>
        </w:tc>
        <w:tc>
          <w:tcPr>
            <w:tcW w:w="3827" w:type="dxa"/>
          </w:tcPr>
          <w:p w:rsidR="00E93C5D" w:rsidRPr="009A0348" w:rsidRDefault="00E93C5D" w:rsidP="00DB5E49">
            <w:pPr>
              <w:rPr>
                <w:sz w:val="20"/>
                <w:szCs w:val="20"/>
              </w:rPr>
            </w:pPr>
            <w:r w:rsidRPr="009A0348">
              <w:rPr>
                <w:sz w:val="20"/>
                <w:szCs w:val="20"/>
              </w:rPr>
              <w:t>New service</w:t>
            </w:r>
            <w:r w:rsidR="00DB5E49">
              <w:rPr>
                <w:sz w:val="20"/>
                <w:szCs w:val="20"/>
              </w:rPr>
              <w:t xml:space="preserve"> Q43i</w:t>
            </w:r>
          </w:p>
        </w:tc>
        <w:tc>
          <w:tcPr>
            <w:tcW w:w="1134" w:type="dxa"/>
          </w:tcPr>
          <w:p w:rsidR="00E93C5D" w:rsidRPr="009A0348" w:rsidRDefault="00E93C5D" w:rsidP="005E560D">
            <w:pPr>
              <w:jc w:val="center"/>
              <w:rPr>
                <w:sz w:val="20"/>
                <w:szCs w:val="20"/>
              </w:rPr>
            </w:pPr>
            <w:r w:rsidRPr="009A0348">
              <w:rPr>
                <w:sz w:val="20"/>
                <w:szCs w:val="20"/>
              </w:rPr>
              <w:t>8</w:t>
            </w:r>
            <w:r w:rsidR="00DD6DF0">
              <w:rPr>
                <w:sz w:val="20"/>
                <w:szCs w:val="20"/>
              </w:rPr>
              <w:t>3</w:t>
            </w:r>
            <w:r w:rsidRPr="009A0348">
              <w:rPr>
                <w:sz w:val="20"/>
                <w:szCs w:val="20"/>
              </w:rPr>
              <w:t>%</w:t>
            </w:r>
          </w:p>
        </w:tc>
        <w:tc>
          <w:tcPr>
            <w:tcW w:w="851" w:type="dxa"/>
          </w:tcPr>
          <w:p w:rsidR="00E93C5D" w:rsidRPr="009A0348" w:rsidRDefault="00E93C5D" w:rsidP="003E0EBB">
            <w:pPr>
              <w:jc w:val="right"/>
              <w:rPr>
                <w:sz w:val="20"/>
                <w:szCs w:val="20"/>
              </w:rPr>
            </w:pPr>
            <w:r w:rsidRPr="009A0348">
              <w:rPr>
                <w:sz w:val="20"/>
                <w:szCs w:val="20"/>
              </w:rPr>
              <w:t>10.80</w:t>
            </w:r>
          </w:p>
        </w:tc>
        <w:tc>
          <w:tcPr>
            <w:tcW w:w="992" w:type="dxa"/>
          </w:tcPr>
          <w:p w:rsidR="00E93C5D" w:rsidRPr="009A0348" w:rsidRDefault="00E93C5D" w:rsidP="003E0EBB">
            <w:pPr>
              <w:jc w:val="center"/>
              <w:rPr>
                <w:sz w:val="20"/>
                <w:szCs w:val="20"/>
              </w:rPr>
            </w:pPr>
            <w:r w:rsidRPr="009A0348">
              <w:rPr>
                <w:sz w:val="20"/>
                <w:szCs w:val="20"/>
              </w:rPr>
              <w:t>2</w:t>
            </w:r>
          </w:p>
        </w:tc>
        <w:tc>
          <w:tcPr>
            <w:tcW w:w="851" w:type="dxa"/>
          </w:tcPr>
          <w:p w:rsidR="00E93C5D" w:rsidRPr="009A0348" w:rsidRDefault="00E93C5D" w:rsidP="003E0EBB">
            <w:pPr>
              <w:jc w:val="center"/>
              <w:rPr>
                <w:sz w:val="20"/>
                <w:szCs w:val="20"/>
              </w:rPr>
            </w:pPr>
            <w:r w:rsidRPr="009A0348">
              <w:rPr>
                <w:sz w:val="20"/>
                <w:szCs w:val="20"/>
              </w:rPr>
              <w:t>0.005</w:t>
            </w:r>
          </w:p>
        </w:tc>
      </w:tr>
      <w:tr w:rsidR="00E93C5D" w:rsidRPr="009A0348" w:rsidTr="00A502F7">
        <w:tc>
          <w:tcPr>
            <w:tcW w:w="1384" w:type="dxa"/>
          </w:tcPr>
          <w:p w:rsidR="00E93C5D" w:rsidRPr="009A0348" w:rsidRDefault="00E93C5D" w:rsidP="00A85AD9">
            <w:pPr>
              <w:rPr>
                <w:sz w:val="20"/>
                <w:szCs w:val="20"/>
              </w:rPr>
            </w:pPr>
          </w:p>
        </w:tc>
        <w:tc>
          <w:tcPr>
            <w:tcW w:w="3827" w:type="dxa"/>
          </w:tcPr>
          <w:p w:rsidR="00E93C5D" w:rsidRPr="009A0348" w:rsidRDefault="00E93C5D" w:rsidP="00A85AD9">
            <w:pPr>
              <w:rPr>
                <w:sz w:val="20"/>
                <w:szCs w:val="20"/>
              </w:rPr>
            </w:pPr>
            <w:r w:rsidRPr="009A0348">
              <w:rPr>
                <w:sz w:val="20"/>
                <w:szCs w:val="20"/>
              </w:rPr>
              <w:t>Changed provider</w:t>
            </w:r>
            <w:r w:rsidR="00DB5E49">
              <w:rPr>
                <w:sz w:val="20"/>
                <w:szCs w:val="20"/>
              </w:rPr>
              <w:t xml:space="preserve"> Q43ii</w:t>
            </w:r>
          </w:p>
        </w:tc>
        <w:tc>
          <w:tcPr>
            <w:tcW w:w="1134" w:type="dxa"/>
          </w:tcPr>
          <w:p w:rsidR="00E93C5D" w:rsidRPr="009A0348" w:rsidRDefault="00E93C5D" w:rsidP="005E560D">
            <w:pPr>
              <w:jc w:val="center"/>
              <w:rPr>
                <w:sz w:val="20"/>
                <w:szCs w:val="20"/>
              </w:rPr>
            </w:pPr>
            <w:r w:rsidRPr="009A0348">
              <w:rPr>
                <w:sz w:val="20"/>
                <w:szCs w:val="20"/>
              </w:rPr>
              <w:t>85%</w:t>
            </w:r>
          </w:p>
        </w:tc>
        <w:tc>
          <w:tcPr>
            <w:tcW w:w="851" w:type="dxa"/>
          </w:tcPr>
          <w:p w:rsidR="00E93C5D" w:rsidRPr="009A0348" w:rsidRDefault="00E93C5D" w:rsidP="003E0EBB">
            <w:pPr>
              <w:jc w:val="right"/>
              <w:rPr>
                <w:sz w:val="20"/>
                <w:szCs w:val="20"/>
              </w:rPr>
            </w:pPr>
            <w:r w:rsidRPr="009A0348">
              <w:rPr>
                <w:sz w:val="20"/>
                <w:szCs w:val="20"/>
              </w:rPr>
              <w:t>10.21</w:t>
            </w:r>
          </w:p>
        </w:tc>
        <w:tc>
          <w:tcPr>
            <w:tcW w:w="992" w:type="dxa"/>
          </w:tcPr>
          <w:p w:rsidR="00E93C5D" w:rsidRPr="009A0348" w:rsidRDefault="00E93C5D" w:rsidP="003E0EBB">
            <w:pPr>
              <w:jc w:val="center"/>
              <w:rPr>
                <w:sz w:val="20"/>
                <w:szCs w:val="20"/>
              </w:rPr>
            </w:pPr>
            <w:r w:rsidRPr="009A0348">
              <w:rPr>
                <w:sz w:val="20"/>
                <w:szCs w:val="20"/>
              </w:rPr>
              <w:t>2</w:t>
            </w:r>
          </w:p>
        </w:tc>
        <w:tc>
          <w:tcPr>
            <w:tcW w:w="851" w:type="dxa"/>
          </w:tcPr>
          <w:p w:rsidR="00E93C5D" w:rsidRPr="009A0348" w:rsidRDefault="00E93C5D" w:rsidP="003E0EBB">
            <w:pPr>
              <w:jc w:val="center"/>
              <w:rPr>
                <w:sz w:val="20"/>
                <w:szCs w:val="20"/>
              </w:rPr>
            </w:pPr>
            <w:r w:rsidRPr="009A0348">
              <w:rPr>
                <w:sz w:val="20"/>
                <w:szCs w:val="20"/>
              </w:rPr>
              <w:t>0.006</w:t>
            </w:r>
          </w:p>
        </w:tc>
      </w:tr>
      <w:tr w:rsidR="00E93C5D" w:rsidRPr="009A0348" w:rsidTr="00A502F7">
        <w:tc>
          <w:tcPr>
            <w:tcW w:w="1384" w:type="dxa"/>
          </w:tcPr>
          <w:p w:rsidR="00E93C5D" w:rsidRPr="009A0348" w:rsidRDefault="00E93C5D" w:rsidP="00A85AD9">
            <w:pPr>
              <w:rPr>
                <w:sz w:val="20"/>
                <w:szCs w:val="20"/>
              </w:rPr>
            </w:pPr>
          </w:p>
        </w:tc>
        <w:tc>
          <w:tcPr>
            <w:tcW w:w="3827" w:type="dxa"/>
          </w:tcPr>
          <w:p w:rsidR="00E93C5D" w:rsidRPr="009A0348" w:rsidRDefault="00E93C5D" w:rsidP="00DB5E49">
            <w:pPr>
              <w:rPr>
                <w:sz w:val="20"/>
                <w:szCs w:val="20"/>
              </w:rPr>
            </w:pPr>
            <w:r w:rsidRPr="009A0348">
              <w:rPr>
                <w:sz w:val="20"/>
                <w:szCs w:val="20"/>
              </w:rPr>
              <w:t>Re-designed</w:t>
            </w:r>
            <w:r w:rsidR="00DB5E49">
              <w:rPr>
                <w:sz w:val="20"/>
                <w:szCs w:val="20"/>
              </w:rPr>
              <w:t xml:space="preserve"> Q43iii</w:t>
            </w:r>
          </w:p>
        </w:tc>
        <w:tc>
          <w:tcPr>
            <w:tcW w:w="1134" w:type="dxa"/>
          </w:tcPr>
          <w:p w:rsidR="00E93C5D" w:rsidRPr="009A0348" w:rsidRDefault="00E93C5D" w:rsidP="005E560D">
            <w:pPr>
              <w:jc w:val="center"/>
              <w:rPr>
                <w:sz w:val="20"/>
                <w:szCs w:val="20"/>
              </w:rPr>
            </w:pPr>
            <w:r w:rsidRPr="009A0348">
              <w:rPr>
                <w:sz w:val="20"/>
                <w:szCs w:val="20"/>
              </w:rPr>
              <w:t>85%</w:t>
            </w:r>
          </w:p>
        </w:tc>
        <w:tc>
          <w:tcPr>
            <w:tcW w:w="851" w:type="dxa"/>
          </w:tcPr>
          <w:p w:rsidR="00E93C5D" w:rsidRPr="009A0348" w:rsidRDefault="00E93C5D" w:rsidP="003E0EBB">
            <w:pPr>
              <w:jc w:val="right"/>
              <w:rPr>
                <w:sz w:val="20"/>
                <w:szCs w:val="20"/>
              </w:rPr>
            </w:pPr>
            <w:r w:rsidRPr="009A0348">
              <w:rPr>
                <w:sz w:val="20"/>
                <w:szCs w:val="20"/>
              </w:rPr>
              <w:t>2.61</w:t>
            </w:r>
          </w:p>
        </w:tc>
        <w:tc>
          <w:tcPr>
            <w:tcW w:w="992" w:type="dxa"/>
          </w:tcPr>
          <w:p w:rsidR="00E93C5D" w:rsidRPr="009A0348" w:rsidRDefault="00E93C5D" w:rsidP="003E0EBB">
            <w:pPr>
              <w:jc w:val="center"/>
              <w:rPr>
                <w:sz w:val="20"/>
                <w:szCs w:val="20"/>
              </w:rPr>
            </w:pPr>
            <w:r w:rsidRPr="009A0348">
              <w:rPr>
                <w:sz w:val="20"/>
                <w:szCs w:val="20"/>
              </w:rPr>
              <w:t>2</w:t>
            </w:r>
          </w:p>
        </w:tc>
        <w:tc>
          <w:tcPr>
            <w:tcW w:w="851" w:type="dxa"/>
          </w:tcPr>
          <w:p w:rsidR="00E93C5D" w:rsidRPr="009A0348" w:rsidRDefault="00E93C5D" w:rsidP="003E0EBB">
            <w:pPr>
              <w:jc w:val="center"/>
              <w:rPr>
                <w:sz w:val="20"/>
                <w:szCs w:val="20"/>
              </w:rPr>
            </w:pPr>
            <w:r w:rsidRPr="009A0348">
              <w:rPr>
                <w:sz w:val="20"/>
                <w:szCs w:val="20"/>
              </w:rPr>
              <w:t>0.270</w:t>
            </w:r>
          </w:p>
        </w:tc>
      </w:tr>
      <w:tr w:rsidR="00E93C5D" w:rsidRPr="009A0348" w:rsidTr="00A502F7">
        <w:tc>
          <w:tcPr>
            <w:tcW w:w="1384" w:type="dxa"/>
          </w:tcPr>
          <w:p w:rsidR="00E93C5D" w:rsidRPr="009A0348" w:rsidRDefault="00E93C5D" w:rsidP="00A85AD9">
            <w:pPr>
              <w:rPr>
                <w:sz w:val="20"/>
                <w:szCs w:val="20"/>
              </w:rPr>
            </w:pPr>
          </w:p>
        </w:tc>
        <w:tc>
          <w:tcPr>
            <w:tcW w:w="3827" w:type="dxa"/>
          </w:tcPr>
          <w:p w:rsidR="00E93C5D" w:rsidRPr="009A0348" w:rsidRDefault="00E93C5D" w:rsidP="00A85AD9">
            <w:pPr>
              <w:rPr>
                <w:sz w:val="20"/>
                <w:szCs w:val="20"/>
              </w:rPr>
            </w:pPr>
            <w:r w:rsidRPr="009A0348">
              <w:rPr>
                <w:sz w:val="20"/>
                <w:szCs w:val="20"/>
              </w:rPr>
              <w:t>De-commissioned</w:t>
            </w:r>
            <w:r w:rsidR="00DB5E49">
              <w:rPr>
                <w:sz w:val="20"/>
                <w:szCs w:val="20"/>
              </w:rPr>
              <w:t>Q43iv</w:t>
            </w:r>
          </w:p>
        </w:tc>
        <w:tc>
          <w:tcPr>
            <w:tcW w:w="1134" w:type="dxa"/>
          </w:tcPr>
          <w:p w:rsidR="00E93C5D" w:rsidRPr="009A0348" w:rsidRDefault="00E93C5D" w:rsidP="005E560D">
            <w:pPr>
              <w:jc w:val="center"/>
              <w:rPr>
                <w:sz w:val="20"/>
                <w:szCs w:val="20"/>
              </w:rPr>
            </w:pPr>
            <w:r w:rsidRPr="009A0348">
              <w:rPr>
                <w:sz w:val="20"/>
                <w:szCs w:val="20"/>
              </w:rPr>
              <w:t>8</w:t>
            </w:r>
            <w:r w:rsidR="00DD6DF0">
              <w:rPr>
                <w:sz w:val="20"/>
                <w:szCs w:val="20"/>
              </w:rPr>
              <w:t>3</w:t>
            </w:r>
            <w:r w:rsidRPr="009A0348">
              <w:rPr>
                <w:sz w:val="20"/>
                <w:szCs w:val="20"/>
              </w:rPr>
              <w:t>%</w:t>
            </w:r>
          </w:p>
        </w:tc>
        <w:tc>
          <w:tcPr>
            <w:tcW w:w="851" w:type="dxa"/>
          </w:tcPr>
          <w:p w:rsidR="00E93C5D" w:rsidRPr="009A0348" w:rsidRDefault="00E93C5D" w:rsidP="003E0EBB">
            <w:pPr>
              <w:jc w:val="right"/>
              <w:rPr>
                <w:sz w:val="20"/>
                <w:szCs w:val="20"/>
              </w:rPr>
            </w:pPr>
            <w:r w:rsidRPr="009A0348">
              <w:rPr>
                <w:sz w:val="20"/>
                <w:szCs w:val="20"/>
              </w:rPr>
              <w:t>1.49</w:t>
            </w:r>
          </w:p>
        </w:tc>
        <w:tc>
          <w:tcPr>
            <w:tcW w:w="992" w:type="dxa"/>
          </w:tcPr>
          <w:p w:rsidR="00E93C5D" w:rsidRPr="009A0348" w:rsidRDefault="00E93C5D" w:rsidP="003E0EBB">
            <w:pPr>
              <w:jc w:val="center"/>
              <w:rPr>
                <w:sz w:val="20"/>
                <w:szCs w:val="20"/>
              </w:rPr>
            </w:pPr>
            <w:r w:rsidRPr="009A0348">
              <w:rPr>
                <w:sz w:val="20"/>
                <w:szCs w:val="20"/>
              </w:rPr>
              <w:t>2</w:t>
            </w:r>
          </w:p>
        </w:tc>
        <w:tc>
          <w:tcPr>
            <w:tcW w:w="851" w:type="dxa"/>
          </w:tcPr>
          <w:p w:rsidR="00E93C5D" w:rsidRPr="009A0348" w:rsidRDefault="00E93C5D" w:rsidP="003E0EBB">
            <w:pPr>
              <w:jc w:val="center"/>
              <w:rPr>
                <w:sz w:val="20"/>
                <w:szCs w:val="20"/>
              </w:rPr>
            </w:pPr>
            <w:r w:rsidRPr="009A0348">
              <w:rPr>
                <w:sz w:val="20"/>
                <w:szCs w:val="20"/>
              </w:rPr>
              <w:t>0.474</w:t>
            </w:r>
          </w:p>
        </w:tc>
      </w:tr>
    </w:tbl>
    <w:p w:rsidR="0054750B" w:rsidRPr="009A0348" w:rsidRDefault="0054750B"/>
    <w:p w:rsidR="00DC374C" w:rsidRPr="009A0348" w:rsidRDefault="00DC374C" w:rsidP="00DC374C">
      <w:r w:rsidRPr="009A0348">
        <w:t>* Test not used due to small numbers</w:t>
      </w:r>
    </w:p>
    <w:p w:rsidR="005E560D" w:rsidRPr="009A0348" w:rsidRDefault="005E560D" w:rsidP="00DC374C">
      <w:r w:rsidRPr="009A0348">
        <w:t>** Response rate not known for tick box questions</w:t>
      </w:r>
    </w:p>
    <w:p w:rsidR="001C4FBF" w:rsidRDefault="001C4FBF">
      <w:r>
        <w:br w:type="page"/>
      </w:r>
    </w:p>
    <w:p w:rsidR="001C4FBF" w:rsidRDefault="001C4FBF" w:rsidP="001C4FBF">
      <w:r w:rsidRPr="009A0348">
        <w:lastRenderedPageBreak/>
        <w:t xml:space="preserve">Fig 1 Public health’s ability to influence priorities in their local authority (% of </w:t>
      </w:r>
      <w:r>
        <w:t xml:space="preserve">86 </w:t>
      </w:r>
      <w:r w:rsidRPr="009A0348">
        <w:t>survey replies</w:t>
      </w:r>
      <w:r>
        <w:t xml:space="preserve"> to </w:t>
      </w:r>
      <w:r w:rsidRPr="009A0348">
        <w:t>Q21</w:t>
      </w:r>
      <w:r>
        <w:t>)</w:t>
      </w:r>
    </w:p>
    <w:p w:rsidR="0058279C" w:rsidRPr="009A0348" w:rsidRDefault="0058279C" w:rsidP="001C4FBF">
      <w:r>
        <w:rPr>
          <w:noProof/>
          <w:lang w:eastAsia="en-GB"/>
        </w:rPr>
        <w:drawing>
          <wp:inline distT="0" distB="0" distL="0" distR="0">
            <wp:extent cx="4572000" cy="1957388"/>
            <wp:effectExtent l="0" t="0" r="19050" b="241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C4FBF" w:rsidRPr="009A0348" w:rsidRDefault="001C4FBF" w:rsidP="001C4FBF"/>
    <w:p w:rsidR="001C4FBF" w:rsidRDefault="001C4FBF">
      <w:r>
        <w:br w:type="page"/>
      </w:r>
    </w:p>
    <w:p w:rsidR="001C4FBF" w:rsidRDefault="001C4FBF" w:rsidP="001C4FBF">
      <w:r w:rsidRPr="009A0348">
        <w:lastRenderedPageBreak/>
        <w:t xml:space="preserve">Fig </w:t>
      </w:r>
      <w:proofErr w:type="gramStart"/>
      <w:r w:rsidRPr="009A0348">
        <w:t>2 Public health’s</w:t>
      </w:r>
      <w:proofErr w:type="gramEnd"/>
      <w:r w:rsidRPr="009A0348">
        <w:t xml:space="preserve"> influence over other departments</w:t>
      </w:r>
      <w:r>
        <w:t>’</w:t>
      </w:r>
      <w:r w:rsidRPr="009A0348">
        <w:t xml:space="preserve"> budgets (% of </w:t>
      </w:r>
      <w:r>
        <w:t xml:space="preserve">86 </w:t>
      </w:r>
      <w:r w:rsidRPr="009A0348">
        <w:t>survey replies</w:t>
      </w:r>
      <w:r>
        <w:t xml:space="preserve"> to</w:t>
      </w:r>
      <w:r w:rsidRPr="009A0348">
        <w:t xml:space="preserve"> Q31</w:t>
      </w:r>
      <w:r>
        <w:t>)</w:t>
      </w:r>
    </w:p>
    <w:p w:rsidR="0058279C" w:rsidRPr="009A0348" w:rsidRDefault="0058279C" w:rsidP="001C4FBF">
      <w:r>
        <w:rPr>
          <w:noProof/>
          <w:lang w:eastAsia="en-GB"/>
        </w:rPr>
        <w:drawing>
          <wp:inline distT="0" distB="0" distL="0" distR="0">
            <wp:extent cx="4572000" cy="1652588"/>
            <wp:effectExtent l="0" t="0" r="19050" b="241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C4FBF" w:rsidRPr="009A0348" w:rsidRDefault="001C4FBF" w:rsidP="001C4FBF"/>
    <w:p w:rsidR="001C4FBF" w:rsidRDefault="001C4FBF">
      <w:r>
        <w:br w:type="page"/>
      </w:r>
    </w:p>
    <w:p w:rsidR="001C4FBF" w:rsidRDefault="001C4FBF" w:rsidP="001C4FBF">
      <w:pPr>
        <w:contextualSpacing/>
      </w:pPr>
      <w:r w:rsidRPr="009A0348">
        <w:lastRenderedPageBreak/>
        <w:t xml:space="preserve">Fig 3 Changes made to commissioning services under the ring-fenced public health budget (% of </w:t>
      </w:r>
      <w:r>
        <w:t xml:space="preserve">81-83 </w:t>
      </w:r>
      <w:r w:rsidRPr="009A0348">
        <w:t>survey replies</w:t>
      </w:r>
      <w:r w:rsidR="007F4F54">
        <w:t xml:space="preserve"> to</w:t>
      </w:r>
      <w:r w:rsidRPr="009A0348">
        <w:t xml:space="preserve"> Q42,</w:t>
      </w:r>
      <w:r>
        <w:t xml:space="preserve"> Q</w:t>
      </w:r>
      <w:r w:rsidRPr="009A0348">
        <w:t>43</w:t>
      </w:r>
      <w:r>
        <w:t xml:space="preserve">i, ii, iii, </w:t>
      </w:r>
      <w:proofErr w:type="gramStart"/>
      <w:r>
        <w:t>iv</w:t>
      </w:r>
      <w:proofErr w:type="gramEnd"/>
      <w:r>
        <w:t>)</w:t>
      </w:r>
    </w:p>
    <w:p w:rsidR="0058279C" w:rsidRPr="009A0348" w:rsidRDefault="0058279C" w:rsidP="001C4FBF">
      <w:pPr>
        <w:contextualSpacing/>
      </w:pPr>
      <w:r>
        <w:rPr>
          <w:noProof/>
          <w:lang w:eastAsia="en-GB"/>
        </w:rPr>
        <w:drawing>
          <wp:inline distT="0" distB="0" distL="0" distR="0">
            <wp:extent cx="5233989" cy="2714625"/>
            <wp:effectExtent l="0" t="0" r="2413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C4FBF" w:rsidRPr="009A0348" w:rsidRDefault="001C4FBF" w:rsidP="001C4FBF">
      <w:pPr>
        <w:contextualSpacing/>
      </w:pPr>
    </w:p>
    <w:p w:rsidR="00D36F29" w:rsidRPr="009A0348" w:rsidRDefault="00D36F29"/>
    <w:sectPr w:rsidR="00D36F29" w:rsidRPr="009A0348" w:rsidSect="00A334B4">
      <w:headerReference w:type="default" r:id="rId30"/>
      <w:footerReference w:type="default" r:id="rId31"/>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54D970" w15:done="0"/>
  <w15:commentEx w15:paraId="06A0EA71" w15:done="0"/>
  <w15:commentEx w15:paraId="0F26967A" w15:done="0"/>
  <w15:commentEx w15:paraId="3E502FCF" w15:paraIdParent="0F26967A" w15:done="0"/>
  <w15:commentEx w15:paraId="5667724D" w15:done="0"/>
  <w15:commentEx w15:paraId="5998E5B6" w15:done="0"/>
  <w15:commentEx w15:paraId="337BC250" w15:done="0"/>
  <w15:commentEx w15:paraId="4DD78B1D" w15:done="0"/>
  <w15:commentEx w15:paraId="59B16CFA" w15:done="0"/>
  <w15:commentEx w15:paraId="12BAEEC0" w15:done="0"/>
  <w15:commentEx w15:paraId="06AEA850" w15:done="0"/>
  <w15:commentEx w15:paraId="757BB158" w15:done="0"/>
  <w15:commentEx w15:paraId="254F6439" w15:done="0"/>
  <w15:commentEx w15:paraId="11412F29" w15:done="0"/>
  <w15:commentEx w15:paraId="71C49DDE" w15:done="0"/>
  <w15:commentEx w15:paraId="1EE95293" w15:done="0"/>
  <w15:commentEx w15:paraId="78118DDE" w15:done="0"/>
  <w15:commentEx w15:paraId="5ACDE090" w15:done="0"/>
  <w15:commentEx w15:paraId="547C6DE4" w15:done="0"/>
  <w15:commentEx w15:paraId="4490A190" w15:done="0"/>
  <w15:commentEx w15:paraId="7B92F4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D56" w:rsidRDefault="00724D56" w:rsidP="00D61D46">
      <w:pPr>
        <w:spacing w:after="0" w:line="240" w:lineRule="auto"/>
      </w:pPr>
      <w:r>
        <w:separator/>
      </w:r>
    </w:p>
  </w:endnote>
  <w:endnote w:type="continuationSeparator" w:id="0">
    <w:p w:rsidR="00724D56" w:rsidRDefault="00724D56" w:rsidP="00D61D46">
      <w:pPr>
        <w:spacing w:after="0" w:line="240" w:lineRule="auto"/>
      </w:pPr>
      <w:r>
        <w:continuationSeparator/>
      </w:r>
    </w:p>
  </w:endnote>
  <w:endnote w:type="continuationNotice" w:id="1">
    <w:p w:rsidR="00724D56" w:rsidRDefault="00724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Frutiger-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EDA" w:rsidRDefault="00075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D56" w:rsidRDefault="00724D56" w:rsidP="00D61D46">
      <w:pPr>
        <w:spacing w:after="0" w:line="240" w:lineRule="auto"/>
      </w:pPr>
      <w:r>
        <w:separator/>
      </w:r>
    </w:p>
  </w:footnote>
  <w:footnote w:type="continuationSeparator" w:id="0">
    <w:p w:rsidR="00724D56" w:rsidRDefault="00724D56" w:rsidP="00D61D46">
      <w:pPr>
        <w:spacing w:after="0" w:line="240" w:lineRule="auto"/>
      </w:pPr>
      <w:r>
        <w:continuationSeparator/>
      </w:r>
    </w:p>
  </w:footnote>
  <w:footnote w:type="continuationNotice" w:id="1">
    <w:p w:rsidR="00724D56" w:rsidRDefault="00724D5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EDA" w:rsidRDefault="00075E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A4AF6"/>
    <w:multiLevelType w:val="hybridMultilevel"/>
    <w:tmpl w:val="0832BD7E"/>
    <w:lvl w:ilvl="0" w:tplc="2F80A2C0">
      <w:start w:val="3"/>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B84555B"/>
    <w:multiLevelType w:val="hybridMultilevel"/>
    <w:tmpl w:val="6CC8CB5E"/>
    <w:lvl w:ilvl="0" w:tplc="49BC087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B517A9"/>
    <w:multiLevelType w:val="hybridMultilevel"/>
    <w:tmpl w:val="5D805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24D6F4E"/>
    <w:multiLevelType w:val="hybridMultilevel"/>
    <w:tmpl w:val="ABF67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8FD7D1E"/>
    <w:multiLevelType w:val="hybridMultilevel"/>
    <w:tmpl w:val="616CC574"/>
    <w:lvl w:ilvl="0" w:tplc="17903A54">
      <w:start w:val="3"/>
      <w:numFmt w:val="decimal"/>
      <w:lvlText w:val="%1."/>
      <w:lvlJc w:val="left"/>
      <w:pPr>
        <w:ind w:left="720" w:hanging="360"/>
      </w:pPr>
      <w:rPr>
        <w:rFonts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8C61508"/>
    <w:multiLevelType w:val="hybridMultilevel"/>
    <w:tmpl w:val="C082BC9E"/>
    <w:lvl w:ilvl="0" w:tplc="2E5CD63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A90754"/>
    <w:multiLevelType w:val="hybridMultilevel"/>
    <w:tmpl w:val="B7805A8C"/>
    <w:lvl w:ilvl="0" w:tplc="457AC1FE">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DB023C6"/>
    <w:multiLevelType w:val="hybridMultilevel"/>
    <w:tmpl w:val="AA90F674"/>
    <w:lvl w:ilvl="0" w:tplc="694A95A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EE56928"/>
    <w:multiLevelType w:val="hybridMultilevel"/>
    <w:tmpl w:val="327E861A"/>
    <w:lvl w:ilvl="0" w:tplc="679C21E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36F21F2"/>
    <w:multiLevelType w:val="hybridMultilevel"/>
    <w:tmpl w:val="BD142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9791BF8"/>
    <w:multiLevelType w:val="hybridMultilevel"/>
    <w:tmpl w:val="4EEE669E"/>
    <w:lvl w:ilvl="0" w:tplc="8B5A81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5"/>
  </w:num>
  <w:num w:numId="5">
    <w:abstractNumId w:val="10"/>
  </w:num>
  <w:num w:numId="6">
    <w:abstractNumId w:val="3"/>
  </w:num>
  <w:num w:numId="7">
    <w:abstractNumId w:val="9"/>
  </w:num>
  <w:num w:numId="8">
    <w:abstractNumId w:val="4"/>
  </w:num>
  <w:num w:numId="9">
    <w:abstractNumId w:val="6"/>
  </w:num>
  <w:num w:numId="10">
    <w:abstractNumId w:val="1"/>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a Gadsby">
    <w15:presenceInfo w15:providerId="Windows Live" w15:userId="e85c90ea5c9424af"/>
  </w15:person>
  <w15:person w15:author="Neil Perkins">
    <w15:presenceInfo w15:providerId="Windows Live" w15:userId="0327851d444bc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85E"/>
    <w:rsid w:val="00003283"/>
    <w:rsid w:val="00004232"/>
    <w:rsid w:val="00004E36"/>
    <w:rsid w:val="00005D18"/>
    <w:rsid w:val="000108C7"/>
    <w:rsid w:val="00011E38"/>
    <w:rsid w:val="000155F2"/>
    <w:rsid w:val="00016D20"/>
    <w:rsid w:val="00016E92"/>
    <w:rsid w:val="00017178"/>
    <w:rsid w:val="0002342A"/>
    <w:rsid w:val="00024958"/>
    <w:rsid w:val="00024D36"/>
    <w:rsid w:val="00031123"/>
    <w:rsid w:val="0004041A"/>
    <w:rsid w:val="000405BC"/>
    <w:rsid w:val="00040FFF"/>
    <w:rsid w:val="000447F3"/>
    <w:rsid w:val="00044EA2"/>
    <w:rsid w:val="0004620F"/>
    <w:rsid w:val="000528EA"/>
    <w:rsid w:val="00060540"/>
    <w:rsid w:val="00064151"/>
    <w:rsid w:val="00067F56"/>
    <w:rsid w:val="00070A69"/>
    <w:rsid w:val="00070EAE"/>
    <w:rsid w:val="000738A1"/>
    <w:rsid w:val="00074C64"/>
    <w:rsid w:val="00075EDA"/>
    <w:rsid w:val="000763B5"/>
    <w:rsid w:val="00076E52"/>
    <w:rsid w:val="00083A13"/>
    <w:rsid w:val="00083BDD"/>
    <w:rsid w:val="00092172"/>
    <w:rsid w:val="00092748"/>
    <w:rsid w:val="0009680F"/>
    <w:rsid w:val="000A24F8"/>
    <w:rsid w:val="000A37B0"/>
    <w:rsid w:val="000A5791"/>
    <w:rsid w:val="000A655D"/>
    <w:rsid w:val="000B0D83"/>
    <w:rsid w:val="000B5774"/>
    <w:rsid w:val="000B6CAC"/>
    <w:rsid w:val="000B70D5"/>
    <w:rsid w:val="000C7E09"/>
    <w:rsid w:val="000E0470"/>
    <w:rsid w:val="000E6E23"/>
    <w:rsid w:val="000E7C9A"/>
    <w:rsid w:val="000F4B16"/>
    <w:rsid w:val="000F6E40"/>
    <w:rsid w:val="0010128D"/>
    <w:rsid w:val="0012066E"/>
    <w:rsid w:val="00123DFE"/>
    <w:rsid w:val="00124801"/>
    <w:rsid w:val="00127BB0"/>
    <w:rsid w:val="001373C6"/>
    <w:rsid w:val="0015162E"/>
    <w:rsid w:val="001539E5"/>
    <w:rsid w:val="00161815"/>
    <w:rsid w:val="00163E23"/>
    <w:rsid w:val="001648CB"/>
    <w:rsid w:val="00175B6E"/>
    <w:rsid w:val="001764B0"/>
    <w:rsid w:val="00176F1F"/>
    <w:rsid w:val="00184376"/>
    <w:rsid w:val="0018757D"/>
    <w:rsid w:val="00190867"/>
    <w:rsid w:val="00190929"/>
    <w:rsid w:val="00192E14"/>
    <w:rsid w:val="00194F2F"/>
    <w:rsid w:val="001952BD"/>
    <w:rsid w:val="00197D1B"/>
    <w:rsid w:val="001A0DF8"/>
    <w:rsid w:val="001C4FBF"/>
    <w:rsid w:val="001C5145"/>
    <w:rsid w:val="001D1207"/>
    <w:rsid w:val="001D1FFF"/>
    <w:rsid w:val="001D32CB"/>
    <w:rsid w:val="001D41FE"/>
    <w:rsid w:val="001D70FB"/>
    <w:rsid w:val="001E3ABD"/>
    <w:rsid w:val="001F3A6A"/>
    <w:rsid w:val="001F44E5"/>
    <w:rsid w:val="001F6EAC"/>
    <w:rsid w:val="00202E43"/>
    <w:rsid w:val="00203107"/>
    <w:rsid w:val="00207E9E"/>
    <w:rsid w:val="00210921"/>
    <w:rsid w:val="002136D2"/>
    <w:rsid w:val="0021520F"/>
    <w:rsid w:val="00216398"/>
    <w:rsid w:val="0022011D"/>
    <w:rsid w:val="002205E0"/>
    <w:rsid w:val="0022097B"/>
    <w:rsid w:val="00221143"/>
    <w:rsid w:val="00230EE9"/>
    <w:rsid w:val="00231103"/>
    <w:rsid w:val="00243603"/>
    <w:rsid w:val="00247AB7"/>
    <w:rsid w:val="002629D4"/>
    <w:rsid w:val="00263F37"/>
    <w:rsid w:val="0026470F"/>
    <w:rsid w:val="00265156"/>
    <w:rsid w:val="00271D78"/>
    <w:rsid w:val="00276DB1"/>
    <w:rsid w:val="00277B7A"/>
    <w:rsid w:val="00287100"/>
    <w:rsid w:val="0029185E"/>
    <w:rsid w:val="002A0128"/>
    <w:rsid w:val="002A664B"/>
    <w:rsid w:val="002B167B"/>
    <w:rsid w:val="002B1F67"/>
    <w:rsid w:val="002B1FE2"/>
    <w:rsid w:val="002C2420"/>
    <w:rsid w:val="002C2C01"/>
    <w:rsid w:val="002C4DBF"/>
    <w:rsid w:val="002C4EE9"/>
    <w:rsid w:val="002C69D1"/>
    <w:rsid w:val="002C6F86"/>
    <w:rsid w:val="002D10DD"/>
    <w:rsid w:val="002D6521"/>
    <w:rsid w:val="002E0EA3"/>
    <w:rsid w:val="002E264A"/>
    <w:rsid w:val="002E2A33"/>
    <w:rsid w:val="002E553B"/>
    <w:rsid w:val="002F04F8"/>
    <w:rsid w:val="002F14AC"/>
    <w:rsid w:val="00301AE0"/>
    <w:rsid w:val="00301D1B"/>
    <w:rsid w:val="00306663"/>
    <w:rsid w:val="0030711D"/>
    <w:rsid w:val="00312E67"/>
    <w:rsid w:val="00313691"/>
    <w:rsid w:val="00313B4A"/>
    <w:rsid w:val="00314294"/>
    <w:rsid w:val="003174A8"/>
    <w:rsid w:val="00323DEB"/>
    <w:rsid w:val="00325E53"/>
    <w:rsid w:val="00326307"/>
    <w:rsid w:val="00327B93"/>
    <w:rsid w:val="00330C60"/>
    <w:rsid w:val="003327D4"/>
    <w:rsid w:val="003416C8"/>
    <w:rsid w:val="00345B8B"/>
    <w:rsid w:val="00346D1A"/>
    <w:rsid w:val="00352499"/>
    <w:rsid w:val="0035390B"/>
    <w:rsid w:val="00356AE0"/>
    <w:rsid w:val="00356C2F"/>
    <w:rsid w:val="00356E54"/>
    <w:rsid w:val="00360B7D"/>
    <w:rsid w:val="00361D51"/>
    <w:rsid w:val="003641E2"/>
    <w:rsid w:val="00364DC7"/>
    <w:rsid w:val="0036552E"/>
    <w:rsid w:val="003667F2"/>
    <w:rsid w:val="00375BCC"/>
    <w:rsid w:val="003778B5"/>
    <w:rsid w:val="00380572"/>
    <w:rsid w:val="00381281"/>
    <w:rsid w:val="00382E4A"/>
    <w:rsid w:val="003912D6"/>
    <w:rsid w:val="003921A1"/>
    <w:rsid w:val="003922C5"/>
    <w:rsid w:val="00395073"/>
    <w:rsid w:val="003B1D6D"/>
    <w:rsid w:val="003B233D"/>
    <w:rsid w:val="003C50E9"/>
    <w:rsid w:val="003C659D"/>
    <w:rsid w:val="003D0516"/>
    <w:rsid w:val="003D2B15"/>
    <w:rsid w:val="003D5E0F"/>
    <w:rsid w:val="003E0794"/>
    <w:rsid w:val="003E0EBB"/>
    <w:rsid w:val="003E3851"/>
    <w:rsid w:val="003F163F"/>
    <w:rsid w:val="003F4C3B"/>
    <w:rsid w:val="00401D52"/>
    <w:rsid w:val="00403C5A"/>
    <w:rsid w:val="00403FFB"/>
    <w:rsid w:val="004049CB"/>
    <w:rsid w:val="004077D1"/>
    <w:rsid w:val="004115F7"/>
    <w:rsid w:val="00411FC8"/>
    <w:rsid w:val="004158A5"/>
    <w:rsid w:val="0041794E"/>
    <w:rsid w:val="0042038B"/>
    <w:rsid w:val="00420559"/>
    <w:rsid w:val="00421050"/>
    <w:rsid w:val="00426501"/>
    <w:rsid w:val="004269C6"/>
    <w:rsid w:val="00430020"/>
    <w:rsid w:val="00430029"/>
    <w:rsid w:val="004369E8"/>
    <w:rsid w:val="00444340"/>
    <w:rsid w:val="00445FB7"/>
    <w:rsid w:val="00446071"/>
    <w:rsid w:val="00447352"/>
    <w:rsid w:val="00450B9E"/>
    <w:rsid w:val="00450F6D"/>
    <w:rsid w:val="00451684"/>
    <w:rsid w:val="00452C58"/>
    <w:rsid w:val="004530DF"/>
    <w:rsid w:val="00455563"/>
    <w:rsid w:val="0045611F"/>
    <w:rsid w:val="00456367"/>
    <w:rsid w:val="00457045"/>
    <w:rsid w:val="00464039"/>
    <w:rsid w:val="0048136D"/>
    <w:rsid w:val="00482499"/>
    <w:rsid w:val="004828D1"/>
    <w:rsid w:val="00482CCB"/>
    <w:rsid w:val="00491111"/>
    <w:rsid w:val="00493222"/>
    <w:rsid w:val="004941A8"/>
    <w:rsid w:val="00496BFF"/>
    <w:rsid w:val="004A010E"/>
    <w:rsid w:val="004A7B3D"/>
    <w:rsid w:val="004B2BCE"/>
    <w:rsid w:val="004B4589"/>
    <w:rsid w:val="004B6CFE"/>
    <w:rsid w:val="004B6F89"/>
    <w:rsid w:val="004C5C8A"/>
    <w:rsid w:val="004C61B0"/>
    <w:rsid w:val="004D4346"/>
    <w:rsid w:val="004D72F4"/>
    <w:rsid w:val="004D7CEB"/>
    <w:rsid w:val="004E2ECE"/>
    <w:rsid w:val="004E7597"/>
    <w:rsid w:val="004F1E3E"/>
    <w:rsid w:val="004F2348"/>
    <w:rsid w:val="004F4B19"/>
    <w:rsid w:val="00507B4A"/>
    <w:rsid w:val="005109EC"/>
    <w:rsid w:val="0051357F"/>
    <w:rsid w:val="00514BED"/>
    <w:rsid w:val="005179BB"/>
    <w:rsid w:val="005330F2"/>
    <w:rsid w:val="005402EC"/>
    <w:rsid w:val="00546011"/>
    <w:rsid w:val="0054750B"/>
    <w:rsid w:val="00555ADC"/>
    <w:rsid w:val="0056132A"/>
    <w:rsid w:val="00561D1C"/>
    <w:rsid w:val="00571CCF"/>
    <w:rsid w:val="005742F6"/>
    <w:rsid w:val="00574AE6"/>
    <w:rsid w:val="00580549"/>
    <w:rsid w:val="0058279C"/>
    <w:rsid w:val="005861F9"/>
    <w:rsid w:val="00586A30"/>
    <w:rsid w:val="00587FFA"/>
    <w:rsid w:val="005937CD"/>
    <w:rsid w:val="00593FAD"/>
    <w:rsid w:val="005971F8"/>
    <w:rsid w:val="005A0AF2"/>
    <w:rsid w:val="005A2A80"/>
    <w:rsid w:val="005C0274"/>
    <w:rsid w:val="005C0C6E"/>
    <w:rsid w:val="005C1B6D"/>
    <w:rsid w:val="005C2A6A"/>
    <w:rsid w:val="005C7593"/>
    <w:rsid w:val="005D468A"/>
    <w:rsid w:val="005E560D"/>
    <w:rsid w:val="005E6C5A"/>
    <w:rsid w:val="005E6E3F"/>
    <w:rsid w:val="005F07C0"/>
    <w:rsid w:val="005F2F03"/>
    <w:rsid w:val="005F45C7"/>
    <w:rsid w:val="005F52D3"/>
    <w:rsid w:val="005F6180"/>
    <w:rsid w:val="005F6F21"/>
    <w:rsid w:val="00600993"/>
    <w:rsid w:val="00603353"/>
    <w:rsid w:val="00611BDE"/>
    <w:rsid w:val="00612D07"/>
    <w:rsid w:val="00625373"/>
    <w:rsid w:val="00634515"/>
    <w:rsid w:val="0063663E"/>
    <w:rsid w:val="006463EC"/>
    <w:rsid w:val="00647845"/>
    <w:rsid w:val="00647F82"/>
    <w:rsid w:val="006515B2"/>
    <w:rsid w:val="00656425"/>
    <w:rsid w:val="0065781C"/>
    <w:rsid w:val="00662BEA"/>
    <w:rsid w:val="00672077"/>
    <w:rsid w:val="00674416"/>
    <w:rsid w:val="00674521"/>
    <w:rsid w:val="0068675C"/>
    <w:rsid w:val="006903B7"/>
    <w:rsid w:val="006A3CAE"/>
    <w:rsid w:val="006B2298"/>
    <w:rsid w:val="006B25D3"/>
    <w:rsid w:val="006B366E"/>
    <w:rsid w:val="006C0A2A"/>
    <w:rsid w:val="006C243C"/>
    <w:rsid w:val="006C26B2"/>
    <w:rsid w:val="006C2ED4"/>
    <w:rsid w:val="006D0F24"/>
    <w:rsid w:val="006D1F3D"/>
    <w:rsid w:val="006D33D9"/>
    <w:rsid w:val="006D5E12"/>
    <w:rsid w:val="006E0B75"/>
    <w:rsid w:val="006E1BF6"/>
    <w:rsid w:val="006E1E73"/>
    <w:rsid w:val="006F5671"/>
    <w:rsid w:val="00700314"/>
    <w:rsid w:val="00710A4E"/>
    <w:rsid w:val="00712394"/>
    <w:rsid w:val="00724520"/>
    <w:rsid w:val="00724D56"/>
    <w:rsid w:val="007259D7"/>
    <w:rsid w:val="00725CA1"/>
    <w:rsid w:val="007263B7"/>
    <w:rsid w:val="00740D6E"/>
    <w:rsid w:val="00740F3A"/>
    <w:rsid w:val="0074462A"/>
    <w:rsid w:val="007456F1"/>
    <w:rsid w:val="00746A0C"/>
    <w:rsid w:val="00746D69"/>
    <w:rsid w:val="00750967"/>
    <w:rsid w:val="0076105C"/>
    <w:rsid w:val="007711A0"/>
    <w:rsid w:val="00772B6A"/>
    <w:rsid w:val="0077446D"/>
    <w:rsid w:val="00777C4B"/>
    <w:rsid w:val="00777F4F"/>
    <w:rsid w:val="0078111F"/>
    <w:rsid w:val="00781647"/>
    <w:rsid w:val="007830F4"/>
    <w:rsid w:val="007848BC"/>
    <w:rsid w:val="00786426"/>
    <w:rsid w:val="00786B9F"/>
    <w:rsid w:val="00791744"/>
    <w:rsid w:val="007925AF"/>
    <w:rsid w:val="00795B82"/>
    <w:rsid w:val="00795F3B"/>
    <w:rsid w:val="00797113"/>
    <w:rsid w:val="007A1AB6"/>
    <w:rsid w:val="007A1D6D"/>
    <w:rsid w:val="007A2F4A"/>
    <w:rsid w:val="007A7289"/>
    <w:rsid w:val="007B5F1D"/>
    <w:rsid w:val="007B689F"/>
    <w:rsid w:val="007C2C3D"/>
    <w:rsid w:val="007C3AFE"/>
    <w:rsid w:val="007E0392"/>
    <w:rsid w:val="007F068C"/>
    <w:rsid w:val="007F2D62"/>
    <w:rsid w:val="007F4F54"/>
    <w:rsid w:val="007F7F13"/>
    <w:rsid w:val="008009F0"/>
    <w:rsid w:val="00812078"/>
    <w:rsid w:val="008135E6"/>
    <w:rsid w:val="00816AF8"/>
    <w:rsid w:val="0081784E"/>
    <w:rsid w:val="00824CD8"/>
    <w:rsid w:val="00834607"/>
    <w:rsid w:val="00840481"/>
    <w:rsid w:val="00841FA1"/>
    <w:rsid w:val="00845F93"/>
    <w:rsid w:val="008506C2"/>
    <w:rsid w:val="008563FD"/>
    <w:rsid w:val="00857472"/>
    <w:rsid w:val="00862F9B"/>
    <w:rsid w:val="00872E3C"/>
    <w:rsid w:val="00875A26"/>
    <w:rsid w:val="0087696B"/>
    <w:rsid w:val="008877F5"/>
    <w:rsid w:val="008937AE"/>
    <w:rsid w:val="00893CA6"/>
    <w:rsid w:val="00895314"/>
    <w:rsid w:val="008A0FA0"/>
    <w:rsid w:val="008A106B"/>
    <w:rsid w:val="008A22E3"/>
    <w:rsid w:val="008A25D4"/>
    <w:rsid w:val="008A7D07"/>
    <w:rsid w:val="008B2205"/>
    <w:rsid w:val="008B6CD7"/>
    <w:rsid w:val="008C1743"/>
    <w:rsid w:val="008C2049"/>
    <w:rsid w:val="008C4AE5"/>
    <w:rsid w:val="008D09E7"/>
    <w:rsid w:val="008D2DBA"/>
    <w:rsid w:val="008D48F4"/>
    <w:rsid w:val="008D56D4"/>
    <w:rsid w:val="008D5E4D"/>
    <w:rsid w:val="008E1E20"/>
    <w:rsid w:val="008F1A3F"/>
    <w:rsid w:val="008F1FD6"/>
    <w:rsid w:val="008F3559"/>
    <w:rsid w:val="008F5147"/>
    <w:rsid w:val="008F58B8"/>
    <w:rsid w:val="008F782B"/>
    <w:rsid w:val="008F7976"/>
    <w:rsid w:val="00912A2F"/>
    <w:rsid w:val="00913E88"/>
    <w:rsid w:val="00915E94"/>
    <w:rsid w:val="00917C63"/>
    <w:rsid w:val="009251DF"/>
    <w:rsid w:val="0092550F"/>
    <w:rsid w:val="0092563D"/>
    <w:rsid w:val="00927C79"/>
    <w:rsid w:val="00930C96"/>
    <w:rsid w:val="0093178C"/>
    <w:rsid w:val="00934C47"/>
    <w:rsid w:val="00936FFD"/>
    <w:rsid w:val="00954F4A"/>
    <w:rsid w:val="009601AB"/>
    <w:rsid w:val="00971EC2"/>
    <w:rsid w:val="009759B2"/>
    <w:rsid w:val="009773A3"/>
    <w:rsid w:val="00982769"/>
    <w:rsid w:val="00993A64"/>
    <w:rsid w:val="009974AE"/>
    <w:rsid w:val="009A0348"/>
    <w:rsid w:val="009A1BFD"/>
    <w:rsid w:val="009A2369"/>
    <w:rsid w:val="009A33C5"/>
    <w:rsid w:val="009A539D"/>
    <w:rsid w:val="009B23D1"/>
    <w:rsid w:val="009B46B2"/>
    <w:rsid w:val="009B5705"/>
    <w:rsid w:val="009B633C"/>
    <w:rsid w:val="009C1C07"/>
    <w:rsid w:val="009C5873"/>
    <w:rsid w:val="009E6B41"/>
    <w:rsid w:val="009F7AC8"/>
    <w:rsid w:val="00A02005"/>
    <w:rsid w:val="00A03CF8"/>
    <w:rsid w:val="00A04206"/>
    <w:rsid w:val="00A05949"/>
    <w:rsid w:val="00A22642"/>
    <w:rsid w:val="00A309E1"/>
    <w:rsid w:val="00A334B4"/>
    <w:rsid w:val="00A34FFE"/>
    <w:rsid w:val="00A364CB"/>
    <w:rsid w:val="00A3660D"/>
    <w:rsid w:val="00A40660"/>
    <w:rsid w:val="00A43979"/>
    <w:rsid w:val="00A43D7D"/>
    <w:rsid w:val="00A502F7"/>
    <w:rsid w:val="00A5080D"/>
    <w:rsid w:val="00A53963"/>
    <w:rsid w:val="00A64E48"/>
    <w:rsid w:val="00A66D79"/>
    <w:rsid w:val="00A71645"/>
    <w:rsid w:val="00A72244"/>
    <w:rsid w:val="00A73D75"/>
    <w:rsid w:val="00A74830"/>
    <w:rsid w:val="00A76CED"/>
    <w:rsid w:val="00A801E3"/>
    <w:rsid w:val="00A8059F"/>
    <w:rsid w:val="00A80773"/>
    <w:rsid w:val="00A85AD9"/>
    <w:rsid w:val="00A865E0"/>
    <w:rsid w:val="00A87620"/>
    <w:rsid w:val="00A91312"/>
    <w:rsid w:val="00A94548"/>
    <w:rsid w:val="00A97F4F"/>
    <w:rsid w:val="00AA083E"/>
    <w:rsid w:val="00AA1F79"/>
    <w:rsid w:val="00AA2E5B"/>
    <w:rsid w:val="00AA5756"/>
    <w:rsid w:val="00AA5DE1"/>
    <w:rsid w:val="00AA5E27"/>
    <w:rsid w:val="00AA6A7F"/>
    <w:rsid w:val="00AB7CAC"/>
    <w:rsid w:val="00AC110E"/>
    <w:rsid w:val="00AC1E85"/>
    <w:rsid w:val="00AC2C55"/>
    <w:rsid w:val="00AC3D91"/>
    <w:rsid w:val="00AC6509"/>
    <w:rsid w:val="00AD05E7"/>
    <w:rsid w:val="00AD5C57"/>
    <w:rsid w:val="00AD5F05"/>
    <w:rsid w:val="00AD6A3A"/>
    <w:rsid w:val="00AD7517"/>
    <w:rsid w:val="00AE072B"/>
    <w:rsid w:val="00AE3B3D"/>
    <w:rsid w:val="00AF2BCD"/>
    <w:rsid w:val="00AF487B"/>
    <w:rsid w:val="00AF57A6"/>
    <w:rsid w:val="00B01657"/>
    <w:rsid w:val="00B03222"/>
    <w:rsid w:val="00B113CA"/>
    <w:rsid w:val="00B140E4"/>
    <w:rsid w:val="00B22781"/>
    <w:rsid w:val="00B241BD"/>
    <w:rsid w:val="00B310A4"/>
    <w:rsid w:val="00B507D0"/>
    <w:rsid w:val="00B5341E"/>
    <w:rsid w:val="00B54185"/>
    <w:rsid w:val="00B5791B"/>
    <w:rsid w:val="00B57B9C"/>
    <w:rsid w:val="00B612E4"/>
    <w:rsid w:val="00B63420"/>
    <w:rsid w:val="00B66C49"/>
    <w:rsid w:val="00B66EB3"/>
    <w:rsid w:val="00B67418"/>
    <w:rsid w:val="00B70B05"/>
    <w:rsid w:val="00B743D5"/>
    <w:rsid w:val="00B80FFF"/>
    <w:rsid w:val="00B8693A"/>
    <w:rsid w:val="00B86C22"/>
    <w:rsid w:val="00B932B2"/>
    <w:rsid w:val="00B93D9D"/>
    <w:rsid w:val="00B96114"/>
    <w:rsid w:val="00B96C58"/>
    <w:rsid w:val="00BA0C92"/>
    <w:rsid w:val="00BA1444"/>
    <w:rsid w:val="00BA2354"/>
    <w:rsid w:val="00BA415A"/>
    <w:rsid w:val="00BA4BCE"/>
    <w:rsid w:val="00BA5319"/>
    <w:rsid w:val="00BA7232"/>
    <w:rsid w:val="00BB3CC2"/>
    <w:rsid w:val="00BB4917"/>
    <w:rsid w:val="00BB7523"/>
    <w:rsid w:val="00BB7C98"/>
    <w:rsid w:val="00BC0FB3"/>
    <w:rsid w:val="00BC22B3"/>
    <w:rsid w:val="00BC5AEC"/>
    <w:rsid w:val="00BD290D"/>
    <w:rsid w:val="00BE1F59"/>
    <w:rsid w:val="00BE7B01"/>
    <w:rsid w:val="00BF6A7B"/>
    <w:rsid w:val="00C00D00"/>
    <w:rsid w:val="00C06ED8"/>
    <w:rsid w:val="00C11666"/>
    <w:rsid w:val="00C1405B"/>
    <w:rsid w:val="00C1725F"/>
    <w:rsid w:val="00C224B7"/>
    <w:rsid w:val="00C2332C"/>
    <w:rsid w:val="00C239EE"/>
    <w:rsid w:val="00C26567"/>
    <w:rsid w:val="00C30A45"/>
    <w:rsid w:val="00C31407"/>
    <w:rsid w:val="00C32721"/>
    <w:rsid w:val="00C32D13"/>
    <w:rsid w:val="00C33FC9"/>
    <w:rsid w:val="00C35F40"/>
    <w:rsid w:val="00C4376A"/>
    <w:rsid w:val="00C46C0D"/>
    <w:rsid w:val="00C46CDB"/>
    <w:rsid w:val="00C52857"/>
    <w:rsid w:val="00C532EE"/>
    <w:rsid w:val="00C6473E"/>
    <w:rsid w:val="00C648E0"/>
    <w:rsid w:val="00C73F4A"/>
    <w:rsid w:val="00C826CF"/>
    <w:rsid w:val="00C851E5"/>
    <w:rsid w:val="00C93420"/>
    <w:rsid w:val="00C939FA"/>
    <w:rsid w:val="00C97CBC"/>
    <w:rsid w:val="00CA175A"/>
    <w:rsid w:val="00CA501B"/>
    <w:rsid w:val="00CA75C4"/>
    <w:rsid w:val="00CB3B86"/>
    <w:rsid w:val="00CC7827"/>
    <w:rsid w:val="00CD2BD6"/>
    <w:rsid w:val="00CD2D8E"/>
    <w:rsid w:val="00CD636F"/>
    <w:rsid w:val="00CE082D"/>
    <w:rsid w:val="00CE3666"/>
    <w:rsid w:val="00D2282E"/>
    <w:rsid w:val="00D2364B"/>
    <w:rsid w:val="00D23774"/>
    <w:rsid w:val="00D3563E"/>
    <w:rsid w:val="00D356A5"/>
    <w:rsid w:val="00D35AEA"/>
    <w:rsid w:val="00D36F29"/>
    <w:rsid w:val="00D37989"/>
    <w:rsid w:val="00D40621"/>
    <w:rsid w:val="00D44B7E"/>
    <w:rsid w:val="00D451A0"/>
    <w:rsid w:val="00D55E5C"/>
    <w:rsid w:val="00D5651A"/>
    <w:rsid w:val="00D56569"/>
    <w:rsid w:val="00D5678A"/>
    <w:rsid w:val="00D600B3"/>
    <w:rsid w:val="00D61D46"/>
    <w:rsid w:val="00D65670"/>
    <w:rsid w:val="00D6581B"/>
    <w:rsid w:val="00D65C8E"/>
    <w:rsid w:val="00D9313A"/>
    <w:rsid w:val="00D932E0"/>
    <w:rsid w:val="00D941F5"/>
    <w:rsid w:val="00D960FF"/>
    <w:rsid w:val="00DA059B"/>
    <w:rsid w:val="00DA06AC"/>
    <w:rsid w:val="00DA175E"/>
    <w:rsid w:val="00DA26D4"/>
    <w:rsid w:val="00DB5A49"/>
    <w:rsid w:val="00DB5E49"/>
    <w:rsid w:val="00DB5FE1"/>
    <w:rsid w:val="00DB6238"/>
    <w:rsid w:val="00DC374C"/>
    <w:rsid w:val="00DD3BEC"/>
    <w:rsid w:val="00DD576D"/>
    <w:rsid w:val="00DD6DF0"/>
    <w:rsid w:val="00DE0918"/>
    <w:rsid w:val="00DE5260"/>
    <w:rsid w:val="00DE6AA2"/>
    <w:rsid w:val="00DF4B58"/>
    <w:rsid w:val="00E00787"/>
    <w:rsid w:val="00E02404"/>
    <w:rsid w:val="00E15E96"/>
    <w:rsid w:val="00E17776"/>
    <w:rsid w:val="00E240AF"/>
    <w:rsid w:val="00E257C8"/>
    <w:rsid w:val="00E303BC"/>
    <w:rsid w:val="00E324B6"/>
    <w:rsid w:val="00E3286F"/>
    <w:rsid w:val="00E36B4A"/>
    <w:rsid w:val="00E37F22"/>
    <w:rsid w:val="00E42693"/>
    <w:rsid w:val="00E43429"/>
    <w:rsid w:val="00E445C8"/>
    <w:rsid w:val="00E6473C"/>
    <w:rsid w:val="00E658A2"/>
    <w:rsid w:val="00E73096"/>
    <w:rsid w:val="00E766E8"/>
    <w:rsid w:val="00E76B36"/>
    <w:rsid w:val="00E82673"/>
    <w:rsid w:val="00E854B2"/>
    <w:rsid w:val="00E90ED2"/>
    <w:rsid w:val="00E93C5D"/>
    <w:rsid w:val="00E94173"/>
    <w:rsid w:val="00E96A3F"/>
    <w:rsid w:val="00EA0E48"/>
    <w:rsid w:val="00EA2826"/>
    <w:rsid w:val="00EA530C"/>
    <w:rsid w:val="00EA556D"/>
    <w:rsid w:val="00EB2C12"/>
    <w:rsid w:val="00EB7414"/>
    <w:rsid w:val="00EC11D0"/>
    <w:rsid w:val="00EC58AF"/>
    <w:rsid w:val="00EC5972"/>
    <w:rsid w:val="00ED2061"/>
    <w:rsid w:val="00ED4864"/>
    <w:rsid w:val="00ED5A78"/>
    <w:rsid w:val="00ED705C"/>
    <w:rsid w:val="00EE13DB"/>
    <w:rsid w:val="00EE3ABB"/>
    <w:rsid w:val="00EF21D1"/>
    <w:rsid w:val="00EF4C57"/>
    <w:rsid w:val="00F023FE"/>
    <w:rsid w:val="00F0302C"/>
    <w:rsid w:val="00F06591"/>
    <w:rsid w:val="00F07FA8"/>
    <w:rsid w:val="00F201F0"/>
    <w:rsid w:val="00F206B6"/>
    <w:rsid w:val="00F31C4B"/>
    <w:rsid w:val="00F36609"/>
    <w:rsid w:val="00F36C70"/>
    <w:rsid w:val="00F418CB"/>
    <w:rsid w:val="00F466BA"/>
    <w:rsid w:val="00F56068"/>
    <w:rsid w:val="00F63657"/>
    <w:rsid w:val="00F638FD"/>
    <w:rsid w:val="00F6500E"/>
    <w:rsid w:val="00F6782A"/>
    <w:rsid w:val="00F678BC"/>
    <w:rsid w:val="00F73FFD"/>
    <w:rsid w:val="00F75DEE"/>
    <w:rsid w:val="00F830A6"/>
    <w:rsid w:val="00F845C9"/>
    <w:rsid w:val="00F8577A"/>
    <w:rsid w:val="00F90345"/>
    <w:rsid w:val="00FB48E1"/>
    <w:rsid w:val="00FC4268"/>
    <w:rsid w:val="00FC68C2"/>
    <w:rsid w:val="00FC7573"/>
    <w:rsid w:val="00FD3459"/>
    <w:rsid w:val="00FD36C7"/>
    <w:rsid w:val="00FE4C11"/>
    <w:rsid w:val="00FE5061"/>
    <w:rsid w:val="00FF038E"/>
    <w:rsid w:val="00FF1744"/>
    <w:rsid w:val="00FF39FD"/>
    <w:rsid w:val="00FF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3E23"/>
    <w:pPr>
      <w:spacing w:before="480" w:after="0"/>
      <w:contextualSpacing/>
      <w:outlineLvl w:val="0"/>
    </w:pPr>
    <w:rPr>
      <w:rFonts w:asciiTheme="majorHAnsi" w:eastAsiaTheme="majorEastAsia" w:hAnsiTheme="majorHAnsi" w:cstheme="majorBidi"/>
      <w:b/>
      <w:bCs/>
      <w:sz w:val="28"/>
      <w:szCs w:val="28"/>
      <w:lang w:val="en-US" w:bidi="en-US"/>
    </w:rPr>
  </w:style>
  <w:style w:type="paragraph" w:styleId="Heading2">
    <w:name w:val="heading 2"/>
    <w:basedOn w:val="Normal"/>
    <w:next w:val="Normal"/>
    <w:link w:val="Heading2Char"/>
    <w:uiPriority w:val="9"/>
    <w:semiHidden/>
    <w:unhideWhenUsed/>
    <w:qFormat/>
    <w:rsid w:val="000462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9185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9185E"/>
    <w:rPr>
      <w:rFonts w:ascii="Calibri" w:hAnsi="Calibri"/>
      <w:szCs w:val="21"/>
    </w:rPr>
  </w:style>
  <w:style w:type="paragraph" w:styleId="ListParagraph">
    <w:name w:val="List Paragraph"/>
    <w:basedOn w:val="Normal"/>
    <w:uiPriority w:val="34"/>
    <w:qFormat/>
    <w:rsid w:val="005D468A"/>
    <w:pPr>
      <w:spacing w:after="0" w:line="240" w:lineRule="auto"/>
      <w:ind w:left="720"/>
    </w:pPr>
    <w:rPr>
      <w:rFonts w:ascii="Calibri" w:hAnsi="Calibri" w:cs="Times New Roman"/>
      <w:lang w:eastAsia="en-GB"/>
    </w:rPr>
  </w:style>
  <w:style w:type="table" w:styleId="TableGrid">
    <w:name w:val="Table Grid"/>
    <w:basedOn w:val="TableNormal"/>
    <w:uiPriority w:val="59"/>
    <w:rsid w:val="0054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4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958"/>
    <w:rPr>
      <w:rFonts w:ascii="Tahoma" w:hAnsi="Tahoma" w:cs="Tahoma"/>
      <w:sz w:val="16"/>
      <w:szCs w:val="16"/>
    </w:rPr>
  </w:style>
  <w:style w:type="paragraph" w:styleId="NormalWeb">
    <w:name w:val="Normal (Web)"/>
    <w:basedOn w:val="Normal"/>
    <w:uiPriority w:val="99"/>
    <w:semiHidden/>
    <w:unhideWhenUsed/>
    <w:rsid w:val="006744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74416"/>
    <w:rPr>
      <w:color w:val="0000FF"/>
      <w:u w:val="single"/>
    </w:rPr>
  </w:style>
  <w:style w:type="character" w:styleId="CommentReference">
    <w:name w:val="annotation reference"/>
    <w:basedOn w:val="DefaultParagraphFont"/>
    <w:uiPriority w:val="99"/>
    <w:semiHidden/>
    <w:unhideWhenUsed/>
    <w:rsid w:val="00C532EE"/>
    <w:rPr>
      <w:sz w:val="16"/>
      <w:szCs w:val="16"/>
    </w:rPr>
  </w:style>
  <w:style w:type="paragraph" w:styleId="CommentText">
    <w:name w:val="annotation text"/>
    <w:basedOn w:val="Normal"/>
    <w:link w:val="CommentTextChar"/>
    <w:uiPriority w:val="99"/>
    <w:semiHidden/>
    <w:unhideWhenUsed/>
    <w:rsid w:val="00C532EE"/>
    <w:pPr>
      <w:spacing w:line="240" w:lineRule="auto"/>
    </w:pPr>
    <w:rPr>
      <w:sz w:val="20"/>
      <w:szCs w:val="20"/>
    </w:rPr>
  </w:style>
  <w:style w:type="character" w:customStyle="1" w:styleId="CommentTextChar">
    <w:name w:val="Comment Text Char"/>
    <w:basedOn w:val="DefaultParagraphFont"/>
    <w:link w:val="CommentText"/>
    <w:uiPriority w:val="99"/>
    <w:semiHidden/>
    <w:rsid w:val="00C532EE"/>
    <w:rPr>
      <w:sz w:val="20"/>
      <w:szCs w:val="20"/>
    </w:rPr>
  </w:style>
  <w:style w:type="paragraph" w:styleId="CommentSubject">
    <w:name w:val="annotation subject"/>
    <w:basedOn w:val="CommentText"/>
    <w:next w:val="CommentText"/>
    <w:link w:val="CommentSubjectChar"/>
    <w:uiPriority w:val="99"/>
    <w:semiHidden/>
    <w:unhideWhenUsed/>
    <w:rsid w:val="00C532EE"/>
    <w:rPr>
      <w:b/>
      <w:bCs/>
    </w:rPr>
  </w:style>
  <w:style w:type="character" w:customStyle="1" w:styleId="CommentSubjectChar">
    <w:name w:val="Comment Subject Char"/>
    <w:basedOn w:val="CommentTextChar"/>
    <w:link w:val="CommentSubject"/>
    <w:uiPriority w:val="99"/>
    <w:semiHidden/>
    <w:rsid w:val="00C532EE"/>
    <w:rPr>
      <w:b/>
      <w:bCs/>
      <w:sz w:val="20"/>
      <w:szCs w:val="20"/>
    </w:rPr>
  </w:style>
  <w:style w:type="paragraph" w:styleId="Header">
    <w:name w:val="header"/>
    <w:basedOn w:val="Normal"/>
    <w:link w:val="HeaderChar"/>
    <w:uiPriority w:val="99"/>
    <w:unhideWhenUsed/>
    <w:rsid w:val="00D61D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D46"/>
  </w:style>
  <w:style w:type="paragraph" w:styleId="Footer">
    <w:name w:val="footer"/>
    <w:basedOn w:val="Normal"/>
    <w:link w:val="FooterChar"/>
    <w:uiPriority w:val="99"/>
    <w:unhideWhenUsed/>
    <w:rsid w:val="00D61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D46"/>
  </w:style>
  <w:style w:type="character" w:customStyle="1" w:styleId="highwire-cite-article-as">
    <w:name w:val="highwire-cite-article-as"/>
    <w:basedOn w:val="DefaultParagraphFont"/>
    <w:rsid w:val="00FD3459"/>
  </w:style>
  <w:style w:type="character" w:customStyle="1" w:styleId="italic">
    <w:name w:val="italic"/>
    <w:basedOn w:val="DefaultParagraphFont"/>
    <w:rsid w:val="00FD3459"/>
  </w:style>
  <w:style w:type="paragraph" w:styleId="Revision">
    <w:name w:val="Revision"/>
    <w:hidden/>
    <w:uiPriority w:val="99"/>
    <w:semiHidden/>
    <w:rsid w:val="00F73FFD"/>
    <w:pPr>
      <w:spacing w:after="0" w:line="240" w:lineRule="auto"/>
    </w:pPr>
  </w:style>
  <w:style w:type="character" w:customStyle="1" w:styleId="personname">
    <w:name w:val="person_name"/>
    <w:basedOn w:val="DefaultParagraphFont"/>
    <w:rsid w:val="00893CA6"/>
  </w:style>
  <w:style w:type="character" w:styleId="Emphasis">
    <w:name w:val="Emphasis"/>
    <w:basedOn w:val="DefaultParagraphFont"/>
    <w:uiPriority w:val="20"/>
    <w:qFormat/>
    <w:rsid w:val="00893CA6"/>
    <w:rPr>
      <w:i/>
      <w:iCs/>
    </w:rPr>
  </w:style>
  <w:style w:type="character" w:customStyle="1" w:styleId="Heading1Char">
    <w:name w:val="Heading 1 Char"/>
    <w:basedOn w:val="DefaultParagraphFont"/>
    <w:link w:val="Heading1"/>
    <w:uiPriority w:val="9"/>
    <w:rsid w:val="00163E23"/>
    <w:rPr>
      <w:rFonts w:asciiTheme="majorHAnsi" w:eastAsiaTheme="majorEastAsia" w:hAnsiTheme="majorHAnsi" w:cstheme="majorBidi"/>
      <w:b/>
      <w:bCs/>
      <w:sz w:val="28"/>
      <w:szCs w:val="28"/>
      <w:lang w:val="en-US" w:bidi="en-US"/>
    </w:rPr>
  </w:style>
  <w:style w:type="character" w:customStyle="1" w:styleId="slug-doi">
    <w:name w:val="slug-doi"/>
    <w:basedOn w:val="DefaultParagraphFont"/>
    <w:rsid w:val="007C2C3D"/>
  </w:style>
  <w:style w:type="character" w:customStyle="1" w:styleId="Heading2Char">
    <w:name w:val="Heading 2 Char"/>
    <w:basedOn w:val="DefaultParagraphFont"/>
    <w:link w:val="Heading2"/>
    <w:uiPriority w:val="9"/>
    <w:semiHidden/>
    <w:rsid w:val="0004620F"/>
    <w:rPr>
      <w:rFonts w:asciiTheme="majorHAnsi" w:eastAsiaTheme="majorEastAsia" w:hAnsiTheme="majorHAnsi" w:cstheme="majorBidi"/>
      <w:b/>
      <w:bCs/>
      <w:color w:val="4F81BD" w:themeColor="accent1"/>
      <w:sz w:val="26"/>
      <w:szCs w:val="26"/>
    </w:rPr>
  </w:style>
  <w:style w:type="paragraph" w:customStyle="1" w:styleId="main">
    <w:name w:val="main"/>
    <w:basedOn w:val="Normal"/>
    <w:rsid w:val="0004620F"/>
    <w:pPr>
      <w:spacing w:after="120" w:line="225" w:lineRule="atLeast"/>
    </w:pPr>
    <w:rPr>
      <w:rFonts w:ascii="Verdana" w:eastAsia="Times New Roman" w:hAnsi="Verdana" w:cs="Times New Roman"/>
      <w:sz w:val="17"/>
      <w:szCs w:val="17"/>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3E23"/>
    <w:pPr>
      <w:spacing w:before="480" w:after="0"/>
      <w:contextualSpacing/>
      <w:outlineLvl w:val="0"/>
    </w:pPr>
    <w:rPr>
      <w:rFonts w:asciiTheme="majorHAnsi" w:eastAsiaTheme="majorEastAsia" w:hAnsiTheme="majorHAnsi" w:cstheme="majorBidi"/>
      <w:b/>
      <w:bCs/>
      <w:sz w:val="28"/>
      <w:szCs w:val="28"/>
      <w:lang w:val="en-US" w:bidi="en-US"/>
    </w:rPr>
  </w:style>
  <w:style w:type="paragraph" w:styleId="Heading2">
    <w:name w:val="heading 2"/>
    <w:basedOn w:val="Normal"/>
    <w:next w:val="Normal"/>
    <w:link w:val="Heading2Char"/>
    <w:uiPriority w:val="9"/>
    <w:semiHidden/>
    <w:unhideWhenUsed/>
    <w:qFormat/>
    <w:rsid w:val="000462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9185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9185E"/>
    <w:rPr>
      <w:rFonts w:ascii="Calibri" w:hAnsi="Calibri"/>
      <w:szCs w:val="21"/>
    </w:rPr>
  </w:style>
  <w:style w:type="paragraph" w:styleId="ListParagraph">
    <w:name w:val="List Paragraph"/>
    <w:basedOn w:val="Normal"/>
    <w:uiPriority w:val="34"/>
    <w:qFormat/>
    <w:rsid w:val="005D468A"/>
    <w:pPr>
      <w:spacing w:after="0" w:line="240" w:lineRule="auto"/>
      <w:ind w:left="720"/>
    </w:pPr>
    <w:rPr>
      <w:rFonts w:ascii="Calibri" w:hAnsi="Calibri" w:cs="Times New Roman"/>
      <w:lang w:eastAsia="en-GB"/>
    </w:rPr>
  </w:style>
  <w:style w:type="table" w:styleId="TableGrid">
    <w:name w:val="Table Grid"/>
    <w:basedOn w:val="TableNormal"/>
    <w:uiPriority w:val="59"/>
    <w:rsid w:val="0054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4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958"/>
    <w:rPr>
      <w:rFonts w:ascii="Tahoma" w:hAnsi="Tahoma" w:cs="Tahoma"/>
      <w:sz w:val="16"/>
      <w:szCs w:val="16"/>
    </w:rPr>
  </w:style>
  <w:style w:type="paragraph" w:styleId="NormalWeb">
    <w:name w:val="Normal (Web)"/>
    <w:basedOn w:val="Normal"/>
    <w:uiPriority w:val="99"/>
    <w:semiHidden/>
    <w:unhideWhenUsed/>
    <w:rsid w:val="006744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74416"/>
    <w:rPr>
      <w:color w:val="0000FF"/>
      <w:u w:val="single"/>
    </w:rPr>
  </w:style>
  <w:style w:type="character" w:styleId="CommentReference">
    <w:name w:val="annotation reference"/>
    <w:basedOn w:val="DefaultParagraphFont"/>
    <w:uiPriority w:val="99"/>
    <w:semiHidden/>
    <w:unhideWhenUsed/>
    <w:rsid w:val="00C532EE"/>
    <w:rPr>
      <w:sz w:val="16"/>
      <w:szCs w:val="16"/>
    </w:rPr>
  </w:style>
  <w:style w:type="paragraph" w:styleId="CommentText">
    <w:name w:val="annotation text"/>
    <w:basedOn w:val="Normal"/>
    <w:link w:val="CommentTextChar"/>
    <w:uiPriority w:val="99"/>
    <w:semiHidden/>
    <w:unhideWhenUsed/>
    <w:rsid w:val="00C532EE"/>
    <w:pPr>
      <w:spacing w:line="240" w:lineRule="auto"/>
    </w:pPr>
    <w:rPr>
      <w:sz w:val="20"/>
      <w:szCs w:val="20"/>
    </w:rPr>
  </w:style>
  <w:style w:type="character" w:customStyle="1" w:styleId="CommentTextChar">
    <w:name w:val="Comment Text Char"/>
    <w:basedOn w:val="DefaultParagraphFont"/>
    <w:link w:val="CommentText"/>
    <w:uiPriority w:val="99"/>
    <w:semiHidden/>
    <w:rsid w:val="00C532EE"/>
    <w:rPr>
      <w:sz w:val="20"/>
      <w:szCs w:val="20"/>
    </w:rPr>
  </w:style>
  <w:style w:type="paragraph" w:styleId="CommentSubject">
    <w:name w:val="annotation subject"/>
    <w:basedOn w:val="CommentText"/>
    <w:next w:val="CommentText"/>
    <w:link w:val="CommentSubjectChar"/>
    <w:uiPriority w:val="99"/>
    <w:semiHidden/>
    <w:unhideWhenUsed/>
    <w:rsid w:val="00C532EE"/>
    <w:rPr>
      <w:b/>
      <w:bCs/>
    </w:rPr>
  </w:style>
  <w:style w:type="character" w:customStyle="1" w:styleId="CommentSubjectChar">
    <w:name w:val="Comment Subject Char"/>
    <w:basedOn w:val="CommentTextChar"/>
    <w:link w:val="CommentSubject"/>
    <w:uiPriority w:val="99"/>
    <w:semiHidden/>
    <w:rsid w:val="00C532EE"/>
    <w:rPr>
      <w:b/>
      <w:bCs/>
      <w:sz w:val="20"/>
      <w:szCs w:val="20"/>
    </w:rPr>
  </w:style>
  <w:style w:type="paragraph" w:styleId="Header">
    <w:name w:val="header"/>
    <w:basedOn w:val="Normal"/>
    <w:link w:val="HeaderChar"/>
    <w:uiPriority w:val="99"/>
    <w:unhideWhenUsed/>
    <w:rsid w:val="00D61D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D46"/>
  </w:style>
  <w:style w:type="paragraph" w:styleId="Footer">
    <w:name w:val="footer"/>
    <w:basedOn w:val="Normal"/>
    <w:link w:val="FooterChar"/>
    <w:uiPriority w:val="99"/>
    <w:unhideWhenUsed/>
    <w:rsid w:val="00D61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D46"/>
  </w:style>
  <w:style w:type="character" w:customStyle="1" w:styleId="highwire-cite-article-as">
    <w:name w:val="highwire-cite-article-as"/>
    <w:basedOn w:val="DefaultParagraphFont"/>
    <w:rsid w:val="00FD3459"/>
  </w:style>
  <w:style w:type="character" w:customStyle="1" w:styleId="italic">
    <w:name w:val="italic"/>
    <w:basedOn w:val="DefaultParagraphFont"/>
    <w:rsid w:val="00FD3459"/>
  </w:style>
  <w:style w:type="paragraph" w:styleId="Revision">
    <w:name w:val="Revision"/>
    <w:hidden/>
    <w:uiPriority w:val="99"/>
    <w:semiHidden/>
    <w:rsid w:val="00F73FFD"/>
    <w:pPr>
      <w:spacing w:after="0" w:line="240" w:lineRule="auto"/>
    </w:pPr>
  </w:style>
  <w:style w:type="character" w:customStyle="1" w:styleId="personname">
    <w:name w:val="person_name"/>
    <w:basedOn w:val="DefaultParagraphFont"/>
    <w:rsid w:val="00893CA6"/>
  </w:style>
  <w:style w:type="character" w:styleId="Emphasis">
    <w:name w:val="Emphasis"/>
    <w:basedOn w:val="DefaultParagraphFont"/>
    <w:uiPriority w:val="20"/>
    <w:qFormat/>
    <w:rsid w:val="00893CA6"/>
    <w:rPr>
      <w:i/>
      <w:iCs/>
    </w:rPr>
  </w:style>
  <w:style w:type="character" w:customStyle="1" w:styleId="Heading1Char">
    <w:name w:val="Heading 1 Char"/>
    <w:basedOn w:val="DefaultParagraphFont"/>
    <w:link w:val="Heading1"/>
    <w:uiPriority w:val="9"/>
    <w:rsid w:val="00163E23"/>
    <w:rPr>
      <w:rFonts w:asciiTheme="majorHAnsi" w:eastAsiaTheme="majorEastAsia" w:hAnsiTheme="majorHAnsi" w:cstheme="majorBidi"/>
      <w:b/>
      <w:bCs/>
      <w:sz w:val="28"/>
      <w:szCs w:val="28"/>
      <w:lang w:val="en-US" w:bidi="en-US"/>
    </w:rPr>
  </w:style>
  <w:style w:type="character" w:customStyle="1" w:styleId="slug-doi">
    <w:name w:val="slug-doi"/>
    <w:basedOn w:val="DefaultParagraphFont"/>
    <w:rsid w:val="007C2C3D"/>
  </w:style>
  <w:style w:type="character" w:customStyle="1" w:styleId="Heading2Char">
    <w:name w:val="Heading 2 Char"/>
    <w:basedOn w:val="DefaultParagraphFont"/>
    <w:link w:val="Heading2"/>
    <w:uiPriority w:val="9"/>
    <w:semiHidden/>
    <w:rsid w:val="0004620F"/>
    <w:rPr>
      <w:rFonts w:asciiTheme="majorHAnsi" w:eastAsiaTheme="majorEastAsia" w:hAnsiTheme="majorHAnsi" w:cstheme="majorBidi"/>
      <w:b/>
      <w:bCs/>
      <w:color w:val="4F81BD" w:themeColor="accent1"/>
      <w:sz w:val="26"/>
      <w:szCs w:val="26"/>
    </w:rPr>
  </w:style>
  <w:style w:type="paragraph" w:customStyle="1" w:styleId="main">
    <w:name w:val="main"/>
    <w:basedOn w:val="Normal"/>
    <w:rsid w:val="0004620F"/>
    <w:pPr>
      <w:spacing w:after="120" w:line="225" w:lineRule="atLeast"/>
    </w:pPr>
    <w:rPr>
      <w:rFonts w:ascii="Verdana" w:eastAsia="Times New Roman" w:hAnsi="Verdana" w:cs="Times New Roman"/>
      <w:sz w:val="17"/>
      <w:szCs w:val="1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20349">
      <w:bodyDiv w:val="1"/>
      <w:marLeft w:val="0"/>
      <w:marRight w:val="0"/>
      <w:marTop w:val="0"/>
      <w:marBottom w:val="0"/>
      <w:divBdr>
        <w:top w:val="none" w:sz="0" w:space="0" w:color="auto"/>
        <w:left w:val="none" w:sz="0" w:space="0" w:color="auto"/>
        <w:bottom w:val="none" w:sz="0" w:space="0" w:color="auto"/>
        <w:right w:val="none" w:sz="0" w:space="0" w:color="auto"/>
      </w:divBdr>
    </w:div>
    <w:div w:id="265037126">
      <w:bodyDiv w:val="1"/>
      <w:marLeft w:val="0"/>
      <w:marRight w:val="0"/>
      <w:marTop w:val="0"/>
      <w:marBottom w:val="0"/>
      <w:divBdr>
        <w:top w:val="none" w:sz="0" w:space="0" w:color="auto"/>
        <w:left w:val="none" w:sz="0" w:space="0" w:color="auto"/>
        <w:bottom w:val="none" w:sz="0" w:space="0" w:color="auto"/>
        <w:right w:val="none" w:sz="0" w:space="0" w:color="auto"/>
      </w:divBdr>
    </w:div>
    <w:div w:id="288557740">
      <w:bodyDiv w:val="1"/>
      <w:marLeft w:val="0"/>
      <w:marRight w:val="0"/>
      <w:marTop w:val="0"/>
      <w:marBottom w:val="0"/>
      <w:divBdr>
        <w:top w:val="none" w:sz="0" w:space="0" w:color="auto"/>
        <w:left w:val="none" w:sz="0" w:space="0" w:color="auto"/>
        <w:bottom w:val="none" w:sz="0" w:space="0" w:color="auto"/>
        <w:right w:val="none" w:sz="0" w:space="0" w:color="auto"/>
      </w:divBdr>
    </w:div>
    <w:div w:id="386994636">
      <w:bodyDiv w:val="1"/>
      <w:marLeft w:val="0"/>
      <w:marRight w:val="0"/>
      <w:marTop w:val="0"/>
      <w:marBottom w:val="0"/>
      <w:divBdr>
        <w:top w:val="none" w:sz="0" w:space="0" w:color="auto"/>
        <w:left w:val="none" w:sz="0" w:space="0" w:color="auto"/>
        <w:bottom w:val="none" w:sz="0" w:space="0" w:color="auto"/>
        <w:right w:val="none" w:sz="0" w:space="0" w:color="auto"/>
      </w:divBdr>
    </w:div>
    <w:div w:id="412360987">
      <w:bodyDiv w:val="1"/>
      <w:marLeft w:val="0"/>
      <w:marRight w:val="0"/>
      <w:marTop w:val="0"/>
      <w:marBottom w:val="0"/>
      <w:divBdr>
        <w:top w:val="none" w:sz="0" w:space="0" w:color="auto"/>
        <w:left w:val="none" w:sz="0" w:space="0" w:color="auto"/>
        <w:bottom w:val="none" w:sz="0" w:space="0" w:color="auto"/>
        <w:right w:val="none" w:sz="0" w:space="0" w:color="auto"/>
      </w:divBdr>
    </w:div>
    <w:div w:id="473568941">
      <w:bodyDiv w:val="1"/>
      <w:marLeft w:val="0"/>
      <w:marRight w:val="0"/>
      <w:marTop w:val="0"/>
      <w:marBottom w:val="0"/>
      <w:divBdr>
        <w:top w:val="none" w:sz="0" w:space="0" w:color="auto"/>
        <w:left w:val="none" w:sz="0" w:space="0" w:color="auto"/>
        <w:bottom w:val="none" w:sz="0" w:space="0" w:color="auto"/>
        <w:right w:val="none" w:sz="0" w:space="0" w:color="auto"/>
      </w:divBdr>
    </w:div>
    <w:div w:id="491872438">
      <w:bodyDiv w:val="1"/>
      <w:marLeft w:val="0"/>
      <w:marRight w:val="0"/>
      <w:marTop w:val="0"/>
      <w:marBottom w:val="0"/>
      <w:divBdr>
        <w:top w:val="none" w:sz="0" w:space="0" w:color="auto"/>
        <w:left w:val="none" w:sz="0" w:space="0" w:color="auto"/>
        <w:bottom w:val="none" w:sz="0" w:space="0" w:color="auto"/>
        <w:right w:val="none" w:sz="0" w:space="0" w:color="auto"/>
      </w:divBdr>
    </w:div>
    <w:div w:id="1478375184">
      <w:bodyDiv w:val="1"/>
      <w:marLeft w:val="0"/>
      <w:marRight w:val="0"/>
      <w:marTop w:val="0"/>
      <w:marBottom w:val="0"/>
      <w:divBdr>
        <w:top w:val="none" w:sz="0" w:space="0" w:color="auto"/>
        <w:left w:val="none" w:sz="0" w:space="0" w:color="auto"/>
        <w:bottom w:val="none" w:sz="0" w:space="0" w:color="auto"/>
        <w:right w:val="none" w:sz="0" w:space="0" w:color="auto"/>
      </w:divBdr>
    </w:div>
    <w:div w:id="1748922650">
      <w:bodyDiv w:val="1"/>
      <w:marLeft w:val="0"/>
      <w:marRight w:val="0"/>
      <w:marTop w:val="0"/>
      <w:marBottom w:val="0"/>
      <w:divBdr>
        <w:top w:val="none" w:sz="0" w:space="0" w:color="auto"/>
        <w:left w:val="none" w:sz="0" w:space="0" w:color="auto"/>
        <w:bottom w:val="none" w:sz="0" w:space="0" w:color="auto"/>
        <w:right w:val="none" w:sz="0" w:space="0" w:color="auto"/>
      </w:divBdr>
    </w:div>
    <w:div w:id="196171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215261/dh_131733.pdf" TargetMode="External"/><Relationship Id="rId18" Type="http://schemas.openxmlformats.org/officeDocument/2006/relationships/hyperlink" Target="http://www.adph.org.uk/wp-content/uploads/2014/01/Final-Summary-Transition-6-Months-On.pdf" TargetMode="External"/><Relationship Id="rId26" Type="http://schemas.openxmlformats.org/officeDocument/2006/relationships/hyperlink" Target="https://www.gov.uk/government/uploads/system/uploads/attachment_data/file/216708/dh_131904.pdf" TargetMode="External"/><Relationship Id="rId3" Type="http://schemas.openxmlformats.org/officeDocument/2006/relationships/styles" Target="styles.xml"/><Relationship Id="rId21" Type="http://schemas.openxmlformats.org/officeDocument/2006/relationships/hyperlink" Target="http://www.nlgn.org.uk/public/2013/healthy-dialogues-embedding-health-in-local-government/" TargetMode="Externa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gov.uk/government/uploads/system/uploads/attachment_data/file/216142/dh_129334.pdf" TargetMode="External"/><Relationship Id="rId17" Type="http://schemas.openxmlformats.org/officeDocument/2006/relationships/hyperlink" Target="http://www.kent.ac.uk/chss/docs/CLG-report.pdf" TargetMode="External"/><Relationship Id="rId25" Type="http://schemas.openxmlformats.org/officeDocument/2006/relationships/hyperlink" Target="http://www.prucomm.ac.uk/projects/current-projects/phoenix.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kar.kent.ac.uk/47651/" TargetMode="External"/><Relationship Id="rId20" Type="http://schemas.openxmlformats.org/officeDocument/2006/relationships/hyperlink" Target="http://www.local.gov.uk/documents/10180/5854661/L14-150_Public+Health+in+LG_08.pdf/4c6b0b1d-3843-4eaa-92dd-b9109fb544fa" TargetMode="External"/><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pubhealth.oxfordjournals.org/cgi/reprint/fdv139?ijkey=xZT86neru7XDMuF&amp;keytype=ref" TargetMode="External"/><Relationship Id="rId24" Type="http://schemas.openxmlformats.org/officeDocument/2006/relationships/hyperlink" Target="http://www.prucomm.ac.uk/projects/current-projects/phoenix.htm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rucomm.ac.uk/assets/files/Changing%20the%20local%20Public%20Health%20system%20in%20England.pdf" TargetMode="External"/><Relationship Id="rId23" Type="http://schemas.openxmlformats.org/officeDocument/2006/relationships/hyperlink" Target="http://www.publications.parliament.uk/pa/cm201213/cmselect/cmcomloc/694/694.pdf" TargetMode="External"/><Relationship Id="rId28" Type="http://schemas.openxmlformats.org/officeDocument/2006/relationships/chart" Target="charts/chart2.xml"/><Relationship Id="rId10" Type="http://schemas.openxmlformats.org/officeDocument/2006/relationships/hyperlink" Target="http://jpubhealth.oxfordjournals.org/cgi/content/full/fdv139?ijkey=xZT86neru7XDMuF&amp;keytype=ref" TargetMode="External"/><Relationship Id="rId19" Type="http://schemas.openxmlformats.org/officeDocument/2006/relationships/hyperlink" Target="http://bma.org.uk/publichealthsurvey"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jpubhealth.oxfordjournals.org/cgi/content/abstract/fdv139?ijkey=xZT86neru7XDMuF&amp;keytype=ref" TargetMode="External"/><Relationship Id="rId14" Type="http://schemas.openxmlformats.org/officeDocument/2006/relationships/hyperlink" Target="http://ukpolicymatters.thelancet.com/policy-summary-transfer-of-local-public-health-functions-from-the-nhs-to-local-authorities/" TargetMode="External"/><Relationship Id="rId22" Type="http://schemas.openxmlformats.org/officeDocument/2006/relationships/hyperlink" Target="http://www.rsph.org.uk/filemanager/root/site_assets/about_us/reports_and_publications/the_views_of_public_health_teams_working_in_local_authorities.pdf" TargetMode="External"/><Relationship Id="rId27" Type="http://schemas.openxmlformats.org/officeDocument/2006/relationships/chart" Target="charts/chart1.xml"/><Relationship Id="rId30" Type="http://schemas.openxmlformats.org/officeDocument/2006/relationships/header" Target="header1.xml"/><Relationship Id="rId35"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in\chss\PH%20England%20obesity\survey\responses\freqs%20for%20charts%2010feb.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in\chss\PH%20England%20obesity\survey\responses\freqs%20for%20charts%2010feb.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in\chss\PH%20England%20obesity\survey\responses\freqs%20for%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dLbl>
              <c:idx val="0"/>
              <c:layout>
                <c:manualLayout>
                  <c:x val="-2.5462668816040195E-17"/>
                  <c:y val="-1.2976476815020781E-2"/>
                </c:manualLayout>
              </c:layout>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0"/>
                  <c:y val="1.9464715222531286E-2"/>
                </c:manualLayout>
              </c:layout>
              <c:tx>
                <c:rich>
                  <a:bodyPr/>
                  <a:lstStyle/>
                  <a:p>
                    <a:r>
                      <a:rPr lang="en-US"/>
                      <a:t>66%</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'[freqs for charts 10feb.xlsx]Sheet1'!$B$4:$B$6</c:f>
              <c:strCache>
                <c:ptCount val="3"/>
                <c:pt idx="0">
                  <c:v>Always able to influence priorities</c:v>
                </c:pt>
                <c:pt idx="1">
                  <c:v>Quite often able</c:v>
                </c:pt>
                <c:pt idx="2">
                  <c:v>Not often / never able to influence priorities</c:v>
                </c:pt>
              </c:strCache>
            </c:strRef>
          </c:cat>
          <c:val>
            <c:numRef>
              <c:f>'[freqs for charts 10feb.xlsx]Sheet1'!$E$4:$E$6</c:f>
              <c:numCache>
                <c:formatCode>###0.0</c:formatCode>
                <c:ptCount val="3"/>
                <c:pt idx="0">
                  <c:v>15.11627906976744</c:v>
                </c:pt>
                <c:pt idx="1">
                  <c:v>66.279069767441854</c:v>
                </c:pt>
                <c:pt idx="2">
                  <c:v>18.604651162790748</c:v>
                </c:pt>
              </c:numCache>
            </c:numRef>
          </c:val>
        </c:ser>
        <c:dLbls>
          <c:showLegendKey val="0"/>
          <c:showVal val="0"/>
          <c:showCatName val="0"/>
          <c:showSerName val="0"/>
          <c:showPercent val="0"/>
          <c:showBubbleSize val="0"/>
        </c:dLbls>
        <c:gapWidth val="150"/>
        <c:axId val="170588800"/>
        <c:axId val="101052800"/>
      </c:barChart>
      <c:catAx>
        <c:axId val="170588800"/>
        <c:scaling>
          <c:orientation val="minMax"/>
        </c:scaling>
        <c:delete val="0"/>
        <c:axPos val="b"/>
        <c:numFmt formatCode="General" sourceLinked="0"/>
        <c:majorTickMark val="out"/>
        <c:minorTickMark val="none"/>
        <c:tickLblPos val="nextTo"/>
        <c:crossAx val="101052800"/>
        <c:crosses val="autoZero"/>
        <c:auto val="1"/>
        <c:lblAlgn val="ctr"/>
        <c:lblOffset val="100"/>
        <c:noMultiLvlLbl val="0"/>
      </c:catAx>
      <c:valAx>
        <c:axId val="101052800"/>
        <c:scaling>
          <c:orientation val="minMax"/>
          <c:max val="100"/>
          <c:min val="0"/>
        </c:scaling>
        <c:delete val="0"/>
        <c:axPos val="l"/>
        <c:majorGridlines/>
        <c:numFmt formatCode="#,##0" sourceLinked="0"/>
        <c:majorTickMark val="out"/>
        <c:minorTickMark val="none"/>
        <c:tickLblPos val="nextTo"/>
        <c:crossAx val="17058880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dLbl>
              <c:idx val="0"/>
              <c:layout>
                <c:manualLayout>
                  <c:x val="-2.1872265966754285E-7"/>
                  <c:y val="-3.0739664090505315E-2"/>
                </c:manualLayout>
              </c:layout>
              <c:tx>
                <c:rich>
                  <a:bodyPr/>
                  <a:lstStyle/>
                  <a:p>
                    <a:r>
                      <a:rPr lang="en-US"/>
                      <a:t>1</a:t>
                    </a:r>
                    <a:r>
                      <a:rPr lang="en-US" b="1"/>
                      <a:t>0</a:t>
                    </a:r>
                    <a:r>
                      <a:rPr lang="en-US"/>
                      <a:t>%</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0"/>
                  <c:y val="-1.5369832045252682E-2"/>
                </c:manualLayout>
              </c:layout>
              <c:tx>
                <c:rich>
                  <a:bodyPr/>
                  <a:lstStyle/>
                  <a:p>
                    <a:r>
                      <a:rPr lang="en-US"/>
                      <a:t>54%</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36%</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Sheet1!$B$45:$B$47</c:f>
              <c:strCache>
                <c:ptCount val="3"/>
                <c:pt idx="0">
                  <c:v>Yes, quite a lot</c:v>
                </c:pt>
                <c:pt idx="1">
                  <c:v>Yes, but not a lot</c:v>
                </c:pt>
                <c:pt idx="2">
                  <c:v>No</c:v>
                </c:pt>
              </c:strCache>
            </c:strRef>
          </c:cat>
          <c:val>
            <c:numRef>
              <c:f>Sheet1!$E$45:$E$47</c:f>
              <c:numCache>
                <c:formatCode>###0.0</c:formatCode>
                <c:ptCount val="3"/>
                <c:pt idx="0">
                  <c:v>10.465116279069807</c:v>
                </c:pt>
                <c:pt idx="1">
                  <c:v>53.488372093023251</c:v>
                </c:pt>
                <c:pt idx="2">
                  <c:v>36.046511627906973</c:v>
                </c:pt>
              </c:numCache>
            </c:numRef>
          </c:val>
        </c:ser>
        <c:dLbls>
          <c:showLegendKey val="0"/>
          <c:showVal val="0"/>
          <c:showCatName val="0"/>
          <c:showSerName val="0"/>
          <c:showPercent val="0"/>
          <c:showBubbleSize val="0"/>
        </c:dLbls>
        <c:gapWidth val="150"/>
        <c:axId val="6557696"/>
        <c:axId val="6559232"/>
      </c:barChart>
      <c:catAx>
        <c:axId val="6557696"/>
        <c:scaling>
          <c:orientation val="minMax"/>
        </c:scaling>
        <c:delete val="0"/>
        <c:axPos val="b"/>
        <c:numFmt formatCode="General" sourceLinked="0"/>
        <c:majorTickMark val="out"/>
        <c:minorTickMark val="none"/>
        <c:tickLblPos val="nextTo"/>
        <c:crossAx val="6559232"/>
        <c:crosses val="autoZero"/>
        <c:auto val="1"/>
        <c:lblAlgn val="ctr"/>
        <c:lblOffset val="100"/>
        <c:noMultiLvlLbl val="0"/>
      </c:catAx>
      <c:valAx>
        <c:axId val="6559232"/>
        <c:scaling>
          <c:orientation val="minMax"/>
          <c:max val="100"/>
          <c:min val="0"/>
        </c:scaling>
        <c:delete val="0"/>
        <c:axPos val="l"/>
        <c:majorGridlines/>
        <c:numFmt formatCode="#,##0" sourceLinked="0"/>
        <c:majorTickMark val="out"/>
        <c:minorTickMark val="none"/>
        <c:tickLblPos val="nextTo"/>
        <c:crossAx val="655769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dLbl>
              <c:idx val="0"/>
              <c:layout>
                <c:manualLayout>
                  <c:x val="0"/>
                  <c:y val="2.8070175438596492E-2"/>
                </c:manualLayout>
              </c:layout>
              <c:tx>
                <c:rich>
                  <a:bodyPr/>
                  <a:lstStyle/>
                  <a:p>
                    <a:r>
                      <a:rPr lang="en-US"/>
                      <a:t>94%</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67%</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68%</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87%</a:t>
                    </a:r>
                  </a:p>
                </c:rich>
              </c:tx>
              <c:showLegendKey val="0"/>
              <c:showVal val="1"/>
              <c:showCatName val="0"/>
              <c:showSerName val="0"/>
              <c:showPercent val="0"/>
              <c:showBubbleSize val="0"/>
              <c:extLst>
                <c:ext xmlns:c15="http://schemas.microsoft.com/office/drawing/2012/chart" uri="{CE6537A1-D6FC-4f65-9D91-7224C49458BB}"/>
              </c:extLst>
            </c:dLbl>
            <c:dLbl>
              <c:idx val="4"/>
              <c:layout>
                <c:manualLayout>
                  <c:x val="0"/>
                  <c:y val="-1.4035087719298246E-2"/>
                </c:manualLayout>
              </c:layout>
              <c:tx>
                <c:rich>
                  <a:bodyPr/>
                  <a:lstStyle/>
                  <a:p>
                    <a:r>
                      <a:rPr lang="en-US"/>
                      <a:t>56%</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(Sheet1!$B$86,Sheet1!$B$94,Sheet1!$B$103,Sheet1!$B$111,Sheet1!$B$119)</c:f>
              <c:strCache>
                <c:ptCount val="5"/>
                <c:pt idx="0">
                  <c:v>Made changes</c:v>
                </c:pt>
                <c:pt idx="1">
                  <c:v>Set up new services</c:v>
                </c:pt>
                <c:pt idx="2">
                  <c:v>Changed provider</c:v>
                </c:pt>
                <c:pt idx="3">
                  <c:v>Re-designed existing services</c:v>
                </c:pt>
                <c:pt idx="4">
                  <c:v>Decommissioned services</c:v>
                </c:pt>
              </c:strCache>
            </c:strRef>
          </c:cat>
          <c:val>
            <c:numRef>
              <c:f>(Sheet1!$E$86,Sheet1!$E$94,Sheet1!$E$103,Sheet1!$E$111,Sheet1!$E$119)</c:f>
              <c:numCache>
                <c:formatCode>###0.0</c:formatCode>
                <c:ptCount val="5"/>
                <c:pt idx="0">
                  <c:v>93.975903614457778</c:v>
                </c:pt>
                <c:pt idx="1">
                  <c:v>67.901234567901326</c:v>
                </c:pt>
                <c:pt idx="2">
                  <c:v>68.292682926829258</c:v>
                </c:pt>
                <c:pt idx="3">
                  <c:v>86.585365853658288</c:v>
                </c:pt>
                <c:pt idx="4">
                  <c:v>56.09756097560976</c:v>
                </c:pt>
              </c:numCache>
            </c:numRef>
          </c:val>
        </c:ser>
        <c:dLbls>
          <c:showLegendKey val="0"/>
          <c:showVal val="0"/>
          <c:showCatName val="0"/>
          <c:showSerName val="0"/>
          <c:showPercent val="0"/>
          <c:showBubbleSize val="0"/>
        </c:dLbls>
        <c:gapWidth val="150"/>
        <c:axId val="6612480"/>
        <c:axId val="6614016"/>
      </c:barChart>
      <c:catAx>
        <c:axId val="6612480"/>
        <c:scaling>
          <c:orientation val="minMax"/>
        </c:scaling>
        <c:delete val="0"/>
        <c:axPos val="b"/>
        <c:numFmt formatCode="General" sourceLinked="0"/>
        <c:majorTickMark val="out"/>
        <c:minorTickMark val="none"/>
        <c:tickLblPos val="nextTo"/>
        <c:txPr>
          <a:bodyPr/>
          <a:lstStyle/>
          <a:p>
            <a:pPr>
              <a:defRPr sz="900" baseline="0"/>
            </a:pPr>
            <a:endParaRPr lang="en-US"/>
          </a:p>
        </c:txPr>
        <c:crossAx val="6614016"/>
        <c:crosses val="autoZero"/>
        <c:auto val="1"/>
        <c:lblAlgn val="ctr"/>
        <c:lblOffset val="100"/>
        <c:noMultiLvlLbl val="0"/>
      </c:catAx>
      <c:valAx>
        <c:axId val="6614016"/>
        <c:scaling>
          <c:orientation val="minMax"/>
          <c:max val="100"/>
          <c:min val="0"/>
        </c:scaling>
        <c:delete val="0"/>
        <c:axPos val="l"/>
        <c:majorGridlines/>
        <c:numFmt formatCode="#,##0" sourceLinked="0"/>
        <c:majorTickMark val="out"/>
        <c:minorTickMark val="none"/>
        <c:tickLblPos val="nextTo"/>
        <c:crossAx val="661248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Ric15</b:Tag>
    <b:SourceType>Book</b:SourceType>
    <b:Guid>{9DA50E19-49C1-4E38-94AB-DC058D708A5B}</b:Guid>
    <b:Author>
      <b:Author>
        <b:NameList>
          <b:Person>
            <b:Last>N</b:Last>
            <b:First>Riches</b:First>
          </b:Person>
        </b:NameList>
      </b:Author>
    </b:Author>
    <b:Title>The role of local authorities in health issues: a policy document analysis</b:Title>
    <b:Year>2015</b:Year>
    <b:Publisher>PRUComm</b:Publisher>
    <b:RefOrder>1</b:RefOrder>
  </b:Source>
</b:Sources>
</file>

<file path=customXml/itemProps1.xml><?xml version="1.0" encoding="utf-8"?>
<ds:datastoreItem xmlns:ds="http://schemas.openxmlformats.org/officeDocument/2006/customXml" ds:itemID="{142B2386-D4DB-4CA7-A663-C16DCA00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5264</Words>
  <Characters>30011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35205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Jenkins</dc:creator>
  <cp:lastModifiedBy>lin</cp:lastModifiedBy>
  <cp:revision>3</cp:revision>
  <cp:lastPrinted>2015-08-20T09:49:00Z</cp:lastPrinted>
  <dcterms:created xsi:type="dcterms:W3CDTF">2016-02-04T15:36:00Z</dcterms:created>
  <dcterms:modified xsi:type="dcterms:W3CDTF">2016-02-04T15:47:00Z</dcterms:modified>
</cp:coreProperties>
</file>