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420B2" w14:textId="77777777" w:rsidR="00970ECE" w:rsidRPr="005475B6" w:rsidRDefault="00970ECE" w:rsidP="00F504EB">
      <w:bookmarkStart w:id="0" w:name="_GoBack"/>
      <w:bookmarkEnd w:id="0"/>
    </w:p>
    <w:p w14:paraId="00A73A70" w14:textId="47165C5D" w:rsidR="00970ECE" w:rsidRPr="00F54B40" w:rsidRDefault="00970ECE" w:rsidP="00F504EB">
      <w:pPr>
        <w:pStyle w:val="FreeFormA"/>
        <w:jc w:val="center"/>
        <w:rPr>
          <w:rFonts w:ascii="Times New Roman" w:hAnsi="Times New Roman"/>
          <w:sz w:val="32"/>
          <w:szCs w:val="32"/>
        </w:rPr>
      </w:pPr>
      <w:r w:rsidRPr="00F54B40">
        <w:rPr>
          <w:rFonts w:ascii="Times New Roman" w:hAnsi="Times New Roman"/>
          <w:sz w:val="32"/>
          <w:szCs w:val="32"/>
        </w:rPr>
        <w:t>C</w:t>
      </w:r>
      <w:r w:rsidR="00F54B40">
        <w:rPr>
          <w:rFonts w:ascii="Times New Roman" w:hAnsi="Times New Roman"/>
          <w:sz w:val="32"/>
          <w:szCs w:val="32"/>
        </w:rPr>
        <w:t>ULTURAL THEORY AS MOOD WORK</w:t>
      </w:r>
    </w:p>
    <w:p w14:paraId="2A799236" w14:textId="2080E370" w:rsidR="00531309" w:rsidRDefault="00F54B40" w:rsidP="00F504EB">
      <w:pPr>
        <w:pStyle w:val="FreeFormA"/>
        <w:jc w:val="center"/>
        <w:rPr>
          <w:rFonts w:ascii="Times New Roman" w:hAnsi="Times New Roman"/>
          <w:sz w:val="32"/>
          <w:szCs w:val="32"/>
        </w:rPr>
      </w:pPr>
      <w:r>
        <w:rPr>
          <w:rFonts w:ascii="Times New Roman" w:hAnsi="Times New Roman"/>
          <w:sz w:val="32"/>
          <w:szCs w:val="32"/>
        </w:rPr>
        <w:t>________________</w:t>
      </w:r>
    </w:p>
    <w:p w14:paraId="1EACE420" w14:textId="77777777" w:rsidR="007554EF" w:rsidRDefault="007554EF" w:rsidP="00F504EB">
      <w:pPr>
        <w:pStyle w:val="FreeFormA"/>
        <w:jc w:val="center"/>
        <w:rPr>
          <w:rFonts w:ascii="Times New Roman" w:hAnsi="Times New Roman"/>
          <w:i/>
          <w:szCs w:val="24"/>
        </w:rPr>
      </w:pPr>
    </w:p>
    <w:p w14:paraId="3068A746" w14:textId="63C89173" w:rsidR="007011AB" w:rsidRPr="00F54B40" w:rsidRDefault="007011AB" w:rsidP="00F504EB">
      <w:pPr>
        <w:pStyle w:val="FreeFormA"/>
        <w:jc w:val="center"/>
        <w:rPr>
          <w:rFonts w:ascii="Times New Roman" w:hAnsi="Times New Roman"/>
          <w:i/>
          <w:szCs w:val="24"/>
        </w:rPr>
      </w:pPr>
      <w:r w:rsidRPr="00F54B40">
        <w:rPr>
          <w:rFonts w:ascii="Times New Roman" w:hAnsi="Times New Roman"/>
          <w:i/>
          <w:szCs w:val="24"/>
        </w:rPr>
        <w:t>Carol</w:t>
      </w:r>
      <w:r w:rsidR="00F54B40" w:rsidRPr="00F54B40">
        <w:rPr>
          <w:rFonts w:ascii="Times New Roman" w:hAnsi="Times New Roman"/>
          <w:i/>
          <w:szCs w:val="24"/>
        </w:rPr>
        <w:t>yn Pedwell</w:t>
      </w:r>
    </w:p>
    <w:p w14:paraId="39E5ED84" w14:textId="77777777" w:rsidR="007011AB" w:rsidRPr="007011AB" w:rsidRDefault="007011AB" w:rsidP="00F504EB">
      <w:pPr>
        <w:pStyle w:val="FreeFormA"/>
        <w:rPr>
          <w:rFonts w:ascii="Times New Roman" w:hAnsi="Times New Roman"/>
          <w:b/>
          <w:sz w:val="32"/>
          <w:szCs w:val="32"/>
        </w:rPr>
      </w:pPr>
    </w:p>
    <w:p w14:paraId="01736D07" w14:textId="77777777" w:rsidR="007934A3" w:rsidRDefault="007934A3" w:rsidP="00F504EB">
      <w:pPr>
        <w:widowControl w:val="0"/>
        <w:autoSpaceDE w:val="0"/>
        <w:autoSpaceDN w:val="0"/>
        <w:adjustRightInd w:val="0"/>
        <w:rPr>
          <w:b/>
        </w:rPr>
      </w:pPr>
    </w:p>
    <w:p w14:paraId="51BFB449" w14:textId="673CAF5C" w:rsidR="00C630AE" w:rsidRPr="00F54B40" w:rsidRDefault="00F41C6C" w:rsidP="00F504EB">
      <w:pPr>
        <w:widowControl w:val="0"/>
        <w:autoSpaceDE w:val="0"/>
        <w:autoSpaceDN w:val="0"/>
        <w:adjustRightInd w:val="0"/>
        <w:rPr>
          <w:b/>
        </w:rPr>
      </w:pPr>
      <w:r w:rsidRPr="00F41C6C">
        <w:rPr>
          <w:b/>
        </w:rPr>
        <w:t>Abstract</w:t>
      </w:r>
      <w:r w:rsidR="00F54B40">
        <w:rPr>
          <w:b/>
        </w:rPr>
        <w:t xml:space="preserve"> </w:t>
      </w:r>
      <w:r w:rsidR="00C630AE" w:rsidRPr="004765AF">
        <w:rPr>
          <w:i/>
        </w:rPr>
        <w:t>In staging an encounter between Sedgwick’s discussion of reparation, Spivak’s analysis of translation, and critical scholarship on mood, this article considers how we might understand contemporary cultural theory as a form of ‘mood work’ that is at once discursive and material, textual and affe</w:t>
      </w:r>
      <w:r w:rsidR="004765AF">
        <w:rPr>
          <w:i/>
        </w:rPr>
        <w:t>ctive, political and aesthetic.</w:t>
      </w:r>
      <w:r w:rsidR="00C630AE" w:rsidRPr="004765AF">
        <w:rPr>
          <w:i/>
        </w:rPr>
        <w:t xml:space="preserve"> In particular, I am interested in how thinking reparation, translation and mood together might open up different ways of conceptualising and negotiating the affective ‘double binds’ central to both critical thought and socio-political relations at the current conjuncture</w:t>
      </w:r>
      <w:r w:rsidR="00B15449" w:rsidRPr="004765AF">
        <w:rPr>
          <w:i/>
        </w:rPr>
        <w:t xml:space="preserve">. </w:t>
      </w:r>
      <w:r w:rsidR="00C630AE" w:rsidRPr="004765AF">
        <w:rPr>
          <w:i/>
        </w:rPr>
        <w:t xml:space="preserve">As Sedgwick and Spivak </w:t>
      </w:r>
      <w:r w:rsidR="00B15449" w:rsidRPr="004765AF">
        <w:rPr>
          <w:i/>
        </w:rPr>
        <w:t>each show us, I will argue,</w:t>
      </w:r>
      <w:r w:rsidR="00C630AE" w:rsidRPr="004765AF">
        <w:rPr>
          <w:i/>
        </w:rPr>
        <w:t xml:space="preserve"> tarrying with contradiction and ambivalence is the mood work that cultural theory must continue to pursue, both in order to understand the material implications of our own emotional</w:t>
      </w:r>
      <w:r w:rsidR="00E963FE">
        <w:rPr>
          <w:i/>
        </w:rPr>
        <w:t xml:space="preserve"> investments in intellectual production</w:t>
      </w:r>
      <w:r w:rsidR="00C630AE" w:rsidRPr="004765AF">
        <w:rPr>
          <w:i/>
        </w:rPr>
        <w:t xml:space="preserve"> and to appreciate the complex ways in which power operates within the structures of feeling of late liberalism.</w:t>
      </w:r>
    </w:p>
    <w:p w14:paraId="5A59F418" w14:textId="77777777" w:rsidR="00F41C6C" w:rsidRDefault="00F41C6C" w:rsidP="00F504EB">
      <w:pPr>
        <w:widowControl w:val="0"/>
        <w:autoSpaceDE w:val="0"/>
        <w:autoSpaceDN w:val="0"/>
        <w:adjustRightInd w:val="0"/>
      </w:pPr>
    </w:p>
    <w:p w14:paraId="4050B798" w14:textId="7FF632A7" w:rsidR="00C87B11" w:rsidRDefault="007554EF" w:rsidP="00F504EB">
      <w:pPr>
        <w:widowControl w:val="0"/>
        <w:autoSpaceDE w:val="0"/>
        <w:autoSpaceDN w:val="0"/>
        <w:adjustRightInd w:val="0"/>
      </w:pPr>
      <w:r>
        <w:rPr>
          <w:b/>
        </w:rPr>
        <w:t>Keywords</w:t>
      </w:r>
      <w:r w:rsidR="00F41C6C" w:rsidRPr="00F41C6C">
        <w:rPr>
          <w:b/>
        </w:rPr>
        <w:t xml:space="preserve"> </w:t>
      </w:r>
      <w:r w:rsidR="00F41C6C">
        <w:t>mood,</w:t>
      </w:r>
      <w:r w:rsidR="00C630AE">
        <w:t xml:space="preserve"> paranoia, repar</w:t>
      </w:r>
      <w:r w:rsidR="00F54B40">
        <w:t>ation, translation, double bind</w:t>
      </w:r>
    </w:p>
    <w:p w14:paraId="294209EF" w14:textId="77777777" w:rsidR="004765AF" w:rsidRDefault="004765AF" w:rsidP="00F504EB">
      <w:pPr>
        <w:widowControl w:val="0"/>
        <w:autoSpaceDE w:val="0"/>
        <w:autoSpaceDN w:val="0"/>
        <w:adjustRightInd w:val="0"/>
      </w:pPr>
    </w:p>
    <w:p w14:paraId="00BBB7E5" w14:textId="3C8A85F6" w:rsidR="004765AF" w:rsidRDefault="004765AF" w:rsidP="00F504EB">
      <w:pPr>
        <w:widowControl w:val="0"/>
        <w:autoSpaceDE w:val="0"/>
        <w:autoSpaceDN w:val="0"/>
        <w:adjustRightInd w:val="0"/>
        <w:jc w:val="center"/>
      </w:pPr>
      <w:r>
        <w:t>_________________________</w:t>
      </w:r>
    </w:p>
    <w:p w14:paraId="60C8B877" w14:textId="77777777" w:rsidR="00C87B11" w:rsidRDefault="00C87B11" w:rsidP="00F504EB">
      <w:pPr>
        <w:widowControl w:val="0"/>
        <w:autoSpaceDE w:val="0"/>
        <w:autoSpaceDN w:val="0"/>
        <w:adjustRightInd w:val="0"/>
      </w:pPr>
    </w:p>
    <w:p w14:paraId="6583D36A" w14:textId="77777777" w:rsidR="004765AF" w:rsidRDefault="004765AF" w:rsidP="00F504EB">
      <w:pPr>
        <w:widowControl w:val="0"/>
        <w:autoSpaceDE w:val="0"/>
        <w:autoSpaceDN w:val="0"/>
        <w:adjustRightInd w:val="0"/>
      </w:pPr>
    </w:p>
    <w:p w14:paraId="19930D3E" w14:textId="365CA5FA" w:rsidR="000B737E" w:rsidRDefault="00037251" w:rsidP="00F504EB">
      <w:pPr>
        <w:widowControl w:val="0"/>
        <w:autoSpaceDE w:val="0"/>
        <w:autoSpaceDN w:val="0"/>
        <w:adjustRightInd w:val="0"/>
      </w:pPr>
      <w:r>
        <w:t xml:space="preserve">The </w:t>
      </w:r>
      <w:r w:rsidR="007558BA">
        <w:t xml:space="preserve">mood </w:t>
      </w:r>
      <w:r>
        <w:t>within cultural studies has become</w:t>
      </w:r>
      <w:r w:rsidR="003C18F4" w:rsidRPr="003C18F4">
        <w:t xml:space="preserve"> increasingly disdainf</w:t>
      </w:r>
      <w:r w:rsidR="007558BA">
        <w:t xml:space="preserve">ul of </w:t>
      </w:r>
      <w:r w:rsidR="005F4B0F">
        <w:t xml:space="preserve">the legacies of </w:t>
      </w:r>
      <w:r w:rsidR="007558BA">
        <w:t>textual</w:t>
      </w:r>
      <w:r w:rsidR="004765AF">
        <w:t xml:space="preserve"> analysis.</w:t>
      </w:r>
      <w:r w:rsidR="00E02FAD">
        <w:t xml:space="preserve"> A</w:t>
      </w:r>
      <w:r w:rsidR="00B80872" w:rsidRPr="005475B6">
        <w:t>t their intersection, t</w:t>
      </w:r>
      <w:r w:rsidR="003E29F2" w:rsidRPr="005475B6">
        <w:t>he purported</w:t>
      </w:r>
      <w:r w:rsidR="00C1063A" w:rsidRPr="005475B6">
        <w:t xml:space="preserve"> affective,</w:t>
      </w:r>
      <w:r w:rsidR="00621852" w:rsidRPr="005475B6">
        <w:t xml:space="preserve"> ontological</w:t>
      </w:r>
      <w:r w:rsidR="00C1063A" w:rsidRPr="005475B6">
        <w:t xml:space="preserve"> and new materialist</w:t>
      </w:r>
      <w:r w:rsidR="00621852" w:rsidRPr="005475B6">
        <w:t xml:space="preserve"> </w:t>
      </w:r>
      <w:r w:rsidR="00E631FB" w:rsidRPr="005475B6">
        <w:t>‘</w:t>
      </w:r>
      <w:r w:rsidR="00621852" w:rsidRPr="005475B6">
        <w:t>turns</w:t>
      </w:r>
      <w:r w:rsidR="00E631FB" w:rsidRPr="005475B6">
        <w:t>’</w:t>
      </w:r>
      <w:r w:rsidR="00621852" w:rsidRPr="005475B6">
        <w:t xml:space="preserve"> </w:t>
      </w:r>
      <w:r w:rsidR="00C1063A" w:rsidRPr="005475B6">
        <w:t>have</w:t>
      </w:r>
      <w:r w:rsidR="00621852" w:rsidRPr="005475B6">
        <w:t xml:space="preserve"> been represented </w:t>
      </w:r>
      <w:r w:rsidR="008A0F91" w:rsidRPr="005475B6">
        <w:t xml:space="preserve">as </w:t>
      </w:r>
      <w:r w:rsidR="00DA435A">
        <w:t xml:space="preserve">moving </w:t>
      </w:r>
      <w:r w:rsidR="00B80872" w:rsidRPr="005475B6">
        <w:t xml:space="preserve">away from </w:t>
      </w:r>
      <w:r w:rsidR="00621852" w:rsidRPr="005475B6">
        <w:t>‘the privileging of text and discourse as key theoretical touchstones’</w:t>
      </w:r>
      <w:r w:rsidR="003E29F2" w:rsidRPr="005475B6">
        <w:t xml:space="preserve"> and</w:t>
      </w:r>
      <w:r w:rsidR="00B80872" w:rsidRPr="005475B6">
        <w:t xml:space="preserve"> indeed beyond</w:t>
      </w:r>
      <w:r w:rsidR="003E29F2" w:rsidRPr="005475B6">
        <w:t xml:space="preserve"> </w:t>
      </w:r>
      <w:r w:rsidR="00C1063A" w:rsidRPr="005475B6">
        <w:t>poststructuralist approaches premised on linguistic, semiotic, discursive and psychoanalytic frameworks more generally.</w:t>
      </w:r>
      <w:r w:rsidR="004571CF" w:rsidRPr="005475B6">
        <w:rPr>
          <w:rStyle w:val="FootnoteReference"/>
          <w:rFonts w:ascii="Times" w:eastAsiaTheme="minorEastAsia" w:hAnsi="Times" w:cs="Times"/>
          <w:lang w:val="en-US"/>
        </w:rPr>
        <w:footnoteReference w:id="1"/>
      </w:r>
      <w:r w:rsidR="004765AF">
        <w:rPr>
          <w:rFonts w:ascii="Times" w:eastAsiaTheme="minorEastAsia" w:hAnsi="Times" w:cs="Times"/>
          <w:lang w:val="en-US"/>
        </w:rPr>
        <w:t xml:space="preserve"> </w:t>
      </w:r>
      <w:r w:rsidR="005140C0" w:rsidRPr="005475B6">
        <w:rPr>
          <w:rFonts w:ascii="Times" w:eastAsiaTheme="minorEastAsia" w:hAnsi="Times" w:cs="Times"/>
          <w:lang w:val="en-US"/>
        </w:rPr>
        <w:t xml:space="preserve">As Jackie </w:t>
      </w:r>
      <w:r w:rsidR="005140C0" w:rsidRPr="005475B6">
        <w:t>Stacey puts it,</w:t>
      </w:r>
      <w:r w:rsidR="004765AF">
        <w:t xml:space="preserve"> </w:t>
      </w:r>
      <w:r w:rsidR="005140C0" w:rsidRPr="005475B6">
        <w:t>‘Rejoicing in the end of the cultural turn, critics from very different intellectual locations have announced a shift in their focus away from text, form, representation, subjectivity and code, placing such concepts in a (false) dichotomy with</w:t>
      </w:r>
      <w:r w:rsidR="005140C0" w:rsidRPr="005475B6">
        <w:rPr>
          <w:color w:val="FF0000"/>
        </w:rPr>
        <w:t xml:space="preserve"> </w:t>
      </w:r>
      <w:r w:rsidR="005140C0" w:rsidRPr="005475B6">
        <w:t>materiality, affect, presence, event and encounter’</w:t>
      </w:r>
      <w:r w:rsidR="005140C0" w:rsidRPr="001A0AAF">
        <w:t>.</w:t>
      </w:r>
      <w:r w:rsidR="002B4B00">
        <w:rPr>
          <w:rStyle w:val="FootnoteReference"/>
        </w:rPr>
        <w:footnoteReference w:id="2"/>
      </w:r>
      <w:r w:rsidR="004765AF">
        <w:t xml:space="preserve"> </w:t>
      </w:r>
      <w:r w:rsidRPr="001A0AAF">
        <w:t>Most famously</w:t>
      </w:r>
      <w:r>
        <w:t xml:space="preserve">, in his </w:t>
      </w:r>
      <w:r w:rsidRPr="00D908B0">
        <w:t xml:space="preserve">exploration of movement, affect and sensation in </w:t>
      </w:r>
      <w:r w:rsidR="00AF60C2">
        <w:rPr>
          <w:i/>
        </w:rPr>
        <w:t>Parables for</w:t>
      </w:r>
      <w:r w:rsidRPr="00D908B0">
        <w:rPr>
          <w:i/>
        </w:rPr>
        <w:t xml:space="preserve"> the Virtual</w:t>
      </w:r>
      <w:r w:rsidR="00E963FE">
        <w:t xml:space="preserve">, Brian Massumi diagnosed </w:t>
      </w:r>
      <w:r w:rsidRPr="00D908B0">
        <w:t>the linguistic turn and its theories of signification as a priso</w:t>
      </w:r>
      <w:r w:rsidR="00E963FE">
        <w:t>n house for critical thinking.</w:t>
      </w:r>
      <w:r w:rsidR="00E963FE" w:rsidRPr="0049124F">
        <w:rPr>
          <w:rStyle w:val="FootnoteReference"/>
        </w:rPr>
        <w:footnoteReference w:id="3"/>
      </w:r>
      <w:r w:rsidR="004765AF">
        <w:t xml:space="preserve"> </w:t>
      </w:r>
      <w:r>
        <w:t>Writing more recently, in their collection</w:t>
      </w:r>
      <w:r w:rsidR="008A0F91" w:rsidRPr="005475B6">
        <w:t xml:space="preserve"> </w:t>
      </w:r>
      <w:r w:rsidR="008A0F91" w:rsidRPr="005475B6">
        <w:rPr>
          <w:i/>
        </w:rPr>
        <w:t>New Materialisms</w:t>
      </w:r>
      <w:r>
        <w:rPr>
          <w:i/>
        </w:rPr>
        <w:t>,</w:t>
      </w:r>
      <w:r w:rsidR="008A0F91" w:rsidRPr="005475B6">
        <w:t xml:space="preserve"> Diana Coole and Samantha Frost </w:t>
      </w:r>
      <w:r>
        <w:t xml:space="preserve">similarly </w:t>
      </w:r>
      <w:r w:rsidR="008A0F91" w:rsidRPr="005475B6">
        <w:t>call for the development of renewed materialist perspectives on the basis of their sense that ‘the radicalism of the dominant discourses which have flourished under the cultural turn is</w:t>
      </w:r>
      <w:r w:rsidR="002B4B00">
        <w:t xml:space="preserve"> now more or less exhausted’</w:t>
      </w:r>
      <w:r w:rsidR="008A0F91" w:rsidRPr="005475B6">
        <w:t xml:space="preserve"> and that ‘more textual</w:t>
      </w:r>
      <w:r w:rsidR="0026584D">
        <w:t xml:space="preserve"> approaches’ </w:t>
      </w:r>
      <w:r w:rsidR="008A0F91" w:rsidRPr="005475B6">
        <w:t xml:space="preserve">are </w:t>
      </w:r>
      <w:r w:rsidR="0026584D">
        <w:t>‘</w:t>
      </w:r>
      <w:r w:rsidR="008A0F91" w:rsidRPr="005475B6">
        <w:t xml:space="preserve">increasingly </w:t>
      </w:r>
      <w:r w:rsidR="008A0F91" w:rsidRPr="005475B6">
        <w:lastRenderedPageBreak/>
        <w:t>being deemed inadequate for understanding contemporary society’.</w:t>
      </w:r>
      <w:r w:rsidR="002A4CEB">
        <w:rPr>
          <w:rStyle w:val="FootnoteReference"/>
        </w:rPr>
        <w:footnoteReference w:id="4"/>
      </w:r>
      <w:r w:rsidR="004765AF">
        <w:t xml:space="preserve"> </w:t>
      </w:r>
      <w:r w:rsidR="00D56021">
        <w:t xml:space="preserve"> From these perspe</w:t>
      </w:r>
      <w:r w:rsidR="00A50A45">
        <w:t>ctives, any attempt to preserve</w:t>
      </w:r>
      <w:r w:rsidR="00D56021">
        <w:t xml:space="preserve"> the</w:t>
      </w:r>
      <w:r w:rsidR="00A50A45">
        <w:t xml:space="preserve"> </w:t>
      </w:r>
      <w:r w:rsidR="005F4B0F">
        <w:t xml:space="preserve">integrity </w:t>
      </w:r>
      <w:r w:rsidR="00A50A45">
        <w:t>of the</w:t>
      </w:r>
      <w:r w:rsidR="00D56021">
        <w:t xml:space="preserve"> epistemological tools of the textual, discursive and cultural turns is marked as decidedly out of step with the affective thrust of contemporary cultural theory.</w:t>
      </w:r>
      <w:r w:rsidR="004765AF">
        <w:t xml:space="preserve"> </w:t>
      </w:r>
    </w:p>
    <w:p w14:paraId="5E6B6E21" w14:textId="13A8D72A" w:rsidR="00D7309D" w:rsidRDefault="0026584D" w:rsidP="00F504EB">
      <w:pPr>
        <w:widowControl w:val="0"/>
        <w:autoSpaceDE w:val="0"/>
        <w:autoSpaceDN w:val="0"/>
        <w:adjustRightInd w:val="0"/>
        <w:ind w:firstLine="720"/>
      </w:pPr>
      <w:r>
        <w:t xml:space="preserve">Appreciating </w:t>
      </w:r>
      <w:r w:rsidR="004E55DF" w:rsidRPr="005475B6">
        <w:t>the nuances and complexities</w:t>
      </w:r>
      <w:r w:rsidR="00D83A36" w:rsidRPr="005475B6">
        <w:t xml:space="preserve"> of the diverse contributions associated with</w:t>
      </w:r>
      <w:r w:rsidR="003C18F4">
        <w:t xml:space="preserve"> these various </w:t>
      </w:r>
      <w:r w:rsidR="004E55DF" w:rsidRPr="005475B6">
        <w:t>con</w:t>
      </w:r>
      <w:r w:rsidR="00A81709" w:rsidRPr="005475B6">
        <w:t xml:space="preserve">ceptual ‘turns’, however, </w:t>
      </w:r>
      <w:r w:rsidR="00662164">
        <w:t xml:space="preserve">urges us to </w:t>
      </w:r>
      <w:r>
        <w:t xml:space="preserve">examine </w:t>
      </w:r>
      <w:r w:rsidR="00BA46BE">
        <w:t>how many</w:t>
      </w:r>
      <w:r w:rsidR="00662164">
        <w:t xml:space="preserve"> </w:t>
      </w:r>
      <w:r w:rsidR="00BA46BE">
        <w:t>thinkers</w:t>
      </w:r>
      <w:r w:rsidR="005140C0" w:rsidRPr="005475B6">
        <w:t xml:space="preserve"> </w:t>
      </w:r>
      <w:r w:rsidR="004E55DF" w:rsidRPr="005475B6">
        <w:t>extend and enrich a much longer genealogy of scholarship concerned with the nature of texts and textual formations as ‘discursive-material’ assemblage</w:t>
      </w:r>
      <w:r w:rsidR="00C459B5" w:rsidRPr="005475B6">
        <w:t xml:space="preserve">s, the materiality of language and its affective excesses, </w:t>
      </w:r>
      <w:r w:rsidR="00DA435A">
        <w:t>and the particular relations</w:t>
      </w:r>
      <w:r w:rsidR="00C459B5" w:rsidRPr="005475B6">
        <w:t xml:space="preserve"> </w:t>
      </w:r>
      <w:r w:rsidR="007D6540" w:rsidRPr="005475B6">
        <w:t xml:space="preserve">of feeling </w:t>
      </w:r>
      <w:r w:rsidR="00C459B5" w:rsidRPr="005475B6">
        <w:t>we finds ourselves in wit</w:t>
      </w:r>
      <w:r w:rsidR="00A81709" w:rsidRPr="005475B6">
        <w:t>h</w:t>
      </w:r>
      <w:r w:rsidR="00DE2DA1" w:rsidRPr="005475B6">
        <w:t xml:space="preserve"> texts.</w:t>
      </w:r>
      <w:r w:rsidR="004765AF">
        <w:t xml:space="preserve"> </w:t>
      </w:r>
      <w:r w:rsidR="00FD2946">
        <w:t xml:space="preserve">Eve Kosofsky </w:t>
      </w:r>
      <w:r w:rsidR="00E575B2" w:rsidRPr="005475B6">
        <w:t xml:space="preserve">Sedgwick’s work, in particular, </w:t>
      </w:r>
      <w:r w:rsidR="005C7A28" w:rsidRPr="005475B6">
        <w:t xml:space="preserve">has been pivotal in cultivating </w:t>
      </w:r>
      <w:r w:rsidR="00377E75" w:rsidRPr="005475B6">
        <w:t xml:space="preserve">renewed </w:t>
      </w:r>
      <w:r w:rsidR="005C7A28" w:rsidRPr="005475B6">
        <w:t>engagement concerning our affective orientations toward</w:t>
      </w:r>
      <w:r w:rsidR="00096BE6">
        <w:t>s discursive analysis</w:t>
      </w:r>
      <w:r w:rsidR="00070721" w:rsidRPr="005475B6">
        <w:t xml:space="preserve"> and the epistemological and political implications of such practices.</w:t>
      </w:r>
      <w:r w:rsidR="004765AF">
        <w:t xml:space="preserve"> </w:t>
      </w:r>
      <w:r w:rsidR="00070721" w:rsidRPr="005475B6">
        <w:t xml:space="preserve">Indeed, </w:t>
      </w:r>
      <w:r w:rsidR="000757D2" w:rsidRPr="005475B6">
        <w:t xml:space="preserve">some have suggested </w:t>
      </w:r>
      <w:r w:rsidR="003D4A57" w:rsidRPr="005475B6">
        <w:t>that Sedgwick’s influential</w:t>
      </w:r>
      <w:r w:rsidR="00070721" w:rsidRPr="005475B6">
        <w:t xml:space="preserve"> analysis of ‘paranoid’ and </w:t>
      </w:r>
      <w:r w:rsidR="002B4B00">
        <w:t>‘reparative’ reading practices</w:t>
      </w:r>
      <w:r w:rsidR="002B4B00">
        <w:rPr>
          <w:rStyle w:val="FootnoteReference"/>
        </w:rPr>
        <w:footnoteReference w:id="5"/>
      </w:r>
      <w:r w:rsidR="00070721" w:rsidRPr="003E66FE">
        <w:t xml:space="preserve"> has</w:t>
      </w:r>
      <w:r w:rsidR="00070721" w:rsidRPr="005475B6">
        <w:t xml:space="preserve"> inaugurated</w:t>
      </w:r>
      <w:r w:rsidR="000757D2" w:rsidRPr="005475B6">
        <w:t xml:space="preserve"> a ‘turn’ of its own -</w:t>
      </w:r>
      <w:r w:rsidR="00070721" w:rsidRPr="005475B6">
        <w:t xml:space="preserve"> the ‘reparative</w:t>
      </w:r>
      <w:r w:rsidR="00D83A36" w:rsidRPr="005475B6">
        <w:t xml:space="preserve"> turn</w:t>
      </w:r>
      <w:r w:rsidR="00070721" w:rsidRPr="005475B6">
        <w:t>’</w:t>
      </w:r>
      <w:r>
        <w:t xml:space="preserve"> (</w:t>
      </w:r>
      <w:r w:rsidR="000757D2" w:rsidRPr="005475B6">
        <w:t>despite how at odds</w:t>
      </w:r>
      <w:r w:rsidR="003D4A57" w:rsidRPr="005475B6">
        <w:t xml:space="preserve"> with her</w:t>
      </w:r>
      <w:r w:rsidR="000757D2" w:rsidRPr="005475B6">
        <w:t xml:space="preserve"> own philosophical approach the epistemological reification implied by </w:t>
      </w:r>
      <w:r w:rsidR="00B64495">
        <w:t>the language of ‘turns’ may be</w:t>
      </w:r>
      <w:r>
        <w:t>).</w:t>
      </w:r>
      <w:r w:rsidR="004765AF">
        <w:t xml:space="preserve"> </w:t>
      </w:r>
      <w:r w:rsidR="00B64495" w:rsidRPr="005475B6">
        <w:t xml:space="preserve">Like Sedgwick, scholars working on mood </w:t>
      </w:r>
      <w:r>
        <w:t xml:space="preserve">are </w:t>
      </w:r>
      <w:r w:rsidR="00B64495" w:rsidRPr="005475B6">
        <w:t>interested in the various modes of affective attunement we bring t</w:t>
      </w:r>
      <w:r w:rsidR="00B64495">
        <w:t>o our texts as research objects and</w:t>
      </w:r>
      <w:r>
        <w:t xml:space="preserve"> what such relations of feeling </w:t>
      </w:r>
      <w:r w:rsidRPr="00D230D4">
        <w:rPr>
          <w:i/>
        </w:rPr>
        <w:t>do</w:t>
      </w:r>
      <w:r w:rsidR="00B64495">
        <w:t>.</w:t>
      </w:r>
      <w:r w:rsidR="004765AF">
        <w:t xml:space="preserve"> </w:t>
      </w:r>
      <w:r w:rsidR="00B46037">
        <w:t>I</w:t>
      </w:r>
      <w:r w:rsidR="00B64495" w:rsidRPr="005475B6">
        <w:t>n the context of critical theory, mood is understood ‘not as optional’, but rather ‘as a prerequisite for any ki</w:t>
      </w:r>
      <w:r w:rsidR="002B4B00">
        <w:t>nd of intellectual engagement’</w:t>
      </w:r>
      <w:r w:rsidR="00B64495" w:rsidRPr="001A0AAF">
        <w:t>.</w:t>
      </w:r>
      <w:r w:rsidR="002B4B00">
        <w:rPr>
          <w:rStyle w:val="FootnoteReference"/>
        </w:rPr>
        <w:footnoteReference w:id="6"/>
      </w:r>
      <w:r w:rsidR="004765AF">
        <w:t xml:space="preserve"> </w:t>
      </w:r>
      <w:r w:rsidR="007558BA" w:rsidRPr="005475B6">
        <w:t>As Rita Felski</w:t>
      </w:r>
      <w:r w:rsidR="001A0AAF">
        <w:t xml:space="preserve"> and Susan Fraiman argue</w:t>
      </w:r>
      <w:r w:rsidR="007558BA">
        <w:rPr>
          <w:i/>
        </w:rPr>
        <w:t>,</w:t>
      </w:r>
      <w:r w:rsidR="00B64495" w:rsidRPr="005475B6">
        <w:t xml:space="preserve"> ‘</w:t>
      </w:r>
      <w:r w:rsidR="00FA1599">
        <w:t>a</w:t>
      </w:r>
      <w:r w:rsidR="00B64495" w:rsidRPr="005475B6">
        <w:t xml:space="preserve"> state of curiosity, wonder, irritation, or optimism animates us to pursue a certain path of inquiry.</w:t>
      </w:r>
      <w:r w:rsidR="004765AF">
        <w:t xml:space="preserve"> </w:t>
      </w:r>
      <w:r w:rsidR="00B64495" w:rsidRPr="005475B6">
        <w:t xml:space="preserve">At the same time, the process is reciprocal and dynamic; styles of thinking, in their turn, </w:t>
      </w:r>
      <w:r w:rsidR="002B4B00">
        <w:t>also promote and sustain moods’</w:t>
      </w:r>
      <w:r w:rsidR="00B64495" w:rsidRPr="001A0AAF">
        <w:t>.</w:t>
      </w:r>
      <w:r w:rsidR="002B4B00">
        <w:rPr>
          <w:rStyle w:val="FootnoteReference"/>
        </w:rPr>
        <w:footnoteReference w:id="7"/>
      </w:r>
      <w:r w:rsidR="004765AF">
        <w:t xml:space="preserve"> </w:t>
      </w:r>
      <w:r w:rsidR="007558BA" w:rsidRPr="001A0AAF">
        <w:t>Moreover</w:t>
      </w:r>
      <w:r w:rsidR="007558BA">
        <w:t xml:space="preserve">, scholars of mood have argued, if we always approach reading with a particular affective orientation, texts themselves </w:t>
      </w:r>
      <w:r w:rsidR="00A605B3">
        <w:t xml:space="preserve">exude </w:t>
      </w:r>
      <w:r w:rsidR="007558BA">
        <w:t>their ‘own’ moods, linked to the affective atmospheres of their production and circulation.</w:t>
      </w:r>
      <w:r w:rsidR="004765AF">
        <w:t xml:space="preserve"> </w:t>
      </w:r>
      <w:r w:rsidR="00A605B3">
        <w:t xml:space="preserve">The ways in which we are affected by, and in turn affect, a particular text depends, in part, on the relation between ‘our’ mood and that of the text, both of which </w:t>
      </w:r>
      <w:r w:rsidR="002B123D">
        <w:t xml:space="preserve">are </w:t>
      </w:r>
      <w:r w:rsidR="00EC2203">
        <w:t xml:space="preserve">fluid states </w:t>
      </w:r>
      <w:r w:rsidR="00A605B3">
        <w:t xml:space="preserve">produced within wider </w:t>
      </w:r>
      <w:r w:rsidR="002B123D">
        <w:t xml:space="preserve">intellectual and political </w:t>
      </w:r>
      <w:r w:rsidR="00D230D4">
        <w:t>circuits of feeling</w:t>
      </w:r>
      <w:r w:rsidR="00A605B3" w:rsidRPr="001A0AAF">
        <w:t>.</w:t>
      </w:r>
      <w:r w:rsidR="002B4B00">
        <w:rPr>
          <w:rStyle w:val="FootnoteReference"/>
        </w:rPr>
        <w:footnoteReference w:id="8"/>
      </w:r>
      <w:r w:rsidR="004765AF">
        <w:t xml:space="preserve"> </w:t>
      </w:r>
      <w:r w:rsidR="007558BA">
        <w:t xml:space="preserve">Questions regarding how we might </w:t>
      </w:r>
      <w:r w:rsidR="00A605B3">
        <w:t xml:space="preserve">become attuned to </w:t>
      </w:r>
      <w:r w:rsidR="007558BA">
        <w:t xml:space="preserve">different textual moods - affective qualities that necessarily exceed the structures and codes of language </w:t>
      </w:r>
      <w:r w:rsidR="002B4B00">
        <w:t xml:space="preserve">- are at the heart of </w:t>
      </w:r>
      <w:r w:rsidR="0049124F">
        <w:t xml:space="preserve">Gayatri Chakravorty </w:t>
      </w:r>
      <w:r w:rsidR="002B4B00">
        <w:t>Spivak’s</w:t>
      </w:r>
      <w:r w:rsidR="007558BA">
        <w:t xml:space="preserve"> discussion of the politics of translation.</w:t>
      </w:r>
      <w:r w:rsidR="000A4880">
        <w:rPr>
          <w:rStyle w:val="FootnoteReference"/>
        </w:rPr>
        <w:footnoteReference w:id="9"/>
      </w:r>
      <w:r w:rsidR="004765AF">
        <w:t xml:space="preserve"> </w:t>
      </w:r>
      <w:r w:rsidR="007558BA">
        <w:t xml:space="preserve">For </w:t>
      </w:r>
      <w:r w:rsidR="00B01F2F">
        <w:t xml:space="preserve">Spivak, ‘translation’ refers both to </w:t>
      </w:r>
      <w:r w:rsidR="00D230D4">
        <w:t xml:space="preserve">the </w:t>
      </w:r>
      <w:r w:rsidR="00B01F2F">
        <w:t xml:space="preserve">ways in </w:t>
      </w:r>
      <w:r w:rsidR="00A605B3">
        <w:t xml:space="preserve">which we negotiate </w:t>
      </w:r>
      <w:r w:rsidR="00B01F2F">
        <w:t xml:space="preserve">and convey </w:t>
      </w:r>
      <w:r w:rsidR="00A605B3">
        <w:t>th</w:t>
      </w:r>
      <w:r w:rsidR="002B123D">
        <w:t>e sensorial</w:t>
      </w:r>
      <w:r w:rsidR="00B01F2F">
        <w:t xml:space="preserve"> </w:t>
      </w:r>
      <w:r w:rsidR="002B123D">
        <w:t xml:space="preserve">complexities </w:t>
      </w:r>
      <w:r w:rsidR="00EC2203">
        <w:t xml:space="preserve">of texts beyond linguistic </w:t>
      </w:r>
      <w:r w:rsidR="005F4B0F">
        <w:t xml:space="preserve">codes </w:t>
      </w:r>
      <w:r w:rsidR="00B01F2F" w:rsidRPr="002B123D">
        <w:rPr>
          <w:i/>
        </w:rPr>
        <w:t>and to</w:t>
      </w:r>
      <w:r w:rsidR="00B01F2F">
        <w:t xml:space="preserve"> wider discursive-material processes of becoming through which we might cultivate an ability to </w:t>
      </w:r>
      <w:r w:rsidR="00B01F2F" w:rsidRPr="00B01F2F">
        <w:rPr>
          <w:i/>
        </w:rPr>
        <w:t>inhabit</w:t>
      </w:r>
      <w:r w:rsidR="00B01F2F">
        <w:t xml:space="preserve"> (rather than deny or resolve) the </w:t>
      </w:r>
      <w:r w:rsidR="002159D1">
        <w:t>affective ‘double binds’</w:t>
      </w:r>
      <w:r w:rsidR="00B01F2F">
        <w:t xml:space="preserve"> of late liberal social, cultural, political and economic life. </w:t>
      </w:r>
    </w:p>
    <w:p w14:paraId="08E13C9E" w14:textId="74255A72" w:rsidR="00D57385" w:rsidRPr="005C3362" w:rsidRDefault="002159D1" w:rsidP="00F504EB">
      <w:pPr>
        <w:widowControl w:val="0"/>
        <w:autoSpaceDE w:val="0"/>
        <w:autoSpaceDN w:val="0"/>
        <w:adjustRightInd w:val="0"/>
        <w:ind w:firstLine="720"/>
        <w:rPr>
          <w:rFonts w:eastAsiaTheme="minorEastAsia"/>
          <w:lang w:val="en-US"/>
        </w:rPr>
      </w:pPr>
      <w:r w:rsidRPr="00DF29D4">
        <w:lastRenderedPageBreak/>
        <w:t xml:space="preserve">A ‘double-bind’ </w:t>
      </w:r>
      <w:r w:rsidR="00DF29D4" w:rsidRPr="00DF29D4">
        <w:t xml:space="preserve">is </w:t>
      </w:r>
      <w:r w:rsidRPr="00DF29D4">
        <w:t>a situation in which we are presented with contradictory instructions</w:t>
      </w:r>
      <w:r w:rsidR="00DF29D4" w:rsidRPr="00DF29D4">
        <w:t>, where an effective response to one injunction results in a failed response to the other.</w:t>
      </w:r>
      <w:r w:rsidR="004765AF">
        <w:t xml:space="preserve"> </w:t>
      </w:r>
      <w:r w:rsidRPr="005C3362">
        <w:t xml:space="preserve">The theoretical-political double binds that most concern </w:t>
      </w:r>
      <w:r w:rsidR="005C3362">
        <w:t xml:space="preserve">me in </w:t>
      </w:r>
      <w:r w:rsidRPr="005C3362">
        <w:t>this article relate to the challenges of engaging in t</w:t>
      </w:r>
      <w:r w:rsidR="003F0CED">
        <w:t>extually-oriented</w:t>
      </w:r>
      <w:r w:rsidR="005C3362">
        <w:t>, politically-engaged, cultural criticism</w:t>
      </w:r>
      <w:r w:rsidRPr="005C3362">
        <w:t xml:space="preserve"> in a context in which</w:t>
      </w:r>
      <w:r w:rsidR="00D57385" w:rsidRPr="005C3362">
        <w:t xml:space="preserve"> textual strategies risk being</w:t>
      </w:r>
      <w:r w:rsidRPr="005C3362">
        <w:t xml:space="preserve"> dismissed as anachronistic and inattentive to materiality in the midst of ‘new materialisms’; </w:t>
      </w:r>
      <w:r w:rsidR="00DF29D4">
        <w:t>critique</w:t>
      </w:r>
      <w:r w:rsidR="00DF29D4" w:rsidRPr="005C3362">
        <w:t xml:space="preserve"> risks being labelled ‘paranoid’ and incapable of grappling with the ambivalences of power in the wake of ‘the reparative turn’</w:t>
      </w:r>
      <w:r w:rsidR="00DF29D4">
        <w:t xml:space="preserve">; </w:t>
      </w:r>
      <w:r w:rsidRPr="005C3362">
        <w:t xml:space="preserve">and the arts and humanities themselves </w:t>
      </w:r>
      <w:r w:rsidR="00D57385" w:rsidRPr="005C3362">
        <w:t xml:space="preserve">risk being </w:t>
      </w:r>
      <w:r w:rsidRPr="005C3362">
        <w:t>deemed superfluous and stripped of funding in the shift from public higher education to ‘the neoliberal university’.</w:t>
      </w:r>
      <w:r w:rsidR="004765AF">
        <w:t xml:space="preserve"> </w:t>
      </w:r>
      <w:r w:rsidRPr="00E94076">
        <w:t xml:space="preserve">These various challenges emerge in a wider </w:t>
      </w:r>
      <w:r w:rsidR="00096BE6">
        <w:t xml:space="preserve">Euro-American </w:t>
      </w:r>
      <w:r w:rsidRPr="00E94076">
        <w:t>socio-political and economic context in which</w:t>
      </w:r>
      <w:r w:rsidR="00415476" w:rsidRPr="00E94076">
        <w:t xml:space="preserve"> </w:t>
      </w:r>
      <w:r w:rsidRPr="00E94076">
        <w:t>neo</w:t>
      </w:r>
      <w:r w:rsidR="00415476" w:rsidRPr="00E94076">
        <w:t>liberal forms of governance</w:t>
      </w:r>
      <w:r w:rsidR="00D57385" w:rsidRPr="00E94076">
        <w:t xml:space="preserve"> offer modes of ‘choice’ and ‘freedom’ premised on</w:t>
      </w:r>
      <w:r w:rsidR="000B4942">
        <w:t xml:space="preserve"> submission to market logics, capitalist</w:t>
      </w:r>
      <w:r w:rsidR="00D57385" w:rsidRPr="00E94076">
        <w:t xml:space="preserve"> </w:t>
      </w:r>
      <w:r w:rsidR="000B4942">
        <w:t>structures of feeling</w:t>
      </w:r>
      <w:r w:rsidR="005E0099" w:rsidRPr="00E94076">
        <w:t xml:space="preserve"> promise access to ‘the good life’ while</w:t>
      </w:r>
      <w:r w:rsidR="00D57385" w:rsidRPr="00E94076">
        <w:t xml:space="preserve"> </w:t>
      </w:r>
      <w:r w:rsidR="005C3362" w:rsidRPr="00E94076">
        <w:t xml:space="preserve">routinely </w:t>
      </w:r>
      <w:r w:rsidR="00D57385" w:rsidRPr="00E94076">
        <w:rPr>
          <w:rFonts w:eastAsiaTheme="minorEastAsia"/>
          <w:lang w:val="en-US"/>
        </w:rPr>
        <w:t>‘attach</w:t>
      </w:r>
      <w:r w:rsidR="005E0099" w:rsidRPr="00E94076">
        <w:rPr>
          <w:rFonts w:eastAsiaTheme="minorEastAsia"/>
          <w:lang w:val="en-US"/>
        </w:rPr>
        <w:t>[ing]</w:t>
      </w:r>
      <w:r w:rsidR="00D57385" w:rsidRPr="00E94076">
        <w:rPr>
          <w:rFonts w:eastAsiaTheme="minorEastAsia"/>
          <w:lang w:val="en-US"/>
        </w:rPr>
        <w:t xml:space="preserve"> us to the very c</w:t>
      </w:r>
      <w:r w:rsidR="005C3362" w:rsidRPr="00E94076">
        <w:rPr>
          <w:rFonts w:eastAsiaTheme="minorEastAsia"/>
          <w:lang w:val="en-US"/>
        </w:rPr>
        <w:t>onditions of our subordination’</w:t>
      </w:r>
      <w:r w:rsidR="005C3362" w:rsidRPr="00E94076">
        <w:rPr>
          <w:rStyle w:val="FootnoteReference"/>
          <w:rFonts w:eastAsiaTheme="minorEastAsia"/>
          <w:lang w:val="en-US"/>
        </w:rPr>
        <w:footnoteReference w:id="10"/>
      </w:r>
      <w:r w:rsidR="000B4942">
        <w:rPr>
          <w:rFonts w:eastAsiaTheme="minorEastAsia"/>
          <w:lang w:val="en-US"/>
        </w:rPr>
        <w:t>, and social movements are routinely ‘co-opted by state and elite’ in ways that work to keep the political status quo in tact.</w:t>
      </w:r>
      <w:r w:rsidR="000B4942">
        <w:rPr>
          <w:rStyle w:val="FootnoteReference"/>
        </w:rPr>
        <w:footnoteReference w:id="11"/>
      </w:r>
      <w:r w:rsidR="000B4942">
        <w:rPr>
          <w:rFonts w:eastAsiaTheme="minorEastAsia"/>
          <w:lang w:val="en-US"/>
        </w:rPr>
        <w:t xml:space="preserve"> </w:t>
      </w:r>
    </w:p>
    <w:p w14:paraId="64199833" w14:textId="45B828CF" w:rsidR="00D7309D" w:rsidRDefault="008D1926" w:rsidP="00F504EB">
      <w:pPr>
        <w:widowControl w:val="0"/>
        <w:autoSpaceDE w:val="0"/>
        <w:autoSpaceDN w:val="0"/>
        <w:adjustRightInd w:val="0"/>
        <w:ind w:firstLine="720"/>
      </w:pPr>
      <w:r>
        <w:t xml:space="preserve">In </w:t>
      </w:r>
      <w:r w:rsidR="00295AFB">
        <w:t xml:space="preserve">staging an </w:t>
      </w:r>
      <w:r w:rsidR="00EC2203">
        <w:t xml:space="preserve">encounter between </w:t>
      </w:r>
      <w:r w:rsidR="00B46037">
        <w:t>Sed</w:t>
      </w:r>
      <w:r>
        <w:t>g</w:t>
      </w:r>
      <w:r w:rsidR="0029439F">
        <w:t>wick’s discussion</w:t>
      </w:r>
      <w:r w:rsidR="00B46037">
        <w:t xml:space="preserve"> of </w:t>
      </w:r>
      <w:r w:rsidR="00EC2203">
        <w:t xml:space="preserve">reparation, </w:t>
      </w:r>
      <w:r>
        <w:t>Spivak’s analysis of translation</w:t>
      </w:r>
      <w:r w:rsidR="00EC2203">
        <w:t>, and</w:t>
      </w:r>
      <w:r w:rsidR="0029439F">
        <w:t xml:space="preserve"> critical scholarship</w:t>
      </w:r>
      <w:r w:rsidR="00B46037">
        <w:t xml:space="preserve"> on</w:t>
      </w:r>
      <w:r w:rsidR="00EC2203">
        <w:t xml:space="preserve"> mood</w:t>
      </w:r>
      <w:r w:rsidR="0029439F">
        <w:t xml:space="preserve">, </w:t>
      </w:r>
      <w:r w:rsidR="002159D1">
        <w:t>I consider</w:t>
      </w:r>
      <w:r w:rsidR="0029439F">
        <w:t xml:space="preserve"> how we might understand contemporary cultural th</w:t>
      </w:r>
      <w:r w:rsidR="008B23E1">
        <w:t>eory as a form of ‘mood work’ that is at once discursive and material, textual and affective, political and aesthetic.</w:t>
      </w:r>
      <w:r w:rsidR="004765AF">
        <w:t xml:space="preserve"> </w:t>
      </w:r>
      <w:r w:rsidR="008B23E1">
        <w:t>In particular, I am interested in how thinking reparation, translation and mood together</w:t>
      </w:r>
      <w:r w:rsidR="001F0D5E">
        <w:t xml:space="preserve"> might </w:t>
      </w:r>
      <w:r w:rsidR="002B123D">
        <w:t xml:space="preserve">open up </w:t>
      </w:r>
      <w:r w:rsidR="00295AFB">
        <w:t xml:space="preserve">different ways of </w:t>
      </w:r>
      <w:r w:rsidR="00A20E99">
        <w:t xml:space="preserve">conceptualising and </w:t>
      </w:r>
      <w:r w:rsidR="00295AFB">
        <w:t xml:space="preserve">negotiating the </w:t>
      </w:r>
      <w:r w:rsidR="00A128FD">
        <w:t>affective ‘double binds’</w:t>
      </w:r>
      <w:r w:rsidR="00D7309D">
        <w:t xml:space="preserve"> </w:t>
      </w:r>
      <w:r w:rsidR="002B123D">
        <w:t xml:space="preserve">central to both critical thought </w:t>
      </w:r>
      <w:r w:rsidR="00295AFB">
        <w:t xml:space="preserve">and </w:t>
      </w:r>
      <w:r w:rsidR="002B123D">
        <w:t>socio-</w:t>
      </w:r>
      <w:r w:rsidR="00295AFB">
        <w:t>political relations</w:t>
      </w:r>
      <w:r w:rsidR="00A20E99">
        <w:t xml:space="preserve"> at the</w:t>
      </w:r>
      <w:r w:rsidR="00C67AE5">
        <w:t xml:space="preserve"> current conjuncture</w:t>
      </w:r>
      <w:r w:rsidR="00A20E99">
        <w:t>.</w:t>
      </w:r>
      <w:r w:rsidR="004765AF">
        <w:t xml:space="preserve"> </w:t>
      </w:r>
      <w:r w:rsidR="00A20E99">
        <w:t xml:space="preserve"> </w:t>
      </w:r>
      <w:r w:rsidR="00D7309D" w:rsidRPr="00D7309D">
        <w:t xml:space="preserve">As Sedgwick and Spivak </w:t>
      </w:r>
      <w:r w:rsidR="005E0099">
        <w:t>each show us, I will argue, a</w:t>
      </w:r>
      <w:r w:rsidR="00D7309D" w:rsidRPr="00D7309D">
        <w:t xml:space="preserve"> tarrying with contradiction and ambivalence </w:t>
      </w:r>
      <w:r w:rsidR="00D7309D" w:rsidRPr="00D7309D">
        <w:rPr>
          <w:i/>
        </w:rPr>
        <w:t>is</w:t>
      </w:r>
      <w:r w:rsidR="00D7309D" w:rsidRPr="00D7309D">
        <w:t xml:space="preserve"> the mood work that cultural theory must continue to pursue, both in order to understand the material implications of our own emotional </w:t>
      </w:r>
      <w:r w:rsidR="0049124F">
        <w:t>investments in intellectual production</w:t>
      </w:r>
      <w:r w:rsidR="00D7309D" w:rsidRPr="00D7309D">
        <w:t xml:space="preserve"> and to appreciate the complex ways in which power operates within the structures of feeling of late liberalism.</w:t>
      </w:r>
    </w:p>
    <w:p w14:paraId="1A8B1EA3" w14:textId="77777777" w:rsidR="003B3360" w:rsidRDefault="003B3360" w:rsidP="00F504EB">
      <w:pPr>
        <w:widowControl w:val="0"/>
        <w:autoSpaceDE w:val="0"/>
        <w:autoSpaceDN w:val="0"/>
        <w:adjustRightInd w:val="0"/>
      </w:pPr>
    </w:p>
    <w:p w14:paraId="10942D85" w14:textId="1EF59284" w:rsidR="00A20E99" w:rsidRPr="003B3360" w:rsidRDefault="003B3360" w:rsidP="00F504EB">
      <w:pPr>
        <w:widowControl w:val="0"/>
        <w:autoSpaceDE w:val="0"/>
        <w:autoSpaceDN w:val="0"/>
        <w:adjustRightInd w:val="0"/>
      </w:pPr>
      <w:r>
        <w:t>PARANOID CRITIQUE, REPARATION AND AMBIVALENCE</w:t>
      </w:r>
      <w:r w:rsidR="00A20E99">
        <w:t xml:space="preserve"> </w:t>
      </w:r>
    </w:p>
    <w:p w14:paraId="0192F388" w14:textId="77777777" w:rsidR="00510C9B" w:rsidRDefault="00510C9B" w:rsidP="00F504EB">
      <w:pPr>
        <w:pStyle w:val="FreeFormA"/>
        <w:rPr>
          <w:rFonts w:ascii="Times New Roman" w:hAnsi="Times New Roman"/>
          <w:szCs w:val="24"/>
          <w:highlight w:val="yellow"/>
        </w:rPr>
      </w:pPr>
    </w:p>
    <w:p w14:paraId="5EF791F4" w14:textId="4DB6F2FC" w:rsidR="00662164" w:rsidRDefault="00B64495" w:rsidP="00F504EB">
      <w:pPr>
        <w:pStyle w:val="FreeFormA"/>
        <w:rPr>
          <w:rFonts w:ascii="Times New Roman" w:hAnsi="Times New Roman"/>
          <w:szCs w:val="24"/>
        </w:rPr>
      </w:pPr>
      <w:r w:rsidRPr="00510C9B">
        <w:rPr>
          <w:rFonts w:ascii="Times New Roman" w:hAnsi="Times New Roman"/>
          <w:szCs w:val="24"/>
        </w:rPr>
        <w:t xml:space="preserve">Eve </w:t>
      </w:r>
      <w:r w:rsidR="00E85433" w:rsidRPr="00510C9B">
        <w:rPr>
          <w:rFonts w:ascii="Times New Roman" w:hAnsi="Times New Roman"/>
          <w:szCs w:val="24"/>
        </w:rPr>
        <w:t>Sedgwick</w:t>
      </w:r>
      <w:r w:rsidR="00E72701" w:rsidRPr="00510C9B">
        <w:rPr>
          <w:rFonts w:ascii="Times New Roman" w:hAnsi="Times New Roman"/>
          <w:szCs w:val="24"/>
        </w:rPr>
        <w:t xml:space="preserve"> </w:t>
      </w:r>
      <w:r w:rsidR="00510C9B" w:rsidRPr="00510C9B">
        <w:rPr>
          <w:rFonts w:ascii="Times New Roman" w:hAnsi="Times New Roman"/>
          <w:szCs w:val="24"/>
        </w:rPr>
        <w:t xml:space="preserve">has </w:t>
      </w:r>
      <w:r w:rsidR="00FD2946">
        <w:rPr>
          <w:rFonts w:ascii="Times New Roman" w:hAnsi="Times New Roman"/>
          <w:szCs w:val="24"/>
        </w:rPr>
        <w:t xml:space="preserve">been among </w:t>
      </w:r>
      <w:r w:rsidR="002B123D">
        <w:rPr>
          <w:rFonts w:ascii="Times New Roman" w:hAnsi="Times New Roman"/>
          <w:szCs w:val="24"/>
        </w:rPr>
        <w:t xml:space="preserve">the most influential voice </w:t>
      </w:r>
      <w:r w:rsidR="00510C9B" w:rsidRPr="00510C9B">
        <w:rPr>
          <w:rFonts w:ascii="Times New Roman" w:hAnsi="Times New Roman"/>
          <w:szCs w:val="24"/>
        </w:rPr>
        <w:t>examining the links between affective investment and knowledge production in cultural studies (and beyond) since the early 1990s</w:t>
      </w:r>
      <w:r w:rsidR="00E72701" w:rsidRPr="00510C9B">
        <w:rPr>
          <w:rFonts w:ascii="Times New Roman" w:hAnsi="Times New Roman"/>
          <w:szCs w:val="24"/>
        </w:rPr>
        <w:t>.</w:t>
      </w:r>
      <w:r w:rsidR="004765AF">
        <w:rPr>
          <w:rFonts w:ascii="Times New Roman" w:hAnsi="Times New Roman"/>
          <w:szCs w:val="24"/>
        </w:rPr>
        <w:t xml:space="preserve"> </w:t>
      </w:r>
      <w:r w:rsidR="00E72701" w:rsidRPr="00510C9B">
        <w:rPr>
          <w:rFonts w:ascii="Times New Roman" w:hAnsi="Times New Roman"/>
          <w:szCs w:val="24"/>
        </w:rPr>
        <w:t>In</w:t>
      </w:r>
      <w:r w:rsidR="0029439F" w:rsidRPr="00510C9B">
        <w:rPr>
          <w:rFonts w:ascii="Times New Roman" w:hAnsi="Times New Roman"/>
          <w:szCs w:val="24"/>
        </w:rPr>
        <w:t xml:space="preserve"> her chapter ‘Paranoid and Reparative Reading, Or, You’re So Paranoid, You Probably Think This Essay Is About You’,</w:t>
      </w:r>
      <w:r w:rsidR="00E85433" w:rsidRPr="00510C9B">
        <w:rPr>
          <w:rFonts w:ascii="Times New Roman" w:hAnsi="Times New Roman"/>
          <w:szCs w:val="24"/>
        </w:rPr>
        <w:t xml:space="preserve"> </w:t>
      </w:r>
      <w:r w:rsidR="008B23E1" w:rsidRPr="00510C9B">
        <w:rPr>
          <w:rFonts w:ascii="Times New Roman" w:hAnsi="Times New Roman"/>
          <w:szCs w:val="24"/>
        </w:rPr>
        <w:t>Sedgwick</w:t>
      </w:r>
      <w:r w:rsidR="00E72701" w:rsidRPr="00510C9B">
        <w:rPr>
          <w:rFonts w:ascii="Times New Roman" w:hAnsi="Times New Roman"/>
          <w:szCs w:val="24"/>
        </w:rPr>
        <w:t xml:space="preserve"> </w:t>
      </w:r>
      <w:r w:rsidR="005F4B0F">
        <w:rPr>
          <w:rFonts w:ascii="Times New Roman" w:hAnsi="Times New Roman"/>
          <w:szCs w:val="24"/>
        </w:rPr>
        <w:t>famously interrogated</w:t>
      </w:r>
      <w:r w:rsidR="00E85433" w:rsidRPr="00510C9B">
        <w:rPr>
          <w:rFonts w:ascii="Times New Roman" w:hAnsi="Times New Roman"/>
          <w:szCs w:val="24"/>
        </w:rPr>
        <w:t xml:space="preserve"> the ‘hermeneutics</w:t>
      </w:r>
      <w:r w:rsidR="003D4A57" w:rsidRPr="005475B6">
        <w:rPr>
          <w:rFonts w:ascii="Times New Roman" w:hAnsi="Times New Roman"/>
          <w:szCs w:val="24"/>
        </w:rPr>
        <w:t xml:space="preserve"> of suspicion’</w:t>
      </w:r>
      <w:r w:rsidR="005140C0" w:rsidRPr="005475B6">
        <w:rPr>
          <w:rFonts w:ascii="Times New Roman" w:hAnsi="Times New Roman"/>
          <w:szCs w:val="24"/>
        </w:rPr>
        <w:t xml:space="preserve"> </w:t>
      </w:r>
      <w:r w:rsidR="00FA1599">
        <w:rPr>
          <w:rFonts w:ascii="Times New Roman" w:hAnsi="Times New Roman"/>
          <w:szCs w:val="24"/>
        </w:rPr>
        <w:t xml:space="preserve">that, </w:t>
      </w:r>
      <w:r w:rsidR="008B23E1">
        <w:rPr>
          <w:rFonts w:ascii="Times New Roman" w:hAnsi="Times New Roman"/>
          <w:szCs w:val="24"/>
        </w:rPr>
        <w:t>she argued</w:t>
      </w:r>
      <w:r w:rsidR="00FA1599">
        <w:rPr>
          <w:rFonts w:ascii="Times New Roman" w:hAnsi="Times New Roman"/>
          <w:szCs w:val="24"/>
        </w:rPr>
        <w:t>,</w:t>
      </w:r>
      <w:r w:rsidR="008B23E1">
        <w:rPr>
          <w:rFonts w:ascii="Times New Roman" w:hAnsi="Times New Roman"/>
          <w:szCs w:val="24"/>
        </w:rPr>
        <w:t xml:space="preserve"> animated</w:t>
      </w:r>
      <w:r w:rsidR="0029439F">
        <w:rPr>
          <w:rFonts w:ascii="Times New Roman" w:hAnsi="Times New Roman"/>
          <w:szCs w:val="24"/>
        </w:rPr>
        <w:t xml:space="preserve"> </w:t>
      </w:r>
      <w:r w:rsidR="00E85433" w:rsidRPr="005475B6">
        <w:rPr>
          <w:rFonts w:ascii="Times New Roman" w:hAnsi="Times New Roman"/>
          <w:szCs w:val="24"/>
        </w:rPr>
        <w:t>the majority of</w:t>
      </w:r>
      <w:r w:rsidR="00EA526E">
        <w:rPr>
          <w:rFonts w:ascii="Times New Roman" w:hAnsi="Times New Roman"/>
          <w:szCs w:val="24"/>
        </w:rPr>
        <w:t xml:space="preserve"> Euro-American</w:t>
      </w:r>
      <w:r w:rsidR="00E85433" w:rsidRPr="005475B6">
        <w:rPr>
          <w:rFonts w:ascii="Times New Roman" w:hAnsi="Times New Roman"/>
          <w:szCs w:val="24"/>
        </w:rPr>
        <w:t xml:space="preserve"> critical theory </w:t>
      </w:r>
      <w:r w:rsidR="00EB466C" w:rsidRPr="005475B6">
        <w:rPr>
          <w:rFonts w:ascii="Times New Roman" w:hAnsi="Times New Roman"/>
          <w:szCs w:val="24"/>
        </w:rPr>
        <w:t xml:space="preserve">in the </w:t>
      </w:r>
      <w:r w:rsidR="003D4A57" w:rsidRPr="005475B6">
        <w:rPr>
          <w:rFonts w:ascii="Times New Roman" w:hAnsi="Times New Roman"/>
          <w:szCs w:val="24"/>
        </w:rPr>
        <w:t xml:space="preserve">theoretical </w:t>
      </w:r>
      <w:r w:rsidR="00EB466C" w:rsidRPr="005475B6">
        <w:rPr>
          <w:rFonts w:ascii="Times New Roman" w:hAnsi="Times New Roman"/>
          <w:szCs w:val="24"/>
        </w:rPr>
        <w:t xml:space="preserve">wake of </w:t>
      </w:r>
      <w:r w:rsidR="00E85433" w:rsidRPr="005475B6">
        <w:rPr>
          <w:rFonts w:ascii="Times New Roman" w:hAnsi="Times New Roman"/>
          <w:szCs w:val="24"/>
        </w:rPr>
        <w:t>Marx, N</w:t>
      </w:r>
      <w:r w:rsidR="00EB466C" w:rsidRPr="005475B6">
        <w:rPr>
          <w:rFonts w:ascii="Times New Roman" w:hAnsi="Times New Roman"/>
          <w:szCs w:val="24"/>
        </w:rPr>
        <w:t>ietzche a</w:t>
      </w:r>
      <w:r w:rsidR="000A4880">
        <w:rPr>
          <w:rFonts w:ascii="Times New Roman" w:hAnsi="Times New Roman"/>
          <w:szCs w:val="24"/>
        </w:rPr>
        <w:t>nd Freud</w:t>
      </w:r>
      <w:r w:rsidR="003D4A57" w:rsidRPr="005475B6">
        <w:rPr>
          <w:rFonts w:ascii="Times New Roman" w:hAnsi="Times New Roman"/>
          <w:szCs w:val="24"/>
        </w:rPr>
        <w:t>.</w:t>
      </w:r>
      <w:r w:rsidR="000A4880">
        <w:rPr>
          <w:rStyle w:val="FootnoteReference"/>
          <w:rFonts w:ascii="Times New Roman" w:hAnsi="Times New Roman"/>
          <w:szCs w:val="24"/>
        </w:rPr>
        <w:footnoteReference w:id="12"/>
      </w:r>
      <w:r w:rsidR="004765AF">
        <w:rPr>
          <w:rFonts w:ascii="Times New Roman" w:hAnsi="Times New Roman"/>
          <w:szCs w:val="24"/>
        </w:rPr>
        <w:t xml:space="preserve"> </w:t>
      </w:r>
      <w:r w:rsidR="003676CF" w:rsidRPr="005475B6">
        <w:rPr>
          <w:rFonts w:ascii="Times New Roman" w:hAnsi="Times New Roman"/>
          <w:szCs w:val="24"/>
        </w:rPr>
        <w:t>Understood in shorthand as a</w:t>
      </w:r>
      <w:r w:rsidR="005140C0" w:rsidRPr="005475B6">
        <w:rPr>
          <w:rFonts w:ascii="Times New Roman" w:hAnsi="Times New Roman"/>
          <w:szCs w:val="24"/>
        </w:rPr>
        <w:t xml:space="preserve"> mode of critique premised on </w:t>
      </w:r>
      <w:r w:rsidR="003676CF" w:rsidRPr="005475B6">
        <w:rPr>
          <w:rFonts w:ascii="Times New Roman" w:hAnsi="Times New Roman"/>
          <w:szCs w:val="24"/>
        </w:rPr>
        <w:t>‘the analytic work of exposu</w:t>
      </w:r>
      <w:r w:rsidR="000A4880">
        <w:rPr>
          <w:rFonts w:ascii="Times New Roman" w:hAnsi="Times New Roman"/>
          <w:szCs w:val="24"/>
        </w:rPr>
        <w:t>re’</w:t>
      </w:r>
      <w:r w:rsidR="000A4880">
        <w:rPr>
          <w:rStyle w:val="FootnoteReference"/>
          <w:rFonts w:ascii="Times New Roman" w:hAnsi="Times New Roman"/>
          <w:szCs w:val="24"/>
        </w:rPr>
        <w:footnoteReference w:id="13"/>
      </w:r>
      <w:r w:rsidR="007D6540" w:rsidRPr="001A0AAF">
        <w:rPr>
          <w:rFonts w:ascii="Times New Roman" w:hAnsi="Times New Roman"/>
          <w:szCs w:val="24"/>
        </w:rPr>
        <w:t>, such</w:t>
      </w:r>
      <w:r w:rsidR="007D6540" w:rsidRPr="005475B6">
        <w:rPr>
          <w:rFonts w:ascii="Times New Roman" w:hAnsi="Times New Roman"/>
          <w:szCs w:val="24"/>
        </w:rPr>
        <w:t xml:space="preserve"> interpretive practice</w:t>
      </w:r>
      <w:r w:rsidR="00662164">
        <w:rPr>
          <w:rFonts w:ascii="Times New Roman" w:hAnsi="Times New Roman"/>
          <w:szCs w:val="24"/>
        </w:rPr>
        <w:t>s</w:t>
      </w:r>
      <w:r w:rsidR="007D6540" w:rsidRPr="005475B6">
        <w:rPr>
          <w:rFonts w:ascii="Times New Roman" w:hAnsi="Times New Roman"/>
          <w:szCs w:val="24"/>
        </w:rPr>
        <w:t xml:space="preserve"> typically involve efforts to ‘</w:t>
      </w:r>
      <w:r w:rsidR="007D6540" w:rsidRPr="005475B6">
        <w:rPr>
          <w:rFonts w:ascii="Times New Roman" w:hAnsi="Times New Roman"/>
          <w:i/>
          <w:szCs w:val="24"/>
        </w:rPr>
        <w:t>expose</w:t>
      </w:r>
      <w:r w:rsidR="007D6540" w:rsidRPr="005475B6">
        <w:rPr>
          <w:rFonts w:ascii="Times New Roman" w:hAnsi="Times New Roman"/>
          <w:szCs w:val="24"/>
        </w:rPr>
        <w:t xml:space="preserve"> residual forms of essentialism lurking behind apparently nonesse</w:t>
      </w:r>
      <w:r w:rsidR="000F293E" w:rsidRPr="005475B6">
        <w:rPr>
          <w:rFonts w:ascii="Times New Roman" w:hAnsi="Times New Roman"/>
          <w:szCs w:val="24"/>
        </w:rPr>
        <w:t>ntialist forms of analysis’, ‘</w:t>
      </w:r>
      <w:r w:rsidR="007D6540" w:rsidRPr="005475B6">
        <w:rPr>
          <w:rFonts w:ascii="Times New Roman" w:hAnsi="Times New Roman"/>
          <w:i/>
          <w:szCs w:val="24"/>
        </w:rPr>
        <w:t>unearth</w:t>
      </w:r>
      <w:r w:rsidR="007D6540" w:rsidRPr="005475B6">
        <w:rPr>
          <w:rFonts w:ascii="Times New Roman" w:hAnsi="Times New Roman"/>
          <w:szCs w:val="24"/>
        </w:rPr>
        <w:t xml:space="preserve"> unconscious drives or compulsions underlying the apparent</w:t>
      </w:r>
      <w:r w:rsidR="00662164">
        <w:rPr>
          <w:rFonts w:ascii="Times New Roman" w:hAnsi="Times New Roman"/>
          <w:szCs w:val="24"/>
        </w:rPr>
        <w:t xml:space="preserve"> play of literary forms’, or</w:t>
      </w:r>
      <w:r w:rsidR="007D6540" w:rsidRPr="005475B6">
        <w:rPr>
          <w:rFonts w:ascii="Times New Roman" w:hAnsi="Times New Roman"/>
          <w:szCs w:val="24"/>
        </w:rPr>
        <w:t xml:space="preserve"> ‘</w:t>
      </w:r>
      <w:r w:rsidR="007D6540" w:rsidRPr="005475B6">
        <w:rPr>
          <w:rFonts w:ascii="Times New Roman" w:hAnsi="Times New Roman"/>
          <w:i/>
          <w:szCs w:val="24"/>
        </w:rPr>
        <w:t>uncover</w:t>
      </w:r>
      <w:r w:rsidR="007D6540" w:rsidRPr="005475B6">
        <w:rPr>
          <w:rFonts w:ascii="Times New Roman" w:hAnsi="Times New Roman"/>
          <w:szCs w:val="24"/>
        </w:rPr>
        <w:t xml:space="preserve"> the violent or oppressive historical forces masquerading u</w:t>
      </w:r>
      <w:r w:rsidR="000A4880">
        <w:rPr>
          <w:rFonts w:ascii="Times New Roman" w:hAnsi="Times New Roman"/>
          <w:szCs w:val="24"/>
        </w:rPr>
        <w:t>nder liberal aesthetic guises’</w:t>
      </w:r>
      <w:r w:rsidR="007D6540" w:rsidRPr="005475B6">
        <w:rPr>
          <w:rFonts w:ascii="Times New Roman" w:hAnsi="Times New Roman"/>
          <w:szCs w:val="24"/>
        </w:rPr>
        <w:t>.</w:t>
      </w:r>
      <w:r w:rsidR="000A4880">
        <w:rPr>
          <w:rStyle w:val="FootnoteReference"/>
          <w:rFonts w:ascii="Times New Roman" w:hAnsi="Times New Roman"/>
          <w:szCs w:val="24"/>
        </w:rPr>
        <w:footnoteReference w:id="14"/>
      </w:r>
      <w:r w:rsidR="004765AF">
        <w:rPr>
          <w:rFonts w:ascii="Times New Roman" w:hAnsi="Times New Roman"/>
          <w:szCs w:val="24"/>
        </w:rPr>
        <w:t xml:space="preserve"> </w:t>
      </w:r>
      <w:r w:rsidR="00641A8E" w:rsidRPr="005475B6">
        <w:rPr>
          <w:rFonts w:ascii="Times New Roman" w:hAnsi="Times New Roman"/>
          <w:szCs w:val="24"/>
        </w:rPr>
        <w:t>T</w:t>
      </w:r>
      <w:r w:rsidR="00377E75" w:rsidRPr="005475B6">
        <w:rPr>
          <w:rFonts w:ascii="Times New Roman" w:hAnsi="Times New Roman"/>
          <w:szCs w:val="24"/>
        </w:rPr>
        <w:t>he hermeneutics of suspicion</w:t>
      </w:r>
      <w:r w:rsidR="00641A8E" w:rsidRPr="005475B6">
        <w:rPr>
          <w:rFonts w:ascii="Times New Roman" w:hAnsi="Times New Roman"/>
          <w:szCs w:val="24"/>
        </w:rPr>
        <w:t xml:space="preserve"> thus </w:t>
      </w:r>
      <w:r w:rsidR="003676CF" w:rsidRPr="005475B6">
        <w:rPr>
          <w:rFonts w:ascii="Times New Roman" w:hAnsi="Times New Roman"/>
          <w:szCs w:val="24"/>
        </w:rPr>
        <w:t xml:space="preserve">give </w:t>
      </w:r>
      <w:r w:rsidR="00E55691" w:rsidRPr="005475B6">
        <w:rPr>
          <w:rFonts w:ascii="Times New Roman" w:hAnsi="Times New Roman"/>
          <w:szCs w:val="24"/>
        </w:rPr>
        <w:t>‘the critic sovereignty in knowing, when others do not, the hidden contingenc</w:t>
      </w:r>
      <w:r w:rsidR="000A4880">
        <w:rPr>
          <w:rFonts w:ascii="Times New Roman" w:hAnsi="Times New Roman"/>
          <w:szCs w:val="24"/>
        </w:rPr>
        <w:t xml:space="preserve">ies of what things </w:t>
      </w:r>
      <w:r w:rsidR="000A4880">
        <w:rPr>
          <w:rFonts w:ascii="Times New Roman" w:hAnsi="Times New Roman"/>
          <w:szCs w:val="24"/>
        </w:rPr>
        <w:lastRenderedPageBreak/>
        <w:t>really mean’</w:t>
      </w:r>
      <w:r w:rsidR="00E55691" w:rsidRPr="001A0AAF">
        <w:rPr>
          <w:rFonts w:ascii="Times New Roman" w:hAnsi="Times New Roman"/>
          <w:szCs w:val="24"/>
        </w:rPr>
        <w:t>.</w:t>
      </w:r>
      <w:r w:rsidR="000A4880">
        <w:rPr>
          <w:rStyle w:val="FootnoteReference"/>
          <w:rFonts w:ascii="Times New Roman" w:hAnsi="Times New Roman"/>
          <w:szCs w:val="24"/>
        </w:rPr>
        <w:footnoteReference w:id="15"/>
      </w:r>
      <w:r w:rsidR="004765AF">
        <w:rPr>
          <w:rFonts w:ascii="Times New Roman" w:hAnsi="Times New Roman"/>
          <w:szCs w:val="24"/>
        </w:rPr>
        <w:t xml:space="preserve"> </w:t>
      </w:r>
      <w:r w:rsidR="00A97ABF">
        <w:rPr>
          <w:rFonts w:ascii="Times New Roman" w:hAnsi="Times New Roman"/>
          <w:szCs w:val="24"/>
        </w:rPr>
        <w:t>They also</w:t>
      </w:r>
      <w:r w:rsidR="000F293E" w:rsidRPr="005475B6">
        <w:rPr>
          <w:rFonts w:ascii="Times New Roman" w:hAnsi="Times New Roman"/>
          <w:szCs w:val="24"/>
        </w:rPr>
        <w:t xml:space="preserve"> propagate</w:t>
      </w:r>
      <w:r w:rsidR="00111E75" w:rsidRPr="005475B6">
        <w:rPr>
          <w:rFonts w:ascii="Times New Roman" w:hAnsi="Times New Roman"/>
          <w:szCs w:val="24"/>
        </w:rPr>
        <w:t xml:space="preserve"> an affective-epistemological paradigm</w:t>
      </w:r>
      <w:r w:rsidR="00641A8E" w:rsidRPr="005475B6">
        <w:rPr>
          <w:rFonts w:ascii="Times New Roman" w:hAnsi="Times New Roman"/>
          <w:szCs w:val="24"/>
        </w:rPr>
        <w:t xml:space="preserve"> premised on suspicion, doubt, anxiety, fear and cynicism while marginalising</w:t>
      </w:r>
      <w:r w:rsidR="00014CF8">
        <w:rPr>
          <w:rFonts w:ascii="Times New Roman" w:hAnsi="Times New Roman"/>
          <w:szCs w:val="24"/>
        </w:rPr>
        <w:t xml:space="preserve"> alternative frameworks lea</w:t>
      </w:r>
      <w:r w:rsidR="00DA435A">
        <w:rPr>
          <w:rFonts w:ascii="Times New Roman" w:hAnsi="Times New Roman"/>
          <w:szCs w:val="24"/>
        </w:rPr>
        <w:t>d</w:t>
      </w:r>
      <w:r w:rsidR="00641A8E" w:rsidRPr="005475B6">
        <w:rPr>
          <w:rFonts w:ascii="Times New Roman" w:hAnsi="Times New Roman"/>
          <w:szCs w:val="24"/>
        </w:rPr>
        <w:t>, for example, by amelioration, nurturance, pleasure, joy, care and love and affirmation.</w:t>
      </w:r>
      <w:r w:rsidR="004765AF">
        <w:rPr>
          <w:rFonts w:ascii="Times New Roman" w:hAnsi="Times New Roman"/>
          <w:szCs w:val="24"/>
        </w:rPr>
        <w:t xml:space="preserve"> </w:t>
      </w:r>
      <w:r w:rsidR="00DE4408" w:rsidRPr="005475B6">
        <w:rPr>
          <w:rFonts w:ascii="Times New Roman" w:hAnsi="Times New Roman"/>
          <w:szCs w:val="24"/>
        </w:rPr>
        <w:t xml:space="preserve">For Sedgwick, a key concern is how </w:t>
      </w:r>
      <w:r w:rsidR="00DA435A">
        <w:rPr>
          <w:rFonts w:ascii="Times New Roman" w:hAnsi="Times New Roman"/>
          <w:szCs w:val="24"/>
        </w:rPr>
        <w:t xml:space="preserve">these </w:t>
      </w:r>
      <w:r w:rsidR="00DE4408" w:rsidRPr="005475B6">
        <w:rPr>
          <w:rFonts w:ascii="Times New Roman" w:hAnsi="Times New Roman"/>
          <w:szCs w:val="24"/>
        </w:rPr>
        <w:t xml:space="preserve">different affective </w:t>
      </w:r>
      <w:r w:rsidR="003E66FE">
        <w:rPr>
          <w:rFonts w:ascii="Times New Roman" w:hAnsi="Times New Roman"/>
          <w:szCs w:val="24"/>
        </w:rPr>
        <w:t xml:space="preserve">and epistemological </w:t>
      </w:r>
      <w:r w:rsidR="00DE4408" w:rsidRPr="005475B6">
        <w:rPr>
          <w:rFonts w:ascii="Times New Roman" w:hAnsi="Times New Roman"/>
          <w:szCs w:val="24"/>
        </w:rPr>
        <w:t xml:space="preserve">orientations powerfully shape what can be known, how it can be known and the material implications </w:t>
      </w:r>
      <w:r w:rsidR="00DA435A">
        <w:rPr>
          <w:rFonts w:ascii="Times New Roman" w:hAnsi="Times New Roman"/>
          <w:szCs w:val="24"/>
        </w:rPr>
        <w:t>of such knowledges.</w:t>
      </w:r>
      <w:r w:rsidR="004765AF">
        <w:rPr>
          <w:rFonts w:ascii="Times New Roman" w:hAnsi="Times New Roman"/>
          <w:szCs w:val="24"/>
        </w:rPr>
        <w:t xml:space="preserve"> </w:t>
      </w:r>
      <w:r w:rsidR="00662164">
        <w:rPr>
          <w:rFonts w:ascii="Times New Roman" w:hAnsi="Times New Roman"/>
          <w:szCs w:val="24"/>
        </w:rPr>
        <w:t xml:space="preserve">Most profoundly, Sedgwick’s intervention </w:t>
      </w:r>
      <w:r w:rsidR="00DA435A">
        <w:rPr>
          <w:rFonts w:ascii="Times New Roman" w:hAnsi="Times New Roman"/>
          <w:szCs w:val="24"/>
        </w:rPr>
        <w:t>trouble</w:t>
      </w:r>
      <w:r w:rsidR="00662164">
        <w:rPr>
          <w:rFonts w:ascii="Times New Roman" w:hAnsi="Times New Roman"/>
          <w:szCs w:val="24"/>
        </w:rPr>
        <w:t>s</w:t>
      </w:r>
      <w:r w:rsidR="00DA435A">
        <w:rPr>
          <w:rFonts w:ascii="Times New Roman" w:hAnsi="Times New Roman"/>
          <w:szCs w:val="24"/>
        </w:rPr>
        <w:t xml:space="preserve"> the </w:t>
      </w:r>
      <w:r w:rsidR="00014CF8">
        <w:rPr>
          <w:rFonts w:ascii="Times New Roman" w:hAnsi="Times New Roman"/>
          <w:szCs w:val="24"/>
        </w:rPr>
        <w:t>belief</w:t>
      </w:r>
      <w:r w:rsidR="00672412">
        <w:rPr>
          <w:rFonts w:ascii="Times New Roman" w:hAnsi="Times New Roman"/>
          <w:szCs w:val="24"/>
        </w:rPr>
        <w:t xml:space="preserve"> that reading practices</w:t>
      </w:r>
      <w:r w:rsidR="00014CF8">
        <w:rPr>
          <w:rFonts w:ascii="Times New Roman" w:hAnsi="Times New Roman"/>
          <w:szCs w:val="24"/>
        </w:rPr>
        <w:t xml:space="preserve"> premised on suspicion and exposure are best positioned, or even necessary, for getting at the complex ways in which power works</w:t>
      </w:r>
      <w:r w:rsidR="00D230D4">
        <w:rPr>
          <w:rFonts w:ascii="Times New Roman" w:hAnsi="Times New Roman"/>
          <w:szCs w:val="24"/>
        </w:rPr>
        <w:t xml:space="preserve">, and </w:t>
      </w:r>
      <w:r w:rsidR="00F113D1">
        <w:rPr>
          <w:rFonts w:ascii="Times New Roman" w:hAnsi="Times New Roman"/>
          <w:szCs w:val="24"/>
        </w:rPr>
        <w:t>radically</w:t>
      </w:r>
      <w:r w:rsidR="00014CF8">
        <w:rPr>
          <w:rFonts w:ascii="Times New Roman" w:hAnsi="Times New Roman"/>
          <w:szCs w:val="24"/>
        </w:rPr>
        <w:t xml:space="preserve"> </w:t>
      </w:r>
      <w:r w:rsidR="00662164">
        <w:rPr>
          <w:rFonts w:ascii="Times New Roman" w:hAnsi="Times New Roman"/>
          <w:szCs w:val="24"/>
        </w:rPr>
        <w:t xml:space="preserve">unsettles </w:t>
      </w:r>
      <w:r w:rsidR="00014CF8">
        <w:rPr>
          <w:rFonts w:ascii="Times New Roman" w:hAnsi="Times New Roman"/>
          <w:szCs w:val="24"/>
        </w:rPr>
        <w:t>the</w:t>
      </w:r>
      <w:r w:rsidR="004C7DE6">
        <w:rPr>
          <w:rFonts w:ascii="Times New Roman" w:hAnsi="Times New Roman"/>
          <w:szCs w:val="24"/>
        </w:rPr>
        <w:t xml:space="preserve"> assumption that there is a strong correlation</w:t>
      </w:r>
      <w:r w:rsidR="005268BC">
        <w:rPr>
          <w:rFonts w:ascii="Times New Roman" w:hAnsi="Times New Roman"/>
          <w:szCs w:val="24"/>
        </w:rPr>
        <w:t xml:space="preserve"> between knowledge and progressive</w:t>
      </w:r>
      <w:r w:rsidR="00014CF8">
        <w:rPr>
          <w:rFonts w:ascii="Times New Roman" w:hAnsi="Times New Roman"/>
          <w:szCs w:val="24"/>
        </w:rPr>
        <w:t xml:space="preserve"> social transformation.</w:t>
      </w:r>
      <w:r w:rsidR="00641A8E" w:rsidRPr="005475B6">
        <w:rPr>
          <w:rFonts w:ascii="Times New Roman" w:hAnsi="Times New Roman"/>
          <w:szCs w:val="24"/>
        </w:rPr>
        <w:t xml:space="preserve"> </w:t>
      </w:r>
    </w:p>
    <w:p w14:paraId="2023B595" w14:textId="64B96B57" w:rsidR="00DB4637" w:rsidRPr="005475B6" w:rsidRDefault="005E5342" w:rsidP="00F504EB">
      <w:pPr>
        <w:pStyle w:val="FreeFormA"/>
        <w:ind w:firstLine="720"/>
        <w:rPr>
          <w:rFonts w:ascii="Times New Roman" w:hAnsi="Times New Roman"/>
          <w:szCs w:val="24"/>
        </w:rPr>
      </w:pPr>
      <w:r w:rsidRPr="005475B6">
        <w:rPr>
          <w:rFonts w:ascii="Times New Roman" w:hAnsi="Times New Roman"/>
          <w:szCs w:val="24"/>
        </w:rPr>
        <w:t xml:space="preserve">Central to critical methodologies </w:t>
      </w:r>
      <w:r w:rsidR="00E963FE">
        <w:rPr>
          <w:rFonts w:ascii="Times New Roman" w:hAnsi="Times New Roman"/>
          <w:szCs w:val="24"/>
        </w:rPr>
        <w:t xml:space="preserve">driven by </w:t>
      </w:r>
      <w:r w:rsidRPr="005475B6">
        <w:rPr>
          <w:rFonts w:ascii="Times New Roman" w:hAnsi="Times New Roman"/>
          <w:szCs w:val="24"/>
        </w:rPr>
        <w:t>s</w:t>
      </w:r>
      <w:r w:rsidR="000B737E">
        <w:rPr>
          <w:rFonts w:ascii="Times New Roman" w:hAnsi="Times New Roman"/>
          <w:szCs w:val="24"/>
        </w:rPr>
        <w:t>uspicion</w:t>
      </w:r>
      <w:r w:rsidR="00B64495">
        <w:rPr>
          <w:rFonts w:ascii="Times New Roman" w:hAnsi="Times New Roman"/>
          <w:szCs w:val="24"/>
        </w:rPr>
        <w:t xml:space="preserve"> </w:t>
      </w:r>
      <w:r w:rsidR="00662164">
        <w:rPr>
          <w:rFonts w:ascii="Times New Roman" w:hAnsi="Times New Roman"/>
          <w:szCs w:val="24"/>
        </w:rPr>
        <w:t>is the concept of paranoia</w:t>
      </w:r>
      <w:r w:rsidRPr="005475B6">
        <w:rPr>
          <w:rFonts w:ascii="Times New Roman" w:hAnsi="Times New Roman"/>
          <w:szCs w:val="24"/>
        </w:rPr>
        <w:t>.</w:t>
      </w:r>
      <w:r w:rsidR="004765AF">
        <w:rPr>
          <w:rFonts w:ascii="Times New Roman" w:hAnsi="Times New Roman"/>
          <w:szCs w:val="24"/>
        </w:rPr>
        <w:t xml:space="preserve"> </w:t>
      </w:r>
      <w:r w:rsidR="00EB466C" w:rsidRPr="005475B6">
        <w:rPr>
          <w:rFonts w:ascii="Times New Roman" w:hAnsi="Times New Roman"/>
          <w:szCs w:val="24"/>
        </w:rPr>
        <w:t>Following the psychoanalyst Melanie Klein</w:t>
      </w:r>
      <w:r w:rsidR="000A4880">
        <w:rPr>
          <w:rStyle w:val="FootnoteReference"/>
          <w:rFonts w:ascii="Times New Roman" w:hAnsi="Times New Roman"/>
          <w:szCs w:val="24"/>
        </w:rPr>
        <w:footnoteReference w:id="16"/>
      </w:r>
      <w:r w:rsidR="00EB466C" w:rsidRPr="005475B6">
        <w:rPr>
          <w:rFonts w:ascii="Times New Roman" w:hAnsi="Times New Roman"/>
          <w:szCs w:val="24"/>
        </w:rPr>
        <w:t xml:space="preserve">, </w:t>
      </w:r>
      <w:r w:rsidR="00896A5C" w:rsidRPr="005475B6">
        <w:rPr>
          <w:rFonts w:ascii="Times New Roman" w:hAnsi="Times New Roman"/>
          <w:szCs w:val="24"/>
        </w:rPr>
        <w:t>Sedgwick</w:t>
      </w:r>
      <w:r w:rsidR="009825DA" w:rsidRPr="005475B6">
        <w:rPr>
          <w:rFonts w:ascii="Times New Roman" w:hAnsi="Times New Roman"/>
          <w:szCs w:val="24"/>
        </w:rPr>
        <w:t xml:space="preserve"> understand</w:t>
      </w:r>
      <w:r w:rsidR="003D4A57" w:rsidRPr="005475B6">
        <w:rPr>
          <w:rFonts w:ascii="Times New Roman" w:hAnsi="Times New Roman"/>
          <w:szCs w:val="24"/>
        </w:rPr>
        <w:t>s</w:t>
      </w:r>
      <w:r w:rsidR="009825DA" w:rsidRPr="005475B6">
        <w:rPr>
          <w:rFonts w:ascii="Times New Roman" w:hAnsi="Times New Roman"/>
          <w:szCs w:val="24"/>
        </w:rPr>
        <w:t xml:space="preserve"> </w:t>
      </w:r>
      <w:r w:rsidR="00EB466C" w:rsidRPr="005475B6">
        <w:rPr>
          <w:rFonts w:ascii="Times New Roman" w:hAnsi="Times New Roman"/>
          <w:szCs w:val="24"/>
        </w:rPr>
        <w:t xml:space="preserve">paranoia </w:t>
      </w:r>
      <w:r w:rsidR="00B57F0B" w:rsidRPr="005475B6">
        <w:rPr>
          <w:rFonts w:ascii="Times New Roman" w:hAnsi="Times New Roman"/>
          <w:szCs w:val="24"/>
        </w:rPr>
        <w:t>not a</w:t>
      </w:r>
      <w:r w:rsidR="006E4E2C" w:rsidRPr="005475B6">
        <w:rPr>
          <w:rFonts w:ascii="Times New Roman" w:hAnsi="Times New Roman"/>
          <w:szCs w:val="24"/>
        </w:rPr>
        <w:t>s</w:t>
      </w:r>
      <w:r w:rsidR="009825DA" w:rsidRPr="005475B6">
        <w:rPr>
          <w:rFonts w:ascii="Times New Roman" w:hAnsi="Times New Roman"/>
          <w:szCs w:val="24"/>
        </w:rPr>
        <w:t xml:space="preserve"> pathology</w:t>
      </w:r>
      <w:r w:rsidR="003D4A57" w:rsidRPr="005475B6">
        <w:rPr>
          <w:rFonts w:ascii="Times New Roman" w:hAnsi="Times New Roman"/>
          <w:szCs w:val="24"/>
        </w:rPr>
        <w:t>,</w:t>
      </w:r>
      <w:r w:rsidR="00B57F0B" w:rsidRPr="005475B6">
        <w:rPr>
          <w:rFonts w:ascii="Times New Roman" w:hAnsi="Times New Roman"/>
          <w:szCs w:val="24"/>
        </w:rPr>
        <w:t xml:space="preserve"> nor a</w:t>
      </w:r>
      <w:r w:rsidR="009825DA" w:rsidRPr="005475B6">
        <w:rPr>
          <w:rFonts w:ascii="Times New Roman" w:hAnsi="Times New Roman"/>
          <w:szCs w:val="24"/>
        </w:rPr>
        <w:t>s a</w:t>
      </w:r>
      <w:r w:rsidR="00B57F0B" w:rsidRPr="005475B6">
        <w:rPr>
          <w:rFonts w:ascii="Times New Roman" w:hAnsi="Times New Roman"/>
          <w:szCs w:val="24"/>
        </w:rPr>
        <w:t xml:space="preserve"> stable personality</w:t>
      </w:r>
      <w:r w:rsidR="003D4A57" w:rsidRPr="005475B6">
        <w:rPr>
          <w:rFonts w:ascii="Times New Roman" w:hAnsi="Times New Roman"/>
          <w:szCs w:val="24"/>
        </w:rPr>
        <w:t>,</w:t>
      </w:r>
      <w:r w:rsidR="00B57F0B" w:rsidRPr="005475B6">
        <w:rPr>
          <w:rFonts w:ascii="Times New Roman" w:hAnsi="Times New Roman"/>
          <w:szCs w:val="24"/>
        </w:rPr>
        <w:t xml:space="preserve"> but rather </w:t>
      </w:r>
      <w:r w:rsidR="003D4A57" w:rsidRPr="005475B6">
        <w:rPr>
          <w:rFonts w:ascii="Times New Roman" w:hAnsi="Times New Roman"/>
          <w:szCs w:val="24"/>
        </w:rPr>
        <w:t xml:space="preserve">as </w:t>
      </w:r>
      <w:r w:rsidR="00B57F0B" w:rsidRPr="005475B6">
        <w:rPr>
          <w:rFonts w:ascii="Times New Roman" w:hAnsi="Times New Roman"/>
          <w:szCs w:val="24"/>
        </w:rPr>
        <w:t>a ‘position’.</w:t>
      </w:r>
      <w:r w:rsidR="004765AF">
        <w:rPr>
          <w:rFonts w:ascii="Times New Roman" w:hAnsi="Times New Roman"/>
          <w:szCs w:val="24"/>
        </w:rPr>
        <w:t xml:space="preserve"> </w:t>
      </w:r>
      <w:r w:rsidR="00111E75" w:rsidRPr="005475B6">
        <w:rPr>
          <w:rFonts w:ascii="Times New Roman" w:hAnsi="Times New Roman"/>
          <w:szCs w:val="24"/>
        </w:rPr>
        <w:t>In Kleinian psychoanalysis, the</w:t>
      </w:r>
      <w:r w:rsidR="00142615" w:rsidRPr="005475B6">
        <w:rPr>
          <w:rFonts w:ascii="Times New Roman" w:hAnsi="Times New Roman"/>
          <w:szCs w:val="24"/>
        </w:rPr>
        <w:t xml:space="preserve"> </w:t>
      </w:r>
      <w:r w:rsidR="00DB4637" w:rsidRPr="005475B6">
        <w:rPr>
          <w:rFonts w:ascii="Times New Roman" w:hAnsi="Times New Roman"/>
          <w:szCs w:val="24"/>
        </w:rPr>
        <w:t>‘</w:t>
      </w:r>
      <w:r w:rsidR="00AB09A7" w:rsidRPr="005475B6">
        <w:rPr>
          <w:rFonts w:ascii="Times New Roman" w:hAnsi="Times New Roman"/>
          <w:szCs w:val="24"/>
        </w:rPr>
        <w:t>paranoid/schizoid</w:t>
      </w:r>
      <w:r w:rsidR="00DB4637" w:rsidRPr="005475B6">
        <w:rPr>
          <w:rFonts w:ascii="Times New Roman" w:hAnsi="Times New Roman"/>
          <w:szCs w:val="24"/>
        </w:rPr>
        <w:t>’</w:t>
      </w:r>
      <w:r w:rsidR="00AB09A7" w:rsidRPr="005475B6">
        <w:rPr>
          <w:rFonts w:ascii="Times New Roman" w:hAnsi="Times New Roman"/>
          <w:szCs w:val="24"/>
        </w:rPr>
        <w:t xml:space="preserve"> and </w:t>
      </w:r>
      <w:r w:rsidR="00DB4637" w:rsidRPr="005475B6">
        <w:rPr>
          <w:rFonts w:ascii="Times New Roman" w:hAnsi="Times New Roman"/>
          <w:szCs w:val="24"/>
        </w:rPr>
        <w:t>‘</w:t>
      </w:r>
      <w:r w:rsidR="00AB09A7" w:rsidRPr="005475B6">
        <w:rPr>
          <w:rFonts w:ascii="Times New Roman" w:hAnsi="Times New Roman"/>
          <w:szCs w:val="24"/>
        </w:rPr>
        <w:t>depressive</w:t>
      </w:r>
      <w:r w:rsidR="00DB4637" w:rsidRPr="005475B6">
        <w:rPr>
          <w:rFonts w:ascii="Times New Roman" w:hAnsi="Times New Roman"/>
          <w:szCs w:val="24"/>
        </w:rPr>
        <w:t>’</w:t>
      </w:r>
      <w:r w:rsidR="00142615" w:rsidRPr="005475B6">
        <w:rPr>
          <w:rFonts w:ascii="Times New Roman" w:hAnsi="Times New Roman"/>
          <w:szCs w:val="24"/>
        </w:rPr>
        <w:t xml:space="preserve"> </w:t>
      </w:r>
      <w:r w:rsidR="00111E75" w:rsidRPr="005475B6">
        <w:rPr>
          <w:rFonts w:ascii="Times New Roman" w:hAnsi="Times New Roman"/>
          <w:szCs w:val="24"/>
        </w:rPr>
        <w:t xml:space="preserve">positions </w:t>
      </w:r>
      <w:r w:rsidR="00DB4637" w:rsidRPr="005475B6">
        <w:rPr>
          <w:rFonts w:ascii="Times New Roman" w:hAnsi="Times New Roman"/>
          <w:szCs w:val="24"/>
        </w:rPr>
        <w:t xml:space="preserve">are </w:t>
      </w:r>
      <w:r w:rsidR="00111E75" w:rsidRPr="005475B6">
        <w:rPr>
          <w:rFonts w:ascii="Times New Roman" w:hAnsi="Times New Roman"/>
          <w:szCs w:val="24"/>
        </w:rPr>
        <w:t xml:space="preserve">characteristic </w:t>
      </w:r>
      <w:r w:rsidR="00DB4637" w:rsidRPr="005475B6">
        <w:rPr>
          <w:rFonts w:ascii="Times New Roman" w:hAnsi="Times New Roman"/>
          <w:szCs w:val="24"/>
        </w:rPr>
        <w:t>postures that ‘</w:t>
      </w:r>
      <w:r w:rsidR="00C65639" w:rsidRPr="005475B6">
        <w:rPr>
          <w:rFonts w:ascii="Times New Roman" w:hAnsi="Times New Roman"/>
          <w:szCs w:val="24"/>
        </w:rPr>
        <w:t>the ego takes up with respect to its objects’</w:t>
      </w:r>
      <w:r w:rsidR="00A97ABF">
        <w:rPr>
          <w:rFonts w:ascii="Times New Roman" w:hAnsi="Times New Roman"/>
          <w:szCs w:val="24"/>
        </w:rPr>
        <w:t xml:space="preserve"> from infancy</w:t>
      </w:r>
      <w:r w:rsidR="00DB4637" w:rsidRPr="005475B6">
        <w:rPr>
          <w:rFonts w:ascii="Times New Roman" w:hAnsi="Times New Roman"/>
          <w:szCs w:val="24"/>
        </w:rPr>
        <w:t>.</w:t>
      </w:r>
      <w:r w:rsidR="000A4880">
        <w:rPr>
          <w:rStyle w:val="FootnoteReference"/>
          <w:rFonts w:ascii="Times New Roman" w:hAnsi="Times New Roman"/>
          <w:szCs w:val="24"/>
        </w:rPr>
        <w:footnoteReference w:id="17"/>
      </w:r>
      <w:r w:rsidR="004765AF">
        <w:rPr>
          <w:rFonts w:ascii="Times New Roman" w:hAnsi="Times New Roman"/>
          <w:szCs w:val="24"/>
        </w:rPr>
        <w:t xml:space="preserve"> </w:t>
      </w:r>
      <w:r w:rsidR="007F0774" w:rsidRPr="005475B6">
        <w:rPr>
          <w:rFonts w:ascii="Times New Roman" w:hAnsi="Times New Roman"/>
          <w:szCs w:val="24"/>
        </w:rPr>
        <w:t>More specifically, a</w:t>
      </w:r>
      <w:r w:rsidR="00DB4637" w:rsidRPr="005475B6">
        <w:rPr>
          <w:rFonts w:ascii="Times New Roman" w:hAnsi="Times New Roman"/>
          <w:szCs w:val="24"/>
        </w:rPr>
        <w:t xml:space="preserve">s Stacey explains, </w:t>
      </w:r>
    </w:p>
    <w:p w14:paraId="50FB8CAA" w14:textId="77777777" w:rsidR="00DB4637" w:rsidRPr="005475B6" w:rsidRDefault="00DB4637" w:rsidP="00F504EB">
      <w:pPr>
        <w:pStyle w:val="FreeFormA"/>
        <w:rPr>
          <w:rFonts w:ascii="Times New Roman" w:hAnsi="Times New Roman"/>
          <w:szCs w:val="24"/>
        </w:rPr>
      </w:pPr>
    </w:p>
    <w:p w14:paraId="30F17572" w14:textId="4ACD8E0E" w:rsidR="00DB4637" w:rsidRPr="005475B6" w:rsidRDefault="00DB4637" w:rsidP="00F504EB">
      <w:pPr>
        <w:pStyle w:val="FreeFormA"/>
        <w:ind w:left="720"/>
        <w:rPr>
          <w:rFonts w:ascii="Times New Roman" w:hAnsi="Times New Roman"/>
          <w:szCs w:val="24"/>
        </w:rPr>
      </w:pPr>
      <w:r w:rsidRPr="005475B6">
        <w:rPr>
          <w:rFonts w:ascii="Times New Roman" w:hAnsi="Times New Roman"/>
          <w:szCs w:val="24"/>
        </w:rPr>
        <w:t>For Kl</w:t>
      </w:r>
      <w:r w:rsidR="00A85327">
        <w:rPr>
          <w:rFonts w:ascii="Times New Roman" w:hAnsi="Times New Roman"/>
          <w:szCs w:val="24"/>
        </w:rPr>
        <w:t>ein, the infant processes an on</w:t>
      </w:r>
      <w:r w:rsidRPr="005475B6">
        <w:rPr>
          <w:rFonts w:ascii="Times New Roman" w:hAnsi="Times New Roman"/>
          <w:szCs w:val="24"/>
        </w:rPr>
        <w:t>going ambivalence toward the mother and in the first instance, towards her breast: the infant loves the good object that feeds and satisfies it but it hates the bad object that inevitably frustrates its needs.</w:t>
      </w:r>
      <w:r w:rsidR="004765AF">
        <w:rPr>
          <w:rFonts w:ascii="Times New Roman" w:hAnsi="Times New Roman"/>
          <w:szCs w:val="24"/>
        </w:rPr>
        <w:t xml:space="preserve"> </w:t>
      </w:r>
      <w:r w:rsidRPr="005475B6">
        <w:rPr>
          <w:rFonts w:ascii="Times New Roman" w:hAnsi="Times New Roman"/>
          <w:szCs w:val="24"/>
        </w:rPr>
        <w:t>This splitting of the mother/breast into good and bad objects produces the fear and suspicion of the breast (the paranoid-schizoid position), which is then superseded by the discovery that the breast it hates and the breast it loves are the sa</w:t>
      </w:r>
      <w:r w:rsidR="000A4880">
        <w:rPr>
          <w:rFonts w:ascii="Times New Roman" w:hAnsi="Times New Roman"/>
          <w:szCs w:val="24"/>
        </w:rPr>
        <w:t>me breast (depressive position)</w:t>
      </w:r>
      <w:r w:rsidRPr="001A0AAF">
        <w:rPr>
          <w:rFonts w:ascii="Times New Roman" w:hAnsi="Times New Roman"/>
          <w:szCs w:val="24"/>
        </w:rPr>
        <w:t>.</w:t>
      </w:r>
      <w:r w:rsidR="000A4880">
        <w:rPr>
          <w:rStyle w:val="FootnoteReference"/>
          <w:rFonts w:ascii="Times New Roman" w:hAnsi="Times New Roman"/>
          <w:szCs w:val="24"/>
        </w:rPr>
        <w:footnoteReference w:id="18"/>
      </w:r>
      <w:r w:rsidR="004765AF">
        <w:rPr>
          <w:rFonts w:ascii="Times New Roman" w:hAnsi="Times New Roman"/>
          <w:szCs w:val="24"/>
        </w:rPr>
        <w:t xml:space="preserve">  </w:t>
      </w:r>
    </w:p>
    <w:p w14:paraId="5EFF4678" w14:textId="77777777" w:rsidR="00DB4637" w:rsidRPr="005475B6" w:rsidRDefault="00DB4637" w:rsidP="00F504EB">
      <w:pPr>
        <w:pStyle w:val="FreeFormA"/>
        <w:rPr>
          <w:rFonts w:ascii="Times New Roman" w:hAnsi="Times New Roman"/>
          <w:szCs w:val="24"/>
        </w:rPr>
      </w:pPr>
    </w:p>
    <w:p w14:paraId="374C8F9C" w14:textId="13D741AA" w:rsidR="00377E75" w:rsidRPr="005475B6" w:rsidRDefault="00AA2B2F" w:rsidP="00F504EB">
      <w:pPr>
        <w:pStyle w:val="FreeFormA"/>
        <w:rPr>
          <w:rFonts w:ascii="Times New Roman" w:hAnsi="Times New Roman"/>
          <w:szCs w:val="24"/>
        </w:rPr>
      </w:pPr>
      <w:r w:rsidRPr="005475B6">
        <w:rPr>
          <w:rFonts w:ascii="Times New Roman" w:hAnsi="Times New Roman"/>
          <w:szCs w:val="24"/>
        </w:rPr>
        <w:t xml:space="preserve">As such, </w:t>
      </w:r>
      <w:r w:rsidR="006847F1" w:rsidRPr="005475B6">
        <w:rPr>
          <w:rFonts w:ascii="Times New Roman" w:hAnsi="Times New Roman"/>
          <w:szCs w:val="24"/>
        </w:rPr>
        <w:t>while</w:t>
      </w:r>
      <w:r w:rsidR="00111E75" w:rsidRPr="005475B6">
        <w:rPr>
          <w:rFonts w:ascii="Times New Roman" w:hAnsi="Times New Roman"/>
          <w:szCs w:val="24"/>
        </w:rPr>
        <w:t xml:space="preserve"> the paranoid position de</w:t>
      </w:r>
      <w:r w:rsidR="007D1723" w:rsidRPr="005475B6">
        <w:rPr>
          <w:rFonts w:ascii="Times New Roman" w:hAnsi="Times New Roman"/>
          <w:szCs w:val="24"/>
        </w:rPr>
        <w:t>ploys ‘a schizoid strategy of splitting both its objects and itself into very concretely imagined part objects that can only be seen as exclu</w:t>
      </w:r>
      <w:r w:rsidR="000A4880">
        <w:rPr>
          <w:rFonts w:ascii="Times New Roman" w:hAnsi="Times New Roman"/>
          <w:szCs w:val="24"/>
        </w:rPr>
        <w:t>sively, magically good or bad’</w:t>
      </w:r>
      <w:r w:rsidR="000A4880">
        <w:rPr>
          <w:rStyle w:val="FootnoteReference"/>
          <w:rFonts w:ascii="Times New Roman" w:hAnsi="Times New Roman"/>
          <w:szCs w:val="24"/>
        </w:rPr>
        <w:footnoteReference w:id="19"/>
      </w:r>
      <w:r w:rsidR="006847F1" w:rsidRPr="005475B6">
        <w:rPr>
          <w:rFonts w:ascii="Times New Roman" w:hAnsi="Times New Roman"/>
          <w:szCs w:val="24"/>
        </w:rPr>
        <w:t xml:space="preserve">, </w:t>
      </w:r>
      <w:r w:rsidRPr="005475B6">
        <w:rPr>
          <w:rFonts w:ascii="Times New Roman" w:hAnsi="Times New Roman"/>
          <w:szCs w:val="24"/>
        </w:rPr>
        <w:t>the depressive position ‘signals an acceptance of good and bad objects wit</w:t>
      </w:r>
      <w:r w:rsidR="000A4880">
        <w:rPr>
          <w:rFonts w:ascii="Times New Roman" w:hAnsi="Times New Roman"/>
          <w:szCs w:val="24"/>
        </w:rPr>
        <w:t>hin the mother in her entirety’</w:t>
      </w:r>
      <w:r w:rsidR="000A4880">
        <w:rPr>
          <w:rStyle w:val="FootnoteReference"/>
          <w:rFonts w:ascii="Times New Roman" w:hAnsi="Times New Roman"/>
          <w:szCs w:val="24"/>
        </w:rPr>
        <w:footnoteReference w:id="20"/>
      </w:r>
      <w:r w:rsidRPr="001A0AAF">
        <w:rPr>
          <w:rFonts w:ascii="Times New Roman" w:hAnsi="Times New Roman"/>
          <w:szCs w:val="24"/>
        </w:rPr>
        <w:t>.</w:t>
      </w:r>
      <w:r w:rsidR="004765AF">
        <w:rPr>
          <w:rFonts w:ascii="Times New Roman" w:hAnsi="Times New Roman"/>
          <w:szCs w:val="24"/>
        </w:rPr>
        <w:t xml:space="preserve"> </w:t>
      </w:r>
      <w:r w:rsidR="00662164">
        <w:rPr>
          <w:rFonts w:ascii="Times New Roman" w:hAnsi="Times New Roman"/>
          <w:szCs w:val="24"/>
        </w:rPr>
        <w:t>Similarly, i</w:t>
      </w:r>
      <w:r w:rsidR="00B57F0B" w:rsidRPr="005475B6">
        <w:rPr>
          <w:rFonts w:ascii="Times New Roman" w:hAnsi="Times New Roman"/>
          <w:szCs w:val="24"/>
        </w:rPr>
        <w:t>n the domain of criti</w:t>
      </w:r>
      <w:r w:rsidR="009825DA" w:rsidRPr="005475B6">
        <w:rPr>
          <w:rFonts w:ascii="Times New Roman" w:hAnsi="Times New Roman"/>
          <w:szCs w:val="24"/>
        </w:rPr>
        <w:t>cal theory, Sedgwick</w:t>
      </w:r>
      <w:r w:rsidR="00B57F0B" w:rsidRPr="005475B6">
        <w:rPr>
          <w:rFonts w:ascii="Times New Roman" w:hAnsi="Times New Roman"/>
          <w:szCs w:val="24"/>
        </w:rPr>
        <w:t xml:space="preserve"> suggests, paranoia </w:t>
      </w:r>
      <w:r w:rsidR="00C14051" w:rsidRPr="005475B6">
        <w:rPr>
          <w:rFonts w:ascii="Times New Roman" w:hAnsi="Times New Roman"/>
          <w:szCs w:val="24"/>
        </w:rPr>
        <w:t>is</w:t>
      </w:r>
      <w:r w:rsidR="003D4A57" w:rsidRPr="005475B6">
        <w:rPr>
          <w:rFonts w:ascii="Times New Roman" w:hAnsi="Times New Roman"/>
          <w:szCs w:val="24"/>
        </w:rPr>
        <w:t xml:space="preserve"> </w:t>
      </w:r>
      <w:r w:rsidR="00C32B80" w:rsidRPr="005475B6">
        <w:rPr>
          <w:rFonts w:ascii="Times New Roman" w:hAnsi="Times New Roman"/>
          <w:szCs w:val="24"/>
        </w:rPr>
        <w:t>a mode of interpretation</w:t>
      </w:r>
      <w:r w:rsidR="00C14051" w:rsidRPr="005475B6">
        <w:rPr>
          <w:rFonts w:ascii="Times New Roman" w:hAnsi="Times New Roman"/>
          <w:szCs w:val="24"/>
        </w:rPr>
        <w:t xml:space="preserve"> </w:t>
      </w:r>
      <w:r w:rsidR="00A166F0" w:rsidRPr="005475B6">
        <w:rPr>
          <w:rFonts w:ascii="Times New Roman" w:hAnsi="Times New Roman"/>
          <w:szCs w:val="24"/>
        </w:rPr>
        <w:t>characterised by</w:t>
      </w:r>
      <w:r w:rsidR="00A166F0">
        <w:rPr>
          <w:rFonts w:ascii="Times New Roman" w:hAnsi="Times New Roman"/>
          <w:szCs w:val="24"/>
        </w:rPr>
        <w:t xml:space="preserve"> an implicit assumption that we know what i</w:t>
      </w:r>
      <w:r w:rsidR="00771648">
        <w:rPr>
          <w:rFonts w:ascii="Times New Roman" w:hAnsi="Times New Roman"/>
          <w:szCs w:val="24"/>
        </w:rPr>
        <w:t>s ‘good’ and ‘bad’ for us</w:t>
      </w:r>
      <w:r w:rsidR="00A166F0">
        <w:rPr>
          <w:rFonts w:ascii="Times New Roman" w:hAnsi="Times New Roman"/>
          <w:szCs w:val="24"/>
        </w:rPr>
        <w:t xml:space="preserve">, and </w:t>
      </w:r>
      <w:r w:rsidR="00B66A2F">
        <w:rPr>
          <w:rFonts w:ascii="Times New Roman" w:hAnsi="Times New Roman"/>
          <w:szCs w:val="24"/>
        </w:rPr>
        <w:t xml:space="preserve">social and </w:t>
      </w:r>
      <w:r w:rsidR="00A166F0">
        <w:rPr>
          <w:rFonts w:ascii="Times New Roman" w:hAnsi="Times New Roman"/>
          <w:szCs w:val="24"/>
        </w:rPr>
        <w:t>political life more generally, and that we can split knowledg</w:t>
      </w:r>
      <w:r w:rsidR="00096BE6">
        <w:rPr>
          <w:rFonts w:ascii="Times New Roman" w:hAnsi="Times New Roman"/>
          <w:szCs w:val="24"/>
        </w:rPr>
        <w:t>es and practices into those</w:t>
      </w:r>
      <w:r w:rsidR="00A166F0">
        <w:rPr>
          <w:rFonts w:ascii="Times New Roman" w:hAnsi="Times New Roman"/>
          <w:szCs w:val="24"/>
        </w:rPr>
        <w:t xml:space="preserve"> likely to work in the interest of ‘social justice’ and those likely to work against it.</w:t>
      </w:r>
      <w:r w:rsidR="004765AF">
        <w:rPr>
          <w:rFonts w:ascii="Times New Roman" w:hAnsi="Times New Roman"/>
          <w:szCs w:val="24"/>
        </w:rPr>
        <w:t xml:space="preserve"> </w:t>
      </w:r>
      <w:r w:rsidR="00A166F0">
        <w:rPr>
          <w:rFonts w:ascii="Times New Roman" w:hAnsi="Times New Roman"/>
          <w:szCs w:val="24"/>
        </w:rPr>
        <w:t xml:space="preserve">Paranoid reading is thus fuelled by a state of constant anxiety and alertness focused on detecting and exposing ‘the bad’ (i.e. </w:t>
      </w:r>
      <w:r w:rsidR="002B123D">
        <w:rPr>
          <w:rFonts w:ascii="Times New Roman" w:hAnsi="Times New Roman"/>
          <w:szCs w:val="24"/>
        </w:rPr>
        <w:t>pernicious</w:t>
      </w:r>
      <w:r w:rsidR="004C7DE6">
        <w:rPr>
          <w:rFonts w:ascii="Times New Roman" w:hAnsi="Times New Roman"/>
          <w:szCs w:val="24"/>
        </w:rPr>
        <w:t xml:space="preserve"> </w:t>
      </w:r>
      <w:r w:rsidR="00A166F0">
        <w:rPr>
          <w:rFonts w:ascii="Times New Roman" w:hAnsi="Times New Roman"/>
          <w:szCs w:val="24"/>
        </w:rPr>
        <w:t xml:space="preserve">modes of </w:t>
      </w:r>
      <w:r w:rsidR="002B123D">
        <w:rPr>
          <w:rFonts w:ascii="Times New Roman" w:hAnsi="Times New Roman"/>
          <w:szCs w:val="24"/>
        </w:rPr>
        <w:t xml:space="preserve">power, </w:t>
      </w:r>
      <w:r w:rsidR="00A166F0">
        <w:rPr>
          <w:rFonts w:ascii="Times New Roman" w:hAnsi="Times New Roman"/>
          <w:szCs w:val="24"/>
        </w:rPr>
        <w:t>oppression, regu</w:t>
      </w:r>
      <w:r w:rsidR="0026584D">
        <w:rPr>
          <w:rFonts w:ascii="Times New Roman" w:hAnsi="Times New Roman"/>
          <w:szCs w:val="24"/>
        </w:rPr>
        <w:t xml:space="preserve">lation, violence, essentialism or </w:t>
      </w:r>
      <w:r w:rsidR="00A166F0">
        <w:rPr>
          <w:rFonts w:ascii="Times New Roman" w:hAnsi="Times New Roman"/>
          <w:szCs w:val="24"/>
        </w:rPr>
        <w:t>stereotypin</w:t>
      </w:r>
      <w:r w:rsidR="00662164">
        <w:rPr>
          <w:rFonts w:ascii="Times New Roman" w:hAnsi="Times New Roman"/>
          <w:szCs w:val="24"/>
        </w:rPr>
        <w:t>g), in the belief that making what is bad</w:t>
      </w:r>
      <w:r w:rsidR="00A166F0">
        <w:rPr>
          <w:rFonts w:ascii="Times New Roman" w:hAnsi="Times New Roman"/>
          <w:szCs w:val="24"/>
        </w:rPr>
        <w:t xml:space="preserve"> visible is what is</w:t>
      </w:r>
      <w:r w:rsidR="00A97ABF">
        <w:rPr>
          <w:rFonts w:ascii="Times New Roman" w:hAnsi="Times New Roman"/>
          <w:szCs w:val="24"/>
        </w:rPr>
        <w:t xml:space="preserve"> most required to eradicate</w:t>
      </w:r>
      <w:r w:rsidR="00A166F0">
        <w:rPr>
          <w:rFonts w:ascii="Times New Roman" w:hAnsi="Times New Roman"/>
          <w:szCs w:val="24"/>
        </w:rPr>
        <w:t xml:space="preserve"> or </w:t>
      </w:r>
      <w:r w:rsidR="004C7DE6">
        <w:rPr>
          <w:rFonts w:ascii="Times New Roman" w:hAnsi="Times New Roman"/>
          <w:szCs w:val="24"/>
        </w:rPr>
        <w:t xml:space="preserve">change </w:t>
      </w:r>
      <w:r w:rsidR="00A166F0">
        <w:rPr>
          <w:rFonts w:ascii="Times New Roman" w:hAnsi="Times New Roman"/>
          <w:szCs w:val="24"/>
        </w:rPr>
        <w:t>it.</w:t>
      </w:r>
      <w:r w:rsidR="004765AF">
        <w:rPr>
          <w:rFonts w:ascii="Times New Roman" w:hAnsi="Times New Roman"/>
          <w:szCs w:val="24"/>
        </w:rPr>
        <w:t xml:space="preserve"> </w:t>
      </w:r>
      <w:r w:rsidR="002B123D">
        <w:rPr>
          <w:rFonts w:ascii="Times New Roman" w:hAnsi="Times New Roman"/>
          <w:szCs w:val="24"/>
        </w:rPr>
        <w:t xml:space="preserve">As such, </w:t>
      </w:r>
      <w:r w:rsidR="00771648" w:rsidRPr="00771648">
        <w:rPr>
          <w:rFonts w:ascii="Times New Roman" w:hAnsi="Times New Roman"/>
          <w:szCs w:val="24"/>
        </w:rPr>
        <w:t>‘paranoia requires that bad news be already known’</w:t>
      </w:r>
      <w:r w:rsidR="000A4880">
        <w:rPr>
          <w:rStyle w:val="FootnoteReference"/>
          <w:rFonts w:ascii="Times New Roman" w:hAnsi="Times New Roman"/>
          <w:szCs w:val="24"/>
        </w:rPr>
        <w:footnoteReference w:id="21"/>
      </w:r>
      <w:r w:rsidR="00771648" w:rsidRPr="00771648">
        <w:rPr>
          <w:rFonts w:ascii="Times New Roman" w:hAnsi="Times New Roman"/>
          <w:szCs w:val="24"/>
        </w:rPr>
        <w:t xml:space="preserve"> and this means that the analysis it generates is often circular and foreclosing of discovery.</w:t>
      </w:r>
      <w:r w:rsidR="004765AF">
        <w:rPr>
          <w:rFonts w:ascii="Times New Roman" w:hAnsi="Times New Roman"/>
          <w:szCs w:val="24"/>
        </w:rPr>
        <w:t xml:space="preserve"> </w:t>
      </w:r>
      <w:r w:rsidR="004762DD">
        <w:rPr>
          <w:rFonts w:ascii="Times New Roman" w:hAnsi="Times New Roman"/>
          <w:szCs w:val="24"/>
        </w:rPr>
        <w:t xml:space="preserve">From Sedgwick’s </w:t>
      </w:r>
      <w:r w:rsidR="00771648">
        <w:rPr>
          <w:rFonts w:ascii="Times New Roman" w:hAnsi="Times New Roman"/>
          <w:szCs w:val="24"/>
        </w:rPr>
        <w:t xml:space="preserve">perspective, </w:t>
      </w:r>
      <w:r w:rsidR="002B123D">
        <w:rPr>
          <w:rFonts w:ascii="Times New Roman" w:hAnsi="Times New Roman"/>
          <w:szCs w:val="24"/>
        </w:rPr>
        <w:t xml:space="preserve">paranoid reading therefore tends to be </w:t>
      </w:r>
      <w:r w:rsidR="00771648">
        <w:rPr>
          <w:rFonts w:ascii="Times New Roman" w:hAnsi="Times New Roman"/>
          <w:szCs w:val="24"/>
        </w:rPr>
        <w:t xml:space="preserve">limited in its capacity to </w:t>
      </w:r>
      <w:r w:rsidR="002B123D">
        <w:rPr>
          <w:rFonts w:ascii="Times New Roman" w:hAnsi="Times New Roman"/>
          <w:szCs w:val="24"/>
        </w:rPr>
        <w:t xml:space="preserve">either </w:t>
      </w:r>
      <w:r w:rsidR="00771648">
        <w:rPr>
          <w:rFonts w:ascii="Times New Roman" w:hAnsi="Times New Roman"/>
          <w:szCs w:val="24"/>
        </w:rPr>
        <w:t xml:space="preserve">recognise or </w:t>
      </w:r>
      <w:r w:rsidR="00771648" w:rsidRPr="002B123D">
        <w:rPr>
          <w:rFonts w:ascii="Times New Roman" w:hAnsi="Times New Roman"/>
          <w:i/>
          <w:szCs w:val="24"/>
        </w:rPr>
        <w:t>produce</w:t>
      </w:r>
      <w:r w:rsidR="00771648">
        <w:rPr>
          <w:rFonts w:ascii="Times New Roman" w:hAnsi="Times New Roman"/>
          <w:szCs w:val="24"/>
        </w:rPr>
        <w:t xml:space="preserve"> change, </w:t>
      </w:r>
      <w:r w:rsidR="002B123D">
        <w:rPr>
          <w:rFonts w:ascii="Times New Roman" w:hAnsi="Times New Roman"/>
          <w:szCs w:val="24"/>
        </w:rPr>
        <w:t xml:space="preserve">and remains </w:t>
      </w:r>
      <w:r w:rsidR="00771648">
        <w:rPr>
          <w:rFonts w:ascii="Times New Roman" w:hAnsi="Times New Roman"/>
          <w:szCs w:val="24"/>
        </w:rPr>
        <w:t>particul</w:t>
      </w:r>
      <w:r w:rsidR="00A97ABF">
        <w:rPr>
          <w:rFonts w:ascii="Times New Roman" w:hAnsi="Times New Roman"/>
          <w:szCs w:val="24"/>
        </w:rPr>
        <w:t>arly naïve about the complexities</w:t>
      </w:r>
      <w:r w:rsidR="004762DD">
        <w:rPr>
          <w:rFonts w:ascii="Times New Roman" w:hAnsi="Times New Roman"/>
          <w:szCs w:val="24"/>
        </w:rPr>
        <w:t xml:space="preserve"> of </w:t>
      </w:r>
      <w:r w:rsidR="004762DD">
        <w:rPr>
          <w:rFonts w:ascii="Times New Roman" w:hAnsi="Times New Roman"/>
          <w:szCs w:val="24"/>
        </w:rPr>
        <w:lastRenderedPageBreak/>
        <w:t>social transformation.</w:t>
      </w:r>
      <w:r w:rsidR="004765AF">
        <w:rPr>
          <w:rFonts w:ascii="Times New Roman" w:hAnsi="Times New Roman"/>
          <w:szCs w:val="24"/>
        </w:rPr>
        <w:t xml:space="preserve"> </w:t>
      </w:r>
      <w:r w:rsidR="004762DD">
        <w:rPr>
          <w:rFonts w:ascii="Times New Roman" w:hAnsi="Times New Roman"/>
          <w:szCs w:val="24"/>
        </w:rPr>
        <w:t>G</w:t>
      </w:r>
      <w:r w:rsidR="00B66A2F" w:rsidRPr="005475B6">
        <w:rPr>
          <w:rFonts w:ascii="Times New Roman" w:hAnsi="Times New Roman"/>
          <w:szCs w:val="24"/>
        </w:rPr>
        <w:t xml:space="preserve">enerating more - or more accurate - knowledge about a particular phenomenon does not necessarily </w:t>
      </w:r>
      <w:r w:rsidR="00B66A2F" w:rsidRPr="005475B6">
        <w:rPr>
          <w:rFonts w:ascii="Times New Roman" w:hAnsi="Times New Roman"/>
          <w:i/>
          <w:szCs w:val="24"/>
        </w:rPr>
        <w:t>do</w:t>
      </w:r>
      <w:r w:rsidR="00B66A2F" w:rsidRPr="005475B6">
        <w:rPr>
          <w:rFonts w:ascii="Times New Roman" w:hAnsi="Times New Roman"/>
          <w:szCs w:val="24"/>
        </w:rPr>
        <w:t xml:space="preserve"> anything, or at least does not necessarily do what we think or hope it will.</w:t>
      </w:r>
      <w:r w:rsidR="00B66A2F">
        <w:rPr>
          <w:rFonts w:ascii="Times New Roman" w:hAnsi="Times New Roman"/>
          <w:szCs w:val="24"/>
        </w:rPr>
        <w:t xml:space="preserve"> </w:t>
      </w:r>
    </w:p>
    <w:p w14:paraId="7F88F7DA" w14:textId="5EA937A5" w:rsidR="001F34D8" w:rsidRPr="005475B6" w:rsidRDefault="00A062DE" w:rsidP="00F504EB">
      <w:pPr>
        <w:pStyle w:val="FreeFormA"/>
        <w:ind w:firstLine="720"/>
        <w:rPr>
          <w:rFonts w:ascii="Times New Roman" w:hAnsi="Times New Roman"/>
          <w:szCs w:val="24"/>
        </w:rPr>
      </w:pPr>
      <w:r w:rsidRPr="007D24DE">
        <w:rPr>
          <w:rFonts w:ascii="Times New Roman" w:hAnsi="Times New Roman"/>
          <w:szCs w:val="24"/>
        </w:rPr>
        <w:t>Importantly, in illustrating that ‘paranoia knows some thi</w:t>
      </w:r>
      <w:r w:rsidR="000A4880">
        <w:rPr>
          <w:rFonts w:ascii="Times New Roman" w:hAnsi="Times New Roman"/>
          <w:szCs w:val="24"/>
        </w:rPr>
        <w:t>ngs well and others poorly’</w:t>
      </w:r>
      <w:r w:rsidRPr="007D24DE">
        <w:rPr>
          <w:rFonts w:ascii="Times New Roman" w:hAnsi="Times New Roman"/>
          <w:szCs w:val="24"/>
        </w:rPr>
        <w:t>, Sedgwick’s argument is not that we should (or could) do away with paranoid reading</w:t>
      </w:r>
      <w:r w:rsidR="006E4E2C" w:rsidRPr="007D24DE">
        <w:rPr>
          <w:rFonts w:ascii="Times New Roman" w:hAnsi="Times New Roman"/>
          <w:szCs w:val="24"/>
        </w:rPr>
        <w:t>.</w:t>
      </w:r>
      <w:r w:rsidR="004765AF">
        <w:rPr>
          <w:rFonts w:ascii="Times New Roman" w:hAnsi="Times New Roman"/>
          <w:szCs w:val="24"/>
        </w:rPr>
        <w:t xml:space="preserve"> </w:t>
      </w:r>
      <w:r w:rsidR="006E4E2C" w:rsidRPr="007D24DE">
        <w:rPr>
          <w:rFonts w:ascii="Times New Roman" w:hAnsi="Times New Roman"/>
          <w:szCs w:val="24"/>
        </w:rPr>
        <w:t>Rather,</w:t>
      </w:r>
      <w:r w:rsidRPr="007D24DE">
        <w:rPr>
          <w:rFonts w:ascii="Times New Roman" w:hAnsi="Times New Roman"/>
          <w:szCs w:val="24"/>
        </w:rPr>
        <w:t xml:space="preserve"> she is concerned </w:t>
      </w:r>
      <w:r w:rsidR="00C62D5A">
        <w:rPr>
          <w:rFonts w:ascii="Times New Roman" w:hAnsi="Times New Roman"/>
          <w:szCs w:val="24"/>
        </w:rPr>
        <w:t xml:space="preserve">to </w:t>
      </w:r>
      <w:r w:rsidRPr="007D24DE">
        <w:rPr>
          <w:rFonts w:ascii="Times New Roman" w:hAnsi="Times New Roman"/>
          <w:szCs w:val="24"/>
        </w:rPr>
        <w:t xml:space="preserve">highlight how, </w:t>
      </w:r>
      <w:r w:rsidR="00D230D4">
        <w:rPr>
          <w:rFonts w:ascii="Times New Roman" w:hAnsi="Times New Roman"/>
          <w:szCs w:val="24"/>
        </w:rPr>
        <w:t>when ‘</w:t>
      </w:r>
      <w:r w:rsidRPr="007668FA">
        <w:rPr>
          <w:rFonts w:ascii="Times New Roman" w:hAnsi="Times New Roman"/>
          <w:szCs w:val="24"/>
        </w:rPr>
        <w:t>understood</w:t>
      </w:r>
      <w:r w:rsidR="000A4880">
        <w:rPr>
          <w:rFonts w:ascii="Times New Roman" w:hAnsi="Times New Roman"/>
          <w:szCs w:val="24"/>
        </w:rPr>
        <w:t xml:space="preserve"> to be a mandatory injunction’</w:t>
      </w:r>
      <w:r w:rsidR="00D230D4">
        <w:rPr>
          <w:rFonts w:ascii="Times New Roman" w:hAnsi="Times New Roman"/>
          <w:szCs w:val="24"/>
        </w:rPr>
        <w:t xml:space="preserve">, the hermeneutics of suspicion </w:t>
      </w:r>
      <w:r w:rsidR="009700FF" w:rsidRPr="005475B6">
        <w:rPr>
          <w:rFonts w:ascii="Times New Roman" w:hAnsi="Times New Roman"/>
          <w:szCs w:val="24"/>
          <w:lang w:val="en-GB" w:bidi="x-none"/>
        </w:rPr>
        <w:t xml:space="preserve">systematically </w:t>
      </w:r>
      <w:r w:rsidR="00D230D4">
        <w:rPr>
          <w:rFonts w:ascii="Times New Roman" w:hAnsi="Times New Roman"/>
          <w:szCs w:val="24"/>
          <w:lang w:val="en-GB" w:bidi="x-none"/>
        </w:rPr>
        <w:t>marginalise</w:t>
      </w:r>
      <w:r w:rsidR="007668FA">
        <w:rPr>
          <w:rFonts w:ascii="Times New Roman" w:hAnsi="Times New Roman"/>
          <w:szCs w:val="24"/>
          <w:lang w:val="en-GB" w:bidi="x-none"/>
        </w:rPr>
        <w:t xml:space="preserve"> or </w:t>
      </w:r>
      <w:r w:rsidR="00D230D4">
        <w:rPr>
          <w:rFonts w:ascii="Times New Roman" w:hAnsi="Times New Roman"/>
          <w:szCs w:val="24"/>
          <w:lang w:val="en-GB" w:bidi="x-none"/>
        </w:rPr>
        <w:t>prohibit</w:t>
      </w:r>
      <w:r w:rsidR="009700FF" w:rsidRPr="005475B6">
        <w:rPr>
          <w:rFonts w:ascii="Times New Roman" w:hAnsi="Times New Roman"/>
          <w:szCs w:val="24"/>
          <w:lang w:val="en-GB" w:bidi="x-none"/>
        </w:rPr>
        <w:t xml:space="preserve"> other ways of do</w:t>
      </w:r>
      <w:r w:rsidR="007668FA">
        <w:rPr>
          <w:rFonts w:ascii="Times New Roman" w:hAnsi="Times New Roman"/>
          <w:szCs w:val="24"/>
          <w:lang w:val="en-GB" w:bidi="x-none"/>
        </w:rPr>
        <w:t>i</w:t>
      </w:r>
      <w:r w:rsidR="009700FF" w:rsidRPr="005475B6">
        <w:rPr>
          <w:rFonts w:ascii="Times New Roman" w:hAnsi="Times New Roman"/>
          <w:szCs w:val="24"/>
          <w:lang w:val="en-GB" w:bidi="x-none"/>
        </w:rPr>
        <w:t xml:space="preserve">ng </w:t>
      </w:r>
      <w:r w:rsidR="000B4FBB" w:rsidRPr="005475B6">
        <w:rPr>
          <w:rFonts w:ascii="Times New Roman" w:hAnsi="Times New Roman"/>
          <w:szCs w:val="24"/>
          <w:lang w:val="en-GB" w:bidi="x-none"/>
        </w:rPr>
        <w:t>critical t</w:t>
      </w:r>
      <w:r w:rsidR="007668FA">
        <w:rPr>
          <w:rFonts w:ascii="Times New Roman" w:hAnsi="Times New Roman"/>
          <w:szCs w:val="24"/>
          <w:lang w:val="en-GB" w:bidi="x-none"/>
        </w:rPr>
        <w:t>heory, especially</w:t>
      </w:r>
      <w:r w:rsidR="009700FF" w:rsidRPr="005475B6">
        <w:rPr>
          <w:rFonts w:ascii="Times New Roman" w:hAnsi="Times New Roman"/>
          <w:szCs w:val="24"/>
          <w:lang w:val="en-GB" w:bidi="x-none"/>
        </w:rPr>
        <w:t xml:space="preserve"> ‘explicit</w:t>
      </w:r>
      <w:r w:rsidR="00065026">
        <w:rPr>
          <w:rFonts w:ascii="Times New Roman" w:hAnsi="Times New Roman"/>
          <w:szCs w:val="24"/>
          <w:lang w:val="en-GB" w:bidi="x-none"/>
        </w:rPr>
        <w:t xml:space="preserve"> recourse to reparative motives’</w:t>
      </w:r>
      <w:r w:rsidR="009700FF" w:rsidRPr="005475B6">
        <w:rPr>
          <w:rFonts w:ascii="Times New Roman" w:hAnsi="Times New Roman"/>
          <w:szCs w:val="24"/>
          <w:lang w:val="en-GB" w:bidi="x-none"/>
        </w:rPr>
        <w:t>.</w:t>
      </w:r>
      <w:r w:rsidR="00DA4583">
        <w:rPr>
          <w:rStyle w:val="FootnoteReference"/>
          <w:rFonts w:ascii="Times New Roman" w:hAnsi="Times New Roman"/>
          <w:szCs w:val="24"/>
        </w:rPr>
        <w:footnoteReference w:id="22"/>
      </w:r>
      <w:r w:rsidR="004762DD">
        <w:rPr>
          <w:rFonts w:ascii="Times New Roman" w:hAnsi="Times New Roman"/>
          <w:szCs w:val="24"/>
        </w:rPr>
        <w:t xml:space="preserve"> </w:t>
      </w:r>
      <w:r w:rsidR="00B10645" w:rsidRPr="005475B6">
        <w:rPr>
          <w:rFonts w:ascii="Times New Roman" w:hAnsi="Times New Roman"/>
          <w:szCs w:val="24"/>
        </w:rPr>
        <w:t>I</w:t>
      </w:r>
      <w:r w:rsidR="009B0040" w:rsidRPr="005475B6">
        <w:rPr>
          <w:rFonts w:ascii="Times New Roman" w:hAnsi="Times New Roman"/>
          <w:szCs w:val="24"/>
        </w:rPr>
        <w:t>n Kleinian theor</w:t>
      </w:r>
      <w:r w:rsidR="0026333B" w:rsidRPr="005475B6">
        <w:rPr>
          <w:rFonts w:ascii="Times New Roman" w:hAnsi="Times New Roman"/>
          <w:szCs w:val="24"/>
        </w:rPr>
        <w:t xml:space="preserve">y, reparation </w:t>
      </w:r>
      <w:r w:rsidR="002B123D">
        <w:rPr>
          <w:rFonts w:ascii="Times New Roman" w:hAnsi="Times New Roman"/>
          <w:szCs w:val="24"/>
        </w:rPr>
        <w:t>is the (ongoing) process by</w:t>
      </w:r>
      <w:r w:rsidR="0026333B" w:rsidRPr="005475B6">
        <w:rPr>
          <w:rFonts w:ascii="Times New Roman" w:hAnsi="Times New Roman"/>
          <w:szCs w:val="24"/>
        </w:rPr>
        <w:t xml:space="preserve"> which the subject works through the conflict of the paranoid/schizoid position to inhabit (if only precariously) the depressive position.</w:t>
      </w:r>
      <w:r w:rsidR="004765AF">
        <w:rPr>
          <w:rFonts w:ascii="Times New Roman" w:hAnsi="Times New Roman"/>
          <w:szCs w:val="24"/>
        </w:rPr>
        <w:t xml:space="preserve"> </w:t>
      </w:r>
      <w:r w:rsidR="001F34D8" w:rsidRPr="005475B6">
        <w:rPr>
          <w:rFonts w:ascii="Times New Roman" w:hAnsi="Times New Roman"/>
          <w:szCs w:val="24"/>
        </w:rPr>
        <w:t xml:space="preserve">As Stacey explains, </w:t>
      </w:r>
    </w:p>
    <w:p w14:paraId="49C6C226" w14:textId="77777777" w:rsidR="001F34D8" w:rsidRPr="005475B6" w:rsidRDefault="001F34D8" w:rsidP="00F504EB">
      <w:pPr>
        <w:pStyle w:val="FreeFormA"/>
        <w:rPr>
          <w:rFonts w:ascii="Times New Roman" w:hAnsi="Times New Roman"/>
          <w:szCs w:val="24"/>
        </w:rPr>
      </w:pPr>
    </w:p>
    <w:p w14:paraId="429F1A08" w14:textId="2B514B6B" w:rsidR="009B0040" w:rsidRPr="005475B6" w:rsidRDefault="001F34D8" w:rsidP="00F504EB">
      <w:pPr>
        <w:pStyle w:val="FreeFormA"/>
        <w:ind w:left="720"/>
        <w:rPr>
          <w:rFonts w:ascii="Times New Roman" w:hAnsi="Times New Roman"/>
          <w:szCs w:val="24"/>
        </w:rPr>
      </w:pPr>
      <w:r w:rsidRPr="005475B6">
        <w:rPr>
          <w:rFonts w:ascii="Times New Roman" w:hAnsi="Times New Roman"/>
          <w:szCs w:val="24"/>
        </w:rPr>
        <w:t>[T]he infant, Klein argues, really believes that its hateful thoughts and destructive impulses (triggered by the absence of the breast/food when it is desired) directed towards the mother/her breast have actually damaged or even destroyed he/it; and yet the infant simultaneously believes (through its phantasies of omnipotence) that is has the power to repair and protect this love object that it imagines it has</w:t>
      </w:r>
      <w:r w:rsidR="000A4880">
        <w:rPr>
          <w:rFonts w:ascii="Times New Roman" w:hAnsi="Times New Roman"/>
          <w:szCs w:val="24"/>
        </w:rPr>
        <w:t xml:space="preserve"> harmed</w:t>
      </w:r>
      <w:r w:rsidRPr="001A0AAF">
        <w:rPr>
          <w:rFonts w:ascii="Times New Roman" w:hAnsi="Times New Roman"/>
          <w:szCs w:val="24"/>
        </w:rPr>
        <w:t>.</w:t>
      </w:r>
      <w:r w:rsidR="000A4880">
        <w:rPr>
          <w:rStyle w:val="FootnoteReference"/>
          <w:rFonts w:ascii="Times New Roman" w:hAnsi="Times New Roman"/>
          <w:szCs w:val="24"/>
        </w:rPr>
        <w:footnoteReference w:id="23"/>
      </w:r>
      <w:r w:rsidR="000B4FBB" w:rsidRPr="005475B6">
        <w:rPr>
          <w:rFonts w:ascii="Times New Roman" w:hAnsi="Times New Roman"/>
          <w:szCs w:val="24"/>
        </w:rPr>
        <w:t xml:space="preserve"> </w:t>
      </w:r>
    </w:p>
    <w:p w14:paraId="3145D5B8" w14:textId="77777777" w:rsidR="009B0040" w:rsidRPr="005475B6" w:rsidRDefault="009B0040" w:rsidP="00F504EB">
      <w:pPr>
        <w:pStyle w:val="FreeFormA"/>
        <w:rPr>
          <w:rFonts w:ascii="Times New Roman" w:hAnsi="Times New Roman"/>
          <w:szCs w:val="24"/>
        </w:rPr>
      </w:pPr>
    </w:p>
    <w:p w14:paraId="6186493B" w14:textId="261D0FFB" w:rsidR="000F293E" w:rsidRPr="005475B6" w:rsidRDefault="000F293E" w:rsidP="00F504EB">
      <w:pPr>
        <w:pStyle w:val="FreeFormA"/>
        <w:rPr>
          <w:rFonts w:ascii="Times New Roman" w:hAnsi="Times New Roman"/>
          <w:szCs w:val="24"/>
        </w:rPr>
      </w:pPr>
      <w:r w:rsidRPr="005475B6">
        <w:rPr>
          <w:rFonts w:ascii="Times New Roman" w:hAnsi="Times New Roman"/>
          <w:szCs w:val="24"/>
        </w:rPr>
        <w:t>In moving into the reparative position</w:t>
      </w:r>
      <w:r w:rsidR="00B97FF4" w:rsidRPr="005475B6">
        <w:rPr>
          <w:rFonts w:ascii="Times New Roman" w:hAnsi="Times New Roman"/>
          <w:szCs w:val="24"/>
        </w:rPr>
        <w:t xml:space="preserve"> then</w:t>
      </w:r>
      <w:r w:rsidRPr="005475B6">
        <w:rPr>
          <w:rFonts w:ascii="Times New Roman" w:hAnsi="Times New Roman"/>
          <w:szCs w:val="24"/>
        </w:rPr>
        <w:t>,</w:t>
      </w:r>
      <w:r w:rsidR="00DB1A55" w:rsidRPr="005475B6">
        <w:rPr>
          <w:rFonts w:ascii="Times New Roman" w:hAnsi="Times New Roman"/>
          <w:szCs w:val="24"/>
        </w:rPr>
        <w:t xml:space="preserve"> </w:t>
      </w:r>
      <w:r w:rsidR="00832A39" w:rsidRPr="005475B6">
        <w:rPr>
          <w:rFonts w:ascii="Times New Roman" w:hAnsi="Times New Roman"/>
          <w:szCs w:val="24"/>
        </w:rPr>
        <w:t>‘the baby who has hitherto been destructive or attached to “part-objects”, such as the mother’s breast, is now abl</w:t>
      </w:r>
      <w:r w:rsidR="000A4880">
        <w:rPr>
          <w:rFonts w:ascii="Times New Roman" w:hAnsi="Times New Roman"/>
          <w:szCs w:val="24"/>
        </w:rPr>
        <w:t>e to take in the whole mother’</w:t>
      </w:r>
      <w:r w:rsidR="00832A39" w:rsidRPr="001A0AAF">
        <w:rPr>
          <w:rFonts w:ascii="Times New Roman" w:hAnsi="Times New Roman"/>
          <w:szCs w:val="24"/>
        </w:rPr>
        <w:t>.</w:t>
      </w:r>
      <w:r w:rsidR="000A4880">
        <w:rPr>
          <w:rStyle w:val="FootnoteReference"/>
          <w:rFonts w:ascii="Times New Roman" w:hAnsi="Times New Roman"/>
          <w:szCs w:val="24"/>
        </w:rPr>
        <w:footnoteReference w:id="24"/>
      </w:r>
      <w:r w:rsidR="004765AF">
        <w:rPr>
          <w:rFonts w:ascii="Times New Roman" w:hAnsi="Times New Roman"/>
          <w:szCs w:val="24"/>
        </w:rPr>
        <w:t xml:space="preserve"> </w:t>
      </w:r>
      <w:r w:rsidR="005C0045" w:rsidRPr="001A0AAF">
        <w:rPr>
          <w:rFonts w:ascii="Times New Roman" w:hAnsi="Times New Roman"/>
          <w:szCs w:val="24"/>
        </w:rPr>
        <w:t>For</w:t>
      </w:r>
      <w:r w:rsidR="005C0045" w:rsidRPr="005475B6">
        <w:rPr>
          <w:rFonts w:ascii="Times New Roman" w:hAnsi="Times New Roman"/>
          <w:szCs w:val="24"/>
        </w:rPr>
        <w:t xml:space="preserve"> Klein, this </w:t>
      </w:r>
      <w:r w:rsidR="007F0774" w:rsidRPr="005475B6">
        <w:rPr>
          <w:rFonts w:ascii="Times New Roman" w:hAnsi="Times New Roman"/>
          <w:szCs w:val="24"/>
        </w:rPr>
        <w:t>to-and-fro process between phantasised</w:t>
      </w:r>
      <w:r w:rsidR="005C0045" w:rsidRPr="005475B6">
        <w:rPr>
          <w:rFonts w:ascii="Times New Roman" w:hAnsi="Times New Roman"/>
          <w:szCs w:val="24"/>
        </w:rPr>
        <w:t xml:space="preserve"> destruction and reparation is </w:t>
      </w:r>
      <w:r w:rsidR="00A97ABF">
        <w:rPr>
          <w:rFonts w:ascii="Times New Roman" w:hAnsi="Times New Roman"/>
          <w:szCs w:val="24"/>
        </w:rPr>
        <w:t>fundamental to</w:t>
      </w:r>
      <w:r w:rsidR="00BD2870">
        <w:rPr>
          <w:rFonts w:ascii="Times New Roman" w:hAnsi="Times New Roman"/>
          <w:szCs w:val="24"/>
        </w:rPr>
        <w:t xml:space="preserve"> the cultivation of </w:t>
      </w:r>
      <w:r w:rsidR="00EE44D6">
        <w:rPr>
          <w:rFonts w:ascii="Times New Roman" w:hAnsi="Times New Roman"/>
          <w:szCs w:val="24"/>
        </w:rPr>
        <w:t>both ‘</w:t>
      </w:r>
      <w:r w:rsidR="00BD2870">
        <w:rPr>
          <w:rFonts w:ascii="Times New Roman" w:hAnsi="Times New Roman"/>
          <w:szCs w:val="24"/>
        </w:rPr>
        <w:t>love</w:t>
      </w:r>
      <w:r w:rsidR="00A97ABF">
        <w:rPr>
          <w:rFonts w:ascii="Times New Roman" w:hAnsi="Times New Roman"/>
          <w:szCs w:val="24"/>
        </w:rPr>
        <w:t>’</w:t>
      </w:r>
      <w:r w:rsidR="00BD2870">
        <w:rPr>
          <w:rFonts w:ascii="Times New Roman" w:hAnsi="Times New Roman"/>
          <w:szCs w:val="24"/>
        </w:rPr>
        <w:t xml:space="preserve"> and </w:t>
      </w:r>
      <w:r w:rsidR="00A97ABF">
        <w:rPr>
          <w:rFonts w:ascii="Times New Roman" w:hAnsi="Times New Roman"/>
          <w:szCs w:val="24"/>
        </w:rPr>
        <w:t>‘</w:t>
      </w:r>
      <w:r w:rsidR="005C0045" w:rsidRPr="005475B6">
        <w:rPr>
          <w:rFonts w:ascii="Times New Roman" w:hAnsi="Times New Roman"/>
          <w:szCs w:val="24"/>
        </w:rPr>
        <w:t>responsibility</w:t>
      </w:r>
      <w:r w:rsidR="00A97ABF">
        <w:rPr>
          <w:rFonts w:ascii="Times New Roman" w:hAnsi="Times New Roman"/>
          <w:szCs w:val="24"/>
        </w:rPr>
        <w:t>’</w:t>
      </w:r>
      <w:r w:rsidR="005C0045" w:rsidRPr="005475B6">
        <w:rPr>
          <w:rFonts w:ascii="Times New Roman" w:hAnsi="Times New Roman"/>
          <w:szCs w:val="24"/>
        </w:rPr>
        <w:t>.</w:t>
      </w:r>
      <w:r w:rsidR="004765AF">
        <w:rPr>
          <w:rFonts w:ascii="Times New Roman" w:hAnsi="Times New Roman"/>
          <w:szCs w:val="24"/>
        </w:rPr>
        <w:t xml:space="preserve"> </w:t>
      </w:r>
      <w:r w:rsidR="007A35C7">
        <w:rPr>
          <w:rFonts w:ascii="Times New Roman" w:hAnsi="Times New Roman"/>
          <w:szCs w:val="24"/>
        </w:rPr>
        <w:t xml:space="preserve"> </w:t>
      </w:r>
      <w:r w:rsidR="000B4FBB" w:rsidRPr="005475B6">
        <w:rPr>
          <w:rFonts w:ascii="Times New Roman" w:hAnsi="Times New Roman"/>
          <w:szCs w:val="24"/>
        </w:rPr>
        <w:t>Translating Klein’s psychoanalytic framework into the language of cultural theory, Sedgwick describes reparative reading as ‘undertaking a different range of affects, ambitions a</w:t>
      </w:r>
      <w:r w:rsidR="000A4880">
        <w:rPr>
          <w:rFonts w:ascii="Times New Roman" w:hAnsi="Times New Roman"/>
          <w:szCs w:val="24"/>
        </w:rPr>
        <w:t>nd risks’ than paranoid reading</w:t>
      </w:r>
      <w:r w:rsidR="00A72ADC" w:rsidRPr="005475B6">
        <w:rPr>
          <w:rFonts w:ascii="Times New Roman" w:hAnsi="Times New Roman"/>
          <w:szCs w:val="24"/>
        </w:rPr>
        <w:t xml:space="preserve"> </w:t>
      </w:r>
      <w:r w:rsidR="00566F02" w:rsidRPr="005475B6">
        <w:rPr>
          <w:rFonts w:ascii="Times New Roman" w:hAnsi="Times New Roman"/>
          <w:szCs w:val="24"/>
        </w:rPr>
        <w:t>in a desire ‘to assemble and confer plentitude on an object that will then have resources to offe</w:t>
      </w:r>
      <w:r w:rsidR="000A4880">
        <w:rPr>
          <w:rFonts w:ascii="Times New Roman" w:hAnsi="Times New Roman"/>
          <w:szCs w:val="24"/>
        </w:rPr>
        <w:t>r an inchoate self’</w:t>
      </w:r>
      <w:r w:rsidR="00566F02" w:rsidRPr="005475B6">
        <w:rPr>
          <w:rFonts w:ascii="Times New Roman" w:hAnsi="Times New Roman"/>
          <w:szCs w:val="24"/>
        </w:rPr>
        <w:t>.</w:t>
      </w:r>
      <w:r w:rsidR="00E549BF">
        <w:rPr>
          <w:rFonts w:ascii="Times New Roman" w:hAnsi="Times New Roman"/>
          <w:szCs w:val="24"/>
        </w:rPr>
        <w:t xml:space="preserve"> </w:t>
      </w:r>
      <w:r w:rsidR="00E549BF" w:rsidRPr="00E549BF">
        <w:rPr>
          <w:rFonts w:ascii="Times New Roman" w:hAnsi="Times New Roman"/>
          <w:szCs w:val="24"/>
        </w:rPr>
        <w:t xml:space="preserve">That is, rather than approaching </w:t>
      </w:r>
      <w:r w:rsidR="006123BB">
        <w:rPr>
          <w:rFonts w:ascii="Times New Roman" w:hAnsi="Times New Roman"/>
          <w:szCs w:val="24"/>
        </w:rPr>
        <w:t>cultural analysis</w:t>
      </w:r>
      <w:r w:rsidR="00E549BF" w:rsidRPr="00E549BF">
        <w:rPr>
          <w:rFonts w:ascii="Times New Roman" w:hAnsi="Times New Roman"/>
          <w:szCs w:val="24"/>
        </w:rPr>
        <w:t xml:space="preserve"> with suspicion, anxiety, and a desire to expose,</w:t>
      </w:r>
      <w:r w:rsidR="00E549BF">
        <w:rPr>
          <w:rFonts w:ascii="Times New Roman" w:hAnsi="Times New Roman"/>
          <w:szCs w:val="24"/>
        </w:rPr>
        <w:t xml:space="preserve"> reparation reaches out with </w:t>
      </w:r>
      <w:r w:rsidR="00E549BF" w:rsidRPr="00E549BF">
        <w:rPr>
          <w:rFonts w:ascii="Times New Roman" w:hAnsi="Times New Roman"/>
          <w:szCs w:val="24"/>
        </w:rPr>
        <w:t>nurturance, hope and a desire to provide sustenance.</w:t>
      </w:r>
      <w:r w:rsidR="004765AF">
        <w:rPr>
          <w:rFonts w:ascii="Times New Roman" w:hAnsi="Times New Roman"/>
          <w:szCs w:val="24"/>
        </w:rPr>
        <w:t xml:space="preserve"> </w:t>
      </w:r>
      <w:r w:rsidR="006123BB">
        <w:rPr>
          <w:rFonts w:ascii="Times New Roman" w:hAnsi="Times New Roman"/>
          <w:szCs w:val="24"/>
        </w:rPr>
        <w:t>At the same time</w:t>
      </w:r>
      <w:r w:rsidR="006123BB" w:rsidRPr="005475B6">
        <w:rPr>
          <w:rFonts w:ascii="Times New Roman" w:hAnsi="Times New Roman"/>
          <w:szCs w:val="24"/>
        </w:rPr>
        <w:t>,</w:t>
      </w:r>
      <w:r w:rsidR="006123BB">
        <w:rPr>
          <w:rFonts w:ascii="Times New Roman" w:hAnsi="Times New Roman"/>
          <w:szCs w:val="24"/>
        </w:rPr>
        <w:t xml:space="preserve"> however, the reparative position does not presume that it already knows what it will find -</w:t>
      </w:r>
      <w:r w:rsidR="006123BB" w:rsidRPr="005475B6">
        <w:rPr>
          <w:rFonts w:ascii="Times New Roman" w:hAnsi="Times New Roman"/>
          <w:szCs w:val="24"/>
        </w:rPr>
        <w:t xml:space="preserve"> surrendering paranoia’s primary goal of prediction, </w:t>
      </w:r>
      <w:r w:rsidR="006123BB">
        <w:rPr>
          <w:rFonts w:ascii="Times New Roman" w:hAnsi="Times New Roman"/>
          <w:szCs w:val="24"/>
        </w:rPr>
        <w:t xml:space="preserve">it </w:t>
      </w:r>
      <w:r w:rsidR="006123BB" w:rsidRPr="005475B6">
        <w:rPr>
          <w:rFonts w:ascii="Times New Roman" w:hAnsi="Times New Roman"/>
          <w:szCs w:val="24"/>
        </w:rPr>
        <w:t xml:space="preserve">opens the reader </w:t>
      </w:r>
      <w:r w:rsidR="00C62D5A">
        <w:rPr>
          <w:rFonts w:ascii="Times New Roman" w:hAnsi="Times New Roman"/>
          <w:szCs w:val="24"/>
        </w:rPr>
        <w:t xml:space="preserve">to </w:t>
      </w:r>
      <w:r w:rsidR="006123BB" w:rsidRPr="005475B6">
        <w:rPr>
          <w:rFonts w:ascii="Times New Roman" w:hAnsi="Times New Roman"/>
          <w:szCs w:val="24"/>
        </w:rPr>
        <w:t xml:space="preserve">the possibility of being surprised: </w:t>
      </w:r>
      <w:r w:rsidR="001E46ED">
        <w:rPr>
          <w:rFonts w:ascii="Times New Roman" w:hAnsi="Times New Roman"/>
          <w:szCs w:val="24"/>
        </w:rPr>
        <w:t>f</w:t>
      </w:r>
      <w:r w:rsidR="006123BB" w:rsidRPr="005475B6">
        <w:rPr>
          <w:rFonts w:ascii="Times New Roman" w:hAnsi="Times New Roman"/>
          <w:szCs w:val="24"/>
        </w:rPr>
        <w:t xml:space="preserve">or, while there can be ‘terrible surprises’, there </w:t>
      </w:r>
      <w:r w:rsidR="000A4880">
        <w:rPr>
          <w:rFonts w:ascii="Times New Roman" w:hAnsi="Times New Roman"/>
          <w:szCs w:val="24"/>
        </w:rPr>
        <w:t>‘can also be good ones’</w:t>
      </w:r>
      <w:r w:rsidR="005268BC">
        <w:rPr>
          <w:rFonts w:ascii="Times New Roman" w:hAnsi="Times New Roman"/>
          <w:szCs w:val="24"/>
        </w:rPr>
        <w:t>.</w:t>
      </w:r>
      <w:r w:rsidR="00DA4583">
        <w:rPr>
          <w:rStyle w:val="FootnoteReference"/>
          <w:rFonts w:ascii="Times New Roman" w:hAnsi="Times New Roman"/>
          <w:szCs w:val="24"/>
        </w:rPr>
        <w:footnoteReference w:id="25"/>
      </w:r>
      <w:r w:rsidR="004765AF">
        <w:rPr>
          <w:rFonts w:ascii="Times New Roman" w:hAnsi="Times New Roman"/>
          <w:szCs w:val="24"/>
        </w:rPr>
        <w:t xml:space="preserve"> </w:t>
      </w:r>
    </w:p>
    <w:p w14:paraId="14395F4F" w14:textId="106800CC" w:rsidR="005268BC" w:rsidRPr="005268BC" w:rsidRDefault="00AB393C" w:rsidP="00F504EB">
      <w:pPr>
        <w:pStyle w:val="FreeFormA"/>
        <w:ind w:firstLine="720"/>
        <w:rPr>
          <w:rFonts w:ascii="Times New Roman" w:hAnsi="Times New Roman"/>
          <w:szCs w:val="24"/>
          <w:highlight w:val="yellow"/>
        </w:rPr>
      </w:pPr>
      <w:r w:rsidRPr="005475B6">
        <w:rPr>
          <w:rFonts w:ascii="Times New Roman" w:hAnsi="Times New Roman"/>
          <w:szCs w:val="24"/>
        </w:rPr>
        <w:t xml:space="preserve">While scholars have interpreted Sedgwick’s call </w:t>
      </w:r>
      <w:r w:rsidR="007D24DE">
        <w:rPr>
          <w:rFonts w:ascii="Times New Roman" w:hAnsi="Times New Roman"/>
          <w:szCs w:val="24"/>
        </w:rPr>
        <w:t xml:space="preserve">for </w:t>
      </w:r>
      <w:r w:rsidRPr="005475B6">
        <w:rPr>
          <w:rFonts w:ascii="Times New Roman" w:hAnsi="Times New Roman"/>
          <w:szCs w:val="24"/>
        </w:rPr>
        <w:t>reparative reading practices in a variety of different ways, what has been called ‘the reparative turn’ in cultural studies m</w:t>
      </w:r>
      <w:r w:rsidR="006123BB">
        <w:rPr>
          <w:rFonts w:ascii="Times New Roman" w:hAnsi="Times New Roman"/>
          <w:szCs w:val="24"/>
        </w:rPr>
        <w:t>ight be broadly characterised as privileging</w:t>
      </w:r>
      <w:r w:rsidRPr="005475B6">
        <w:rPr>
          <w:rFonts w:ascii="Times New Roman" w:hAnsi="Times New Roman"/>
          <w:szCs w:val="24"/>
        </w:rPr>
        <w:t xml:space="preserve"> ‘a critical practice that seeks to </w:t>
      </w:r>
      <w:r w:rsidRPr="005475B6">
        <w:rPr>
          <w:rFonts w:ascii="Times New Roman" w:hAnsi="Times New Roman"/>
          <w:i/>
          <w:szCs w:val="24"/>
        </w:rPr>
        <w:t>love and nurture</w:t>
      </w:r>
      <w:r w:rsidR="000A4880">
        <w:rPr>
          <w:rFonts w:ascii="Times New Roman" w:hAnsi="Times New Roman"/>
          <w:szCs w:val="24"/>
        </w:rPr>
        <w:t xml:space="preserve"> its objects of study’</w:t>
      </w:r>
      <w:r w:rsidRPr="001A0AAF">
        <w:rPr>
          <w:rFonts w:ascii="Times New Roman" w:hAnsi="Times New Roman"/>
          <w:szCs w:val="24"/>
        </w:rPr>
        <w:t>.</w:t>
      </w:r>
      <w:r w:rsidR="000A4880">
        <w:rPr>
          <w:rStyle w:val="FootnoteReference"/>
          <w:rFonts w:ascii="Times New Roman" w:hAnsi="Times New Roman"/>
          <w:szCs w:val="24"/>
        </w:rPr>
        <w:footnoteReference w:id="26"/>
      </w:r>
      <w:r w:rsidR="004765AF">
        <w:rPr>
          <w:rFonts w:ascii="Times New Roman" w:hAnsi="Times New Roman"/>
          <w:szCs w:val="24"/>
        </w:rPr>
        <w:t xml:space="preserve"> </w:t>
      </w:r>
      <w:r w:rsidRPr="001A0AAF">
        <w:rPr>
          <w:rFonts w:ascii="Times New Roman" w:hAnsi="Times New Roman"/>
          <w:szCs w:val="24"/>
        </w:rPr>
        <w:t xml:space="preserve">As </w:t>
      </w:r>
      <w:r w:rsidR="00BF0BC3">
        <w:rPr>
          <w:rFonts w:ascii="Times New Roman" w:hAnsi="Times New Roman"/>
          <w:szCs w:val="24"/>
        </w:rPr>
        <w:t xml:space="preserve">Robyn </w:t>
      </w:r>
      <w:r w:rsidRPr="001A0AAF">
        <w:rPr>
          <w:rFonts w:ascii="Times New Roman" w:hAnsi="Times New Roman"/>
          <w:szCs w:val="24"/>
        </w:rPr>
        <w:t xml:space="preserve">Wiegman notes, </w:t>
      </w:r>
      <w:r w:rsidR="004C3E61" w:rsidRPr="001A0AAF">
        <w:rPr>
          <w:rFonts w:ascii="Times New Roman" w:hAnsi="Times New Roman"/>
          <w:szCs w:val="24"/>
        </w:rPr>
        <w:t>citing the work of Ann Cvetkovich</w:t>
      </w:r>
      <w:r w:rsidR="000A4880">
        <w:rPr>
          <w:rFonts w:ascii="Times New Roman" w:hAnsi="Times New Roman"/>
          <w:szCs w:val="24"/>
        </w:rPr>
        <w:t>, Heather Love, and Elizabeth Freeman,</w:t>
      </w:r>
      <w:r w:rsidR="004C3E61" w:rsidRPr="001A0AAF">
        <w:rPr>
          <w:rFonts w:ascii="Times New Roman" w:hAnsi="Times New Roman"/>
          <w:szCs w:val="24"/>
        </w:rPr>
        <w:t xml:space="preserve"> as key examples, </w:t>
      </w:r>
      <w:r w:rsidRPr="001A0AAF">
        <w:rPr>
          <w:rFonts w:ascii="Times New Roman" w:hAnsi="Times New Roman"/>
          <w:szCs w:val="24"/>
        </w:rPr>
        <w:t>‘[i]n the name of “reparative reading”, “weak theory”, or compassionate redescription’</w:t>
      </w:r>
      <w:r w:rsidR="005F6434" w:rsidRPr="001A0AAF">
        <w:rPr>
          <w:rFonts w:ascii="Times New Roman" w:hAnsi="Times New Roman"/>
          <w:szCs w:val="24"/>
        </w:rPr>
        <w:t>,</w:t>
      </w:r>
      <w:r w:rsidRPr="001A0AAF">
        <w:rPr>
          <w:rFonts w:ascii="Times New Roman" w:hAnsi="Times New Roman"/>
          <w:szCs w:val="24"/>
        </w:rPr>
        <w:t xml:space="preserve"> scholars inspired by Sedgwick’s </w:t>
      </w:r>
      <w:r w:rsidR="005F6434" w:rsidRPr="001A0AAF">
        <w:rPr>
          <w:rFonts w:ascii="Times New Roman" w:hAnsi="Times New Roman"/>
          <w:szCs w:val="24"/>
        </w:rPr>
        <w:t xml:space="preserve">ontological </w:t>
      </w:r>
      <w:r w:rsidRPr="001A0AAF">
        <w:rPr>
          <w:rFonts w:ascii="Times New Roman" w:hAnsi="Times New Roman"/>
          <w:szCs w:val="24"/>
        </w:rPr>
        <w:t xml:space="preserve">incitement </w:t>
      </w:r>
      <w:r w:rsidR="007D1723" w:rsidRPr="001A0AAF">
        <w:rPr>
          <w:rFonts w:ascii="Times New Roman" w:hAnsi="Times New Roman"/>
          <w:szCs w:val="24"/>
        </w:rPr>
        <w:t>seek to displace ‘</w:t>
      </w:r>
      <w:r w:rsidRPr="001A0AAF">
        <w:rPr>
          <w:rFonts w:ascii="Times New Roman" w:hAnsi="Times New Roman"/>
          <w:szCs w:val="24"/>
        </w:rPr>
        <w:t>critical attachments once forged by correction, rejection, and anger with those crafted by affection, gr</w:t>
      </w:r>
      <w:r w:rsidR="000A4880">
        <w:rPr>
          <w:rFonts w:ascii="Times New Roman" w:hAnsi="Times New Roman"/>
          <w:szCs w:val="24"/>
        </w:rPr>
        <w:t>atitude, solidarity, and love’</w:t>
      </w:r>
      <w:r w:rsidRPr="001A0AAF">
        <w:rPr>
          <w:rFonts w:ascii="Times New Roman" w:hAnsi="Times New Roman"/>
          <w:szCs w:val="24"/>
        </w:rPr>
        <w:t>.</w:t>
      </w:r>
      <w:r w:rsidR="004765AF">
        <w:rPr>
          <w:rFonts w:ascii="Times New Roman" w:hAnsi="Times New Roman"/>
          <w:szCs w:val="24"/>
        </w:rPr>
        <w:t xml:space="preserve"> </w:t>
      </w:r>
      <w:r w:rsidR="00EE44D6" w:rsidRPr="001A0AAF">
        <w:rPr>
          <w:rFonts w:ascii="Times New Roman" w:hAnsi="Times New Roman"/>
          <w:szCs w:val="24"/>
        </w:rPr>
        <w:t xml:space="preserve">Indeed, in Wiegman’s account, </w:t>
      </w:r>
      <w:r w:rsidR="00EE44D6" w:rsidRPr="001A0AAF">
        <w:rPr>
          <w:rFonts w:ascii="Times New Roman" w:hAnsi="Times New Roman"/>
          <w:i/>
          <w:szCs w:val="24"/>
        </w:rPr>
        <w:t>love</w:t>
      </w:r>
      <w:r w:rsidR="005F6434" w:rsidRPr="001A0AAF">
        <w:rPr>
          <w:rFonts w:ascii="Times New Roman" w:hAnsi="Times New Roman"/>
          <w:szCs w:val="24"/>
        </w:rPr>
        <w:t xml:space="preserve"> is key to reparation as understood by both Sedgwick and</w:t>
      </w:r>
      <w:r w:rsidR="004C3E61" w:rsidRPr="001A0AAF">
        <w:rPr>
          <w:rFonts w:ascii="Times New Roman" w:hAnsi="Times New Roman"/>
          <w:szCs w:val="24"/>
        </w:rPr>
        <w:t xml:space="preserve"> those inspired by her</w:t>
      </w:r>
      <w:r w:rsidR="005F6434" w:rsidRPr="001A0AAF">
        <w:rPr>
          <w:rFonts w:ascii="Times New Roman" w:hAnsi="Times New Roman"/>
          <w:szCs w:val="24"/>
        </w:rPr>
        <w:t>: ‘You could say that it is about loving what hurts but instead of using that knowledge to prepare for a vigilant stand against repetition, it responds to the fut</w:t>
      </w:r>
      <w:r w:rsidR="000A4880">
        <w:rPr>
          <w:rFonts w:ascii="Times New Roman" w:hAnsi="Times New Roman"/>
          <w:szCs w:val="24"/>
        </w:rPr>
        <w:t xml:space="preserve">ure </w:t>
      </w:r>
      <w:r w:rsidR="000A4880">
        <w:rPr>
          <w:rFonts w:ascii="Times New Roman" w:hAnsi="Times New Roman"/>
          <w:szCs w:val="24"/>
        </w:rPr>
        <w:lastRenderedPageBreak/>
        <w:t>with affirmative richness’</w:t>
      </w:r>
      <w:r w:rsidR="005F6434" w:rsidRPr="001A0AAF">
        <w:rPr>
          <w:rFonts w:ascii="Times New Roman" w:hAnsi="Times New Roman"/>
          <w:szCs w:val="24"/>
        </w:rPr>
        <w:t>.</w:t>
      </w:r>
      <w:r w:rsidR="000A4880">
        <w:rPr>
          <w:rStyle w:val="FootnoteReference"/>
          <w:rFonts w:ascii="Times New Roman" w:hAnsi="Times New Roman"/>
          <w:szCs w:val="24"/>
        </w:rPr>
        <w:footnoteReference w:id="27"/>
      </w:r>
      <w:r w:rsidR="004765AF">
        <w:rPr>
          <w:rFonts w:ascii="Times New Roman" w:hAnsi="Times New Roman"/>
          <w:szCs w:val="24"/>
        </w:rPr>
        <w:t xml:space="preserve"> </w:t>
      </w:r>
      <w:r w:rsidR="00D230D4">
        <w:rPr>
          <w:rFonts w:ascii="Times New Roman" w:hAnsi="Times New Roman"/>
          <w:szCs w:val="24"/>
        </w:rPr>
        <w:t>Thus, a</w:t>
      </w:r>
      <w:r w:rsidR="005D5932">
        <w:rPr>
          <w:rFonts w:ascii="Times New Roman" w:hAnsi="Times New Roman"/>
          <w:szCs w:val="24"/>
        </w:rPr>
        <w:t>cross these literatures,</w:t>
      </w:r>
      <w:r w:rsidR="00513725" w:rsidRPr="00EE44D6">
        <w:rPr>
          <w:rFonts w:ascii="Times New Roman" w:hAnsi="Times New Roman"/>
          <w:szCs w:val="24"/>
        </w:rPr>
        <w:t xml:space="preserve"> ‘affec</w:t>
      </w:r>
      <w:r w:rsidR="00EE44D6" w:rsidRPr="00EE44D6">
        <w:rPr>
          <w:rFonts w:ascii="Times New Roman" w:hAnsi="Times New Roman"/>
          <w:szCs w:val="24"/>
        </w:rPr>
        <w:t>t’ is not taken up</w:t>
      </w:r>
      <w:r w:rsidR="00513725" w:rsidRPr="00EE44D6">
        <w:rPr>
          <w:rFonts w:ascii="Times New Roman" w:hAnsi="Times New Roman"/>
          <w:szCs w:val="24"/>
        </w:rPr>
        <w:t xml:space="preserve"> </w:t>
      </w:r>
      <w:r w:rsidR="00EE44D6" w:rsidRPr="00EE44D6">
        <w:rPr>
          <w:rFonts w:ascii="Times New Roman" w:hAnsi="Times New Roman"/>
          <w:szCs w:val="24"/>
        </w:rPr>
        <w:t xml:space="preserve">in a move </w:t>
      </w:r>
      <w:r w:rsidR="00EE44D6" w:rsidRPr="00C506E5">
        <w:rPr>
          <w:rFonts w:ascii="Times New Roman" w:hAnsi="Times New Roman"/>
          <w:i/>
          <w:szCs w:val="24"/>
        </w:rPr>
        <w:t>away</w:t>
      </w:r>
      <w:r w:rsidR="00EE44D6" w:rsidRPr="00EE44D6">
        <w:rPr>
          <w:rFonts w:ascii="Times New Roman" w:hAnsi="Times New Roman"/>
          <w:szCs w:val="24"/>
        </w:rPr>
        <w:t xml:space="preserve"> from textuality or</w:t>
      </w:r>
      <w:r w:rsidR="00513725" w:rsidRPr="00EE44D6">
        <w:rPr>
          <w:rFonts w:ascii="Times New Roman" w:hAnsi="Times New Roman"/>
          <w:szCs w:val="24"/>
        </w:rPr>
        <w:t xml:space="preserve"> </w:t>
      </w:r>
      <w:r w:rsidR="00513725" w:rsidRPr="008659D7">
        <w:rPr>
          <w:rFonts w:ascii="Times New Roman" w:hAnsi="Times New Roman"/>
          <w:szCs w:val="24"/>
        </w:rPr>
        <w:t>language</w:t>
      </w:r>
      <w:r w:rsidR="00EE44D6" w:rsidRPr="008659D7">
        <w:rPr>
          <w:rFonts w:ascii="Times New Roman" w:hAnsi="Times New Roman"/>
          <w:szCs w:val="24"/>
        </w:rPr>
        <w:t>,</w:t>
      </w:r>
      <w:r w:rsidR="008659D7">
        <w:rPr>
          <w:rFonts w:ascii="Times New Roman" w:hAnsi="Times New Roman"/>
          <w:szCs w:val="24"/>
        </w:rPr>
        <w:t xml:space="preserve"> but rather as a mode</w:t>
      </w:r>
      <w:r w:rsidR="008659D7" w:rsidRPr="008659D7">
        <w:rPr>
          <w:rFonts w:ascii="Times New Roman" w:hAnsi="Times New Roman"/>
          <w:szCs w:val="24"/>
        </w:rPr>
        <w:t xml:space="preserve"> </w:t>
      </w:r>
      <w:r w:rsidR="008659D7">
        <w:rPr>
          <w:rFonts w:ascii="Times New Roman" w:hAnsi="Times New Roman"/>
          <w:szCs w:val="24"/>
        </w:rPr>
        <w:t xml:space="preserve">of </w:t>
      </w:r>
      <w:r w:rsidR="00C506E5" w:rsidRPr="00C506E5">
        <w:rPr>
          <w:rFonts w:ascii="Times New Roman" w:hAnsi="Times New Roman"/>
          <w:szCs w:val="24"/>
        </w:rPr>
        <w:t xml:space="preserve">engaging more </w:t>
      </w:r>
      <w:r w:rsidR="00C506E5" w:rsidRPr="00C506E5">
        <w:rPr>
          <w:rFonts w:ascii="Times New Roman" w:hAnsi="Times New Roman"/>
          <w:i/>
          <w:szCs w:val="24"/>
        </w:rPr>
        <w:t>intimately</w:t>
      </w:r>
      <w:r w:rsidR="00C506E5" w:rsidRPr="00C506E5">
        <w:rPr>
          <w:rFonts w:ascii="Times New Roman" w:hAnsi="Times New Roman"/>
          <w:szCs w:val="24"/>
        </w:rPr>
        <w:t>, perhaps even lovingly, with the sensorial contours, tonalities and excesses of texts as research objects.</w:t>
      </w:r>
      <w:r w:rsidR="004765AF">
        <w:rPr>
          <w:rFonts w:ascii="Times New Roman" w:hAnsi="Times New Roman"/>
          <w:szCs w:val="24"/>
        </w:rPr>
        <w:t xml:space="preserve"> </w:t>
      </w:r>
    </w:p>
    <w:p w14:paraId="78314504" w14:textId="3D7EFAAE" w:rsidR="00096BE6" w:rsidRDefault="00FA276A" w:rsidP="00F504EB">
      <w:pPr>
        <w:pStyle w:val="FreeFormA"/>
        <w:ind w:firstLine="720"/>
        <w:rPr>
          <w:rFonts w:ascii="Times New Roman" w:hAnsi="Times New Roman"/>
          <w:szCs w:val="24"/>
        </w:rPr>
      </w:pPr>
      <w:r w:rsidRPr="005475B6">
        <w:rPr>
          <w:rFonts w:ascii="Times New Roman" w:hAnsi="Times New Roman"/>
          <w:szCs w:val="24"/>
        </w:rPr>
        <w:t xml:space="preserve">In this vein, </w:t>
      </w:r>
      <w:r w:rsidR="000A4BB1" w:rsidRPr="005475B6">
        <w:rPr>
          <w:rFonts w:ascii="Times New Roman" w:hAnsi="Times New Roman"/>
          <w:szCs w:val="24"/>
        </w:rPr>
        <w:t xml:space="preserve">we can consider </w:t>
      </w:r>
      <w:r w:rsidR="00C506E5">
        <w:rPr>
          <w:rFonts w:ascii="Times New Roman" w:hAnsi="Times New Roman"/>
          <w:szCs w:val="24"/>
        </w:rPr>
        <w:t xml:space="preserve">how </w:t>
      </w:r>
      <w:r w:rsidR="00513725">
        <w:rPr>
          <w:rFonts w:ascii="Times New Roman" w:hAnsi="Times New Roman"/>
          <w:szCs w:val="24"/>
        </w:rPr>
        <w:t xml:space="preserve">these engagements with reparative reading </w:t>
      </w:r>
      <w:r w:rsidR="006A4FA3" w:rsidRPr="005475B6">
        <w:rPr>
          <w:rFonts w:ascii="Times New Roman" w:hAnsi="Times New Roman"/>
          <w:szCs w:val="24"/>
        </w:rPr>
        <w:t>resonate with this special issue’s interest in ‘mood’</w:t>
      </w:r>
      <w:r w:rsidR="00E35304" w:rsidRPr="005475B6">
        <w:rPr>
          <w:rFonts w:ascii="Times New Roman" w:hAnsi="Times New Roman"/>
          <w:szCs w:val="24"/>
        </w:rPr>
        <w:t xml:space="preserve"> and ‘mood work’</w:t>
      </w:r>
      <w:r w:rsidR="006A4FA3" w:rsidRPr="005475B6">
        <w:rPr>
          <w:rFonts w:ascii="Times New Roman" w:hAnsi="Times New Roman"/>
          <w:szCs w:val="24"/>
        </w:rPr>
        <w:t>.</w:t>
      </w:r>
      <w:r w:rsidR="00F113D1">
        <w:rPr>
          <w:rFonts w:ascii="Times New Roman" w:hAnsi="Times New Roman"/>
          <w:szCs w:val="24"/>
        </w:rPr>
        <w:t xml:space="preserve"> </w:t>
      </w:r>
      <w:r w:rsidR="00B46037">
        <w:rPr>
          <w:rFonts w:ascii="Times New Roman" w:hAnsi="Times New Roman"/>
          <w:szCs w:val="24"/>
        </w:rPr>
        <w:t>While linked</w:t>
      </w:r>
      <w:r w:rsidR="00B46037" w:rsidRPr="005475B6">
        <w:rPr>
          <w:rFonts w:ascii="Times New Roman" w:hAnsi="Times New Roman"/>
          <w:szCs w:val="24"/>
        </w:rPr>
        <w:t xml:space="preserve"> to emotion, affect and feeling, moods are often distinguished</w:t>
      </w:r>
      <w:r w:rsidR="000A4880">
        <w:rPr>
          <w:rFonts w:ascii="Times New Roman" w:hAnsi="Times New Roman"/>
          <w:szCs w:val="24"/>
        </w:rPr>
        <w:t xml:space="preserve"> ‘in having a longer duration’</w:t>
      </w:r>
      <w:r w:rsidR="00B46037" w:rsidRPr="005475B6">
        <w:rPr>
          <w:rFonts w:ascii="Times New Roman" w:hAnsi="Times New Roman"/>
          <w:szCs w:val="24"/>
        </w:rPr>
        <w:t>.</w:t>
      </w:r>
      <w:r w:rsidR="004765AF">
        <w:rPr>
          <w:rFonts w:ascii="Times New Roman" w:hAnsi="Times New Roman"/>
          <w:szCs w:val="24"/>
        </w:rPr>
        <w:t xml:space="preserve"> </w:t>
      </w:r>
      <w:r w:rsidR="007558BA">
        <w:rPr>
          <w:rFonts w:ascii="Times New Roman" w:hAnsi="Times New Roman"/>
          <w:szCs w:val="24"/>
        </w:rPr>
        <w:t>As Felski</w:t>
      </w:r>
      <w:r w:rsidR="001A0AAF">
        <w:rPr>
          <w:rFonts w:ascii="Times New Roman" w:hAnsi="Times New Roman"/>
          <w:szCs w:val="24"/>
        </w:rPr>
        <w:t xml:space="preserve"> and Fraiman argue</w:t>
      </w:r>
      <w:r w:rsidR="007558BA">
        <w:rPr>
          <w:rFonts w:ascii="Times New Roman" w:hAnsi="Times New Roman"/>
          <w:szCs w:val="24"/>
        </w:rPr>
        <w:t>,</w:t>
      </w:r>
      <w:r w:rsidR="00B46037" w:rsidRPr="005475B6">
        <w:rPr>
          <w:rFonts w:ascii="Times New Roman" w:hAnsi="Times New Roman"/>
          <w:szCs w:val="24"/>
        </w:rPr>
        <w:t xml:space="preserve"> ‘Instead of flowing, a mood lingers, tarries, settles i</w:t>
      </w:r>
      <w:r w:rsidR="000A4880">
        <w:rPr>
          <w:rFonts w:ascii="Times New Roman" w:hAnsi="Times New Roman"/>
          <w:szCs w:val="24"/>
        </w:rPr>
        <w:t>n, accumulates, sticks around’</w:t>
      </w:r>
      <w:r w:rsidR="00B46037">
        <w:rPr>
          <w:rFonts w:ascii="Times New Roman" w:hAnsi="Times New Roman"/>
          <w:szCs w:val="24"/>
        </w:rPr>
        <w:t>.</w:t>
      </w:r>
      <w:r w:rsidR="007A35C7" w:rsidRPr="007A35C7">
        <w:rPr>
          <w:rStyle w:val="FootnoteReference"/>
          <w:rFonts w:ascii="Times New Roman" w:hAnsi="Times New Roman"/>
          <w:szCs w:val="24"/>
        </w:rPr>
        <w:t xml:space="preserve"> </w:t>
      </w:r>
      <w:r w:rsidR="007A35C7">
        <w:rPr>
          <w:rStyle w:val="FootnoteReference"/>
          <w:rFonts w:ascii="Times New Roman" w:hAnsi="Times New Roman"/>
          <w:szCs w:val="24"/>
        </w:rPr>
        <w:footnoteReference w:id="28"/>
      </w:r>
      <w:r w:rsidR="007A35C7">
        <w:rPr>
          <w:rFonts w:ascii="Times New Roman" w:hAnsi="Times New Roman"/>
          <w:szCs w:val="24"/>
        </w:rPr>
        <w:t xml:space="preserve"> </w:t>
      </w:r>
      <w:r w:rsidR="004765AF">
        <w:rPr>
          <w:rFonts w:ascii="Times New Roman" w:hAnsi="Times New Roman"/>
          <w:szCs w:val="24"/>
        </w:rPr>
        <w:t xml:space="preserve"> </w:t>
      </w:r>
      <w:r w:rsidR="004762DD">
        <w:rPr>
          <w:rFonts w:ascii="Times New Roman" w:hAnsi="Times New Roman"/>
          <w:szCs w:val="24"/>
        </w:rPr>
        <w:t>How then</w:t>
      </w:r>
      <w:r w:rsidR="00E72701">
        <w:rPr>
          <w:rFonts w:ascii="Times New Roman" w:hAnsi="Times New Roman"/>
          <w:szCs w:val="24"/>
        </w:rPr>
        <w:t xml:space="preserve"> might we </w:t>
      </w:r>
      <w:r w:rsidR="00CF7C35">
        <w:rPr>
          <w:rFonts w:ascii="Times New Roman" w:hAnsi="Times New Roman"/>
          <w:szCs w:val="24"/>
        </w:rPr>
        <w:t>understand</w:t>
      </w:r>
      <w:r w:rsidR="00E55691" w:rsidRPr="005475B6">
        <w:rPr>
          <w:rFonts w:ascii="Times New Roman" w:hAnsi="Times New Roman"/>
          <w:szCs w:val="24"/>
        </w:rPr>
        <w:t xml:space="preserve"> </w:t>
      </w:r>
      <w:r w:rsidR="004052BD" w:rsidRPr="005475B6">
        <w:rPr>
          <w:rFonts w:ascii="Times New Roman" w:hAnsi="Times New Roman"/>
          <w:szCs w:val="24"/>
        </w:rPr>
        <w:t>the relationship between</w:t>
      </w:r>
      <w:r w:rsidR="00E72701">
        <w:rPr>
          <w:rFonts w:ascii="Times New Roman" w:hAnsi="Times New Roman"/>
          <w:szCs w:val="24"/>
        </w:rPr>
        <w:t xml:space="preserve"> </w:t>
      </w:r>
      <w:r w:rsidR="00FD2946">
        <w:rPr>
          <w:rFonts w:ascii="Times New Roman" w:hAnsi="Times New Roman"/>
          <w:szCs w:val="24"/>
        </w:rPr>
        <w:t>mood</w:t>
      </w:r>
      <w:r w:rsidR="00C506E5">
        <w:rPr>
          <w:rFonts w:ascii="Times New Roman" w:hAnsi="Times New Roman"/>
          <w:szCs w:val="24"/>
        </w:rPr>
        <w:t xml:space="preserve"> </w:t>
      </w:r>
      <w:r w:rsidR="004052BD" w:rsidRPr="005475B6">
        <w:rPr>
          <w:rFonts w:ascii="Times New Roman" w:hAnsi="Times New Roman"/>
          <w:szCs w:val="24"/>
        </w:rPr>
        <w:t>and Sedgwick’s translation of the</w:t>
      </w:r>
      <w:r w:rsidR="00E72701">
        <w:rPr>
          <w:rFonts w:ascii="Times New Roman" w:hAnsi="Times New Roman"/>
          <w:szCs w:val="24"/>
        </w:rPr>
        <w:t xml:space="preserve"> Klenian concept of ‘positions’?</w:t>
      </w:r>
      <w:r w:rsidR="004765AF">
        <w:rPr>
          <w:rFonts w:ascii="Times New Roman" w:hAnsi="Times New Roman"/>
          <w:szCs w:val="24"/>
        </w:rPr>
        <w:t xml:space="preserve"> </w:t>
      </w:r>
      <w:r w:rsidR="004762DD">
        <w:rPr>
          <w:rFonts w:ascii="Times New Roman" w:hAnsi="Times New Roman"/>
          <w:szCs w:val="24"/>
        </w:rPr>
        <w:t>I</w:t>
      </w:r>
      <w:r w:rsidR="00C65639" w:rsidRPr="005475B6">
        <w:rPr>
          <w:rFonts w:ascii="Times New Roman" w:hAnsi="Times New Roman"/>
          <w:szCs w:val="24"/>
        </w:rPr>
        <w:t xml:space="preserve">n Sedgwick’s reading of Klein, </w:t>
      </w:r>
      <w:r w:rsidR="006426E2">
        <w:rPr>
          <w:rFonts w:ascii="Times New Roman" w:hAnsi="Times New Roman"/>
          <w:szCs w:val="24"/>
        </w:rPr>
        <w:t xml:space="preserve">the </w:t>
      </w:r>
      <w:r w:rsidR="00C65639" w:rsidRPr="005475B6">
        <w:rPr>
          <w:rFonts w:ascii="Times New Roman" w:hAnsi="Times New Roman"/>
          <w:szCs w:val="24"/>
        </w:rPr>
        <w:t xml:space="preserve">paranoid/schizoid and depressive positions </w:t>
      </w:r>
      <w:r w:rsidR="00C506E5">
        <w:rPr>
          <w:rFonts w:ascii="Times New Roman" w:hAnsi="Times New Roman"/>
          <w:szCs w:val="24"/>
        </w:rPr>
        <w:t>do</w:t>
      </w:r>
      <w:r w:rsidR="00C65639" w:rsidRPr="005475B6">
        <w:rPr>
          <w:rFonts w:ascii="Times New Roman" w:hAnsi="Times New Roman"/>
          <w:szCs w:val="24"/>
        </w:rPr>
        <w:t xml:space="preserve"> not refer to ‘normatively ordered </w:t>
      </w:r>
      <w:r w:rsidR="00C65639" w:rsidRPr="005475B6">
        <w:rPr>
          <w:rFonts w:ascii="Times New Roman" w:hAnsi="Times New Roman"/>
          <w:i/>
          <w:szCs w:val="24"/>
        </w:rPr>
        <w:t>stages</w:t>
      </w:r>
      <w:r w:rsidR="00C65639" w:rsidRPr="005475B6">
        <w:rPr>
          <w:rFonts w:ascii="Times New Roman" w:hAnsi="Times New Roman"/>
          <w:szCs w:val="24"/>
        </w:rPr>
        <w:t xml:space="preserve">, stable </w:t>
      </w:r>
      <w:r w:rsidR="00C65639" w:rsidRPr="005475B6">
        <w:rPr>
          <w:rFonts w:ascii="Times New Roman" w:hAnsi="Times New Roman"/>
          <w:i/>
          <w:szCs w:val="24"/>
        </w:rPr>
        <w:t>structures</w:t>
      </w:r>
      <w:r w:rsidR="00C65639" w:rsidRPr="005475B6">
        <w:rPr>
          <w:rFonts w:ascii="Times New Roman" w:hAnsi="Times New Roman"/>
          <w:szCs w:val="24"/>
        </w:rPr>
        <w:t xml:space="preserve">, or diagnostic personality </w:t>
      </w:r>
      <w:r w:rsidR="00C65639" w:rsidRPr="005475B6">
        <w:rPr>
          <w:rFonts w:ascii="Times New Roman" w:hAnsi="Times New Roman"/>
          <w:i/>
          <w:szCs w:val="24"/>
        </w:rPr>
        <w:t>types</w:t>
      </w:r>
      <w:r w:rsidR="00C65639" w:rsidRPr="005475B6">
        <w:rPr>
          <w:rFonts w:ascii="Times New Roman" w:hAnsi="Times New Roman"/>
          <w:szCs w:val="24"/>
        </w:rPr>
        <w:t>’, but rather to ‘a much more flexible to-and-fro process between one and the oth</w:t>
      </w:r>
      <w:r w:rsidR="00316224">
        <w:rPr>
          <w:rFonts w:ascii="Times New Roman" w:hAnsi="Times New Roman"/>
          <w:szCs w:val="24"/>
        </w:rPr>
        <w:t>er’</w:t>
      </w:r>
      <w:r w:rsidR="00140B55" w:rsidRPr="005475B6">
        <w:rPr>
          <w:rFonts w:ascii="Times New Roman" w:hAnsi="Times New Roman"/>
          <w:szCs w:val="24"/>
        </w:rPr>
        <w:t>.</w:t>
      </w:r>
      <w:r w:rsidR="00316224">
        <w:rPr>
          <w:rStyle w:val="FootnoteReference"/>
          <w:rFonts w:ascii="Times New Roman" w:hAnsi="Times New Roman"/>
          <w:szCs w:val="24"/>
        </w:rPr>
        <w:footnoteReference w:id="29"/>
      </w:r>
      <w:r w:rsidR="004765AF">
        <w:rPr>
          <w:rFonts w:ascii="Times New Roman" w:hAnsi="Times New Roman"/>
          <w:szCs w:val="24"/>
        </w:rPr>
        <w:t xml:space="preserve"> </w:t>
      </w:r>
      <w:r w:rsidR="00140B55" w:rsidRPr="005475B6">
        <w:rPr>
          <w:rFonts w:ascii="Times New Roman" w:hAnsi="Times New Roman"/>
          <w:szCs w:val="24"/>
        </w:rPr>
        <w:t xml:space="preserve">As critical reading practices, paranoia and reparation </w:t>
      </w:r>
      <w:r w:rsidR="00F12F1E" w:rsidRPr="005475B6">
        <w:rPr>
          <w:rFonts w:ascii="Times New Roman" w:hAnsi="Times New Roman"/>
          <w:szCs w:val="24"/>
        </w:rPr>
        <w:t xml:space="preserve">are therefore not </w:t>
      </w:r>
      <w:r w:rsidR="00140B55" w:rsidRPr="005475B6">
        <w:rPr>
          <w:rFonts w:ascii="Times New Roman" w:hAnsi="Times New Roman"/>
          <w:szCs w:val="24"/>
        </w:rPr>
        <w:t>‘theoretical ideologies’</w:t>
      </w:r>
      <w:r w:rsidR="00E55691" w:rsidRPr="005475B6">
        <w:rPr>
          <w:rFonts w:ascii="Times New Roman" w:hAnsi="Times New Roman"/>
          <w:szCs w:val="24"/>
        </w:rPr>
        <w:t>,</w:t>
      </w:r>
      <w:r w:rsidR="00513725">
        <w:rPr>
          <w:rFonts w:ascii="Times New Roman" w:hAnsi="Times New Roman"/>
          <w:szCs w:val="24"/>
        </w:rPr>
        <w:t xml:space="preserve"> but instead, particular </w:t>
      </w:r>
      <w:r w:rsidR="00CF7C35">
        <w:rPr>
          <w:rFonts w:ascii="Times New Roman" w:hAnsi="Times New Roman"/>
          <w:szCs w:val="24"/>
        </w:rPr>
        <w:t>affective modes, among other modes, ‘</w:t>
      </w:r>
      <w:r w:rsidR="00140B55" w:rsidRPr="005475B6">
        <w:rPr>
          <w:rFonts w:ascii="Times New Roman" w:hAnsi="Times New Roman"/>
          <w:szCs w:val="24"/>
        </w:rPr>
        <w:t>of seeking and finding, and o</w:t>
      </w:r>
      <w:r w:rsidR="00316224">
        <w:rPr>
          <w:rFonts w:ascii="Times New Roman" w:hAnsi="Times New Roman"/>
          <w:szCs w:val="24"/>
        </w:rPr>
        <w:t>rganizing knowledge’</w:t>
      </w:r>
      <w:r w:rsidR="001B5180" w:rsidRPr="005475B6">
        <w:rPr>
          <w:rFonts w:ascii="Times New Roman" w:hAnsi="Times New Roman"/>
          <w:szCs w:val="24"/>
        </w:rPr>
        <w:t>.</w:t>
      </w:r>
      <w:r w:rsidR="00316224">
        <w:rPr>
          <w:rStyle w:val="FootnoteReference"/>
          <w:rFonts w:ascii="Times New Roman" w:hAnsi="Times New Roman"/>
          <w:szCs w:val="24"/>
        </w:rPr>
        <w:footnoteReference w:id="30"/>
      </w:r>
      <w:r w:rsidR="004765AF">
        <w:rPr>
          <w:rFonts w:ascii="Times New Roman" w:hAnsi="Times New Roman"/>
          <w:szCs w:val="24"/>
        </w:rPr>
        <w:t xml:space="preserve"> </w:t>
      </w:r>
      <w:r w:rsidR="00E55691" w:rsidRPr="005475B6">
        <w:rPr>
          <w:rFonts w:ascii="Times New Roman" w:hAnsi="Times New Roman"/>
          <w:szCs w:val="24"/>
        </w:rPr>
        <w:t>Compare this to Lars Sve</w:t>
      </w:r>
      <w:r w:rsidR="001B5180">
        <w:rPr>
          <w:rFonts w:ascii="Times New Roman" w:hAnsi="Times New Roman"/>
          <w:szCs w:val="24"/>
        </w:rPr>
        <w:t>ndsen’s description of mood</w:t>
      </w:r>
      <w:r w:rsidR="005268BC">
        <w:rPr>
          <w:rFonts w:ascii="Times New Roman" w:hAnsi="Times New Roman"/>
          <w:szCs w:val="24"/>
        </w:rPr>
        <w:t xml:space="preserve"> as</w:t>
      </w:r>
      <w:r w:rsidR="005268BC" w:rsidRPr="005475B6">
        <w:rPr>
          <w:rFonts w:ascii="Times New Roman" w:hAnsi="Times New Roman"/>
          <w:szCs w:val="24"/>
        </w:rPr>
        <w:t xml:space="preserve"> ‘the very foundation of our ability to orient ourselves in the </w:t>
      </w:r>
      <w:r w:rsidR="00316224">
        <w:rPr>
          <w:rFonts w:ascii="Times New Roman" w:hAnsi="Times New Roman"/>
          <w:szCs w:val="24"/>
        </w:rPr>
        <w:t>world’</w:t>
      </w:r>
      <w:r w:rsidR="005268BC" w:rsidRPr="001A0AAF">
        <w:rPr>
          <w:rFonts w:ascii="Times New Roman" w:hAnsi="Times New Roman"/>
          <w:szCs w:val="24"/>
        </w:rPr>
        <w:t>.</w:t>
      </w:r>
      <w:r w:rsidR="00316224">
        <w:rPr>
          <w:rStyle w:val="FootnoteReference"/>
          <w:rFonts w:ascii="Times New Roman" w:hAnsi="Times New Roman"/>
          <w:szCs w:val="24"/>
        </w:rPr>
        <w:footnoteReference w:id="31"/>
      </w:r>
      <w:r w:rsidR="005268BC" w:rsidRPr="001A0AAF">
        <w:rPr>
          <w:rFonts w:ascii="Times New Roman" w:hAnsi="Times New Roman"/>
          <w:szCs w:val="24"/>
        </w:rPr>
        <w:t xml:space="preserve"> </w:t>
      </w:r>
      <w:r w:rsidR="00171D5B" w:rsidRPr="001A0AAF">
        <w:rPr>
          <w:rFonts w:ascii="Times New Roman" w:hAnsi="Times New Roman"/>
          <w:szCs w:val="24"/>
        </w:rPr>
        <w:t>‘When</w:t>
      </w:r>
      <w:r w:rsidR="00171D5B" w:rsidRPr="005475B6">
        <w:rPr>
          <w:rFonts w:ascii="Times New Roman" w:hAnsi="Times New Roman"/>
          <w:szCs w:val="24"/>
        </w:rPr>
        <w:t xml:space="preserve"> you are in a</w:t>
      </w:r>
      <w:r w:rsidR="001B5180">
        <w:rPr>
          <w:rFonts w:ascii="Times New Roman" w:hAnsi="Times New Roman"/>
          <w:szCs w:val="24"/>
        </w:rPr>
        <w:t xml:space="preserve"> given mood’, he suggests</w:t>
      </w:r>
      <w:r w:rsidR="00171D5B" w:rsidRPr="005475B6">
        <w:rPr>
          <w:rFonts w:ascii="Times New Roman" w:hAnsi="Times New Roman"/>
          <w:szCs w:val="24"/>
        </w:rPr>
        <w:t>, ‘the world appears as a certain field of possibilities… Different moods realize different ways of relating to the world as a</w:t>
      </w:r>
      <w:r w:rsidR="00316224">
        <w:rPr>
          <w:rFonts w:ascii="Times New Roman" w:hAnsi="Times New Roman"/>
          <w:szCs w:val="24"/>
        </w:rPr>
        <w:t xml:space="preserve"> whole and to specific objects’</w:t>
      </w:r>
      <w:r w:rsidR="00171D5B" w:rsidRPr="001A0AAF">
        <w:rPr>
          <w:rFonts w:ascii="Times New Roman" w:hAnsi="Times New Roman"/>
          <w:szCs w:val="24"/>
        </w:rPr>
        <w:t>.</w:t>
      </w:r>
      <w:r w:rsidR="00316224">
        <w:rPr>
          <w:rStyle w:val="FootnoteReference"/>
          <w:rFonts w:ascii="Times New Roman" w:hAnsi="Times New Roman"/>
          <w:szCs w:val="24"/>
        </w:rPr>
        <w:footnoteReference w:id="32"/>
      </w:r>
      <w:r w:rsidR="004765AF">
        <w:rPr>
          <w:rFonts w:ascii="Times New Roman" w:hAnsi="Times New Roman"/>
          <w:szCs w:val="24"/>
        </w:rPr>
        <w:t xml:space="preserve"> </w:t>
      </w:r>
      <w:r w:rsidR="00171D5B" w:rsidRPr="001A0AAF">
        <w:rPr>
          <w:rFonts w:ascii="Times New Roman" w:hAnsi="Times New Roman"/>
          <w:szCs w:val="24"/>
        </w:rPr>
        <w:t xml:space="preserve">We </w:t>
      </w:r>
      <w:r w:rsidR="00417A21" w:rsidRPr="001A0AAF">
        <w:rPr>
          <w:rFonts w:ascii="Times New Roman" w:hAnsi="Times New Roman"/>
          <w:szCs w:val="24"/>
        </w:rPr>
        <w:t xml:space="preserve">could say </w:t>
      </w:r>
      <w:r w:rsidR="00171D5B" w:rsidRPr="001A0AAF">
        <w:rPr>
          <w:rFonts w:ascii="Times New Roman" w:hAnsi="Times New Roman"/>
          <w:szCs w:val="24"/>
        </w:rPr>
        <w:t xml:space="preserve">then that </w:t>
      </w:r>
      <w:r w:rsidR="00D9583C" w:rsidRPr="001A0AAF">
        <w:rPr>
          <w:rFonts w:ascii="Times New Roman" w:hAnsi="Times New Roman"/>
          <w:szCs w:val="24"/>
        </w:rPr>
        <w:t>both ‘moods’</w:t>
      </w:r>
      <w:r w:rsidR="00556147" w:rsidRPr="001A0AAF">
        <w:rPr>
          <w:rFonts w:ascii="Times New Roman" w:hAnsi="Times New Roman"/>
          <w:szCs w:val="24"/>
        </w:rPr>
        <w:t xml:space="preserve"> and ‘positions’</w:t>
      </w:r>
      <w:r w:rsidR="00D9583C" w:rsidRPr="001A0AAF">
        <w:rPr>
          <w:rFonts w:ascii="Times New Roman" w:hAnsi="Times New Roman"/>
          <w:szCs w:val="24"/>
        </w:rPr>
        <w:t xml:space="preserve"> are fluid and shifting affective states</w:t>
      </w:r>
      <w:r w:rsidR="00D9583C" w:rsidRPr="005475B6">
        <w:rPr>
          <w:rFonts w:ascii="Times New Roman" w:hAnsi="Times New Roman"/>
          <w:szCs w:val="24"/>
        </w:rPr>
        <w:t xml:space="preserve"> that play a significant role in conditioning how we take in and c</w:t>
      </w:r>
      <w:r w:rsidR="008A7114">
        <w:rPr>
          <w:rFonts w:ascii="Times New Roman" w:hAnsi="Times New Roman"/>
          <w:szCs w:val="24"/>
        </w:rPr>
        <w:t>onfigure the world around</w:t>
      </w:r>
      <w:r w:rsidR="00CF7C35">
        <w:rPr>
          <w:rFonts w:ascii="Times New Roman" w:hAnsi="Times New Roman"/>
          <w:szCs w:val="24"/>
        </w:rPr>
        <w:t xml:space="preserve"> us</w:t>
      </w:r>
      <w:r w:rsidR="008A7114">
        <w:rPr>
          <w:rFonts w:ascii="Times New Roman" w:hAnsi="Times New Roman"/>
          <w:szCs w:val="24"/>
        </w:rPr>
        <w:t>,</w:t>
      </w:r>
      <w:r w:rsidR="00D9583C" w:rsidRPr="005475B6">
        <w:rPr>
          <w:rFonts w:ascii="Times New Roman" w:hAnsi="Times New Roman"/>
          <w:szCs w:val="24"/>
        </w:rPr>
        <w:t xml:space="preserve"> shaping the kinds of relations we</w:t>
      </w:r>
      <w:r w:rsidR="00CF7C35">
        <w:rPr>
          <w:rFonts w:ascii="Times New Roman" w:hAnsi="Times New Roman"/>
          <w:szCs w:val="24"/>
        </w:rPr>
        <w:t xml:space="preserve"> establish with our objects</w:t>
      </w:r>
      <w:r w:rsidR="004765AF">
        <w:rPr>
          <w:rFonts w:ascii="Times New Roman" w:hAnsi="Times New Roman"/>
          <w:szCs w:val="24"/>
        </w:rPr>
        <w:t xml:space="preserve"> </w:t>
      </w:r>
      <w:r w:rsidR="00CF7C35">
        <w:rPr>
          <w:rFonts w:ascii="Times New Roman" w:hAnsi="Times New Roman"/>
          <w:szCs w:val="24"/>
        </w:rPr>
        <w:t>- both human and textual – and the knowledges we cultivate with and through them.</w:t>
      </w:r>
      <w:r w:rsidR="004765AF">
        <w:rPr>
          <w:rFonts w:ascii="Times New Roman" w:hAnsi="Times New Roman"/>
          <w:szCs w:val="24"/>
        </w:rPr>
        <w:t xml:space="preserve"> </w:t>
      </w:r>
    </w:p>
    <w:p w14:paraId="794E2855" w14:textId="7C288917" w:rsidR="00AC6F5D" w:rsidRDefault="008A7114" w:rsidP="00F504EB">
      <w:pPr>
        <w:pStyle w:val="FreeFormA"/>
        <w:ind w:firstLine="720"/>
        <w:rPr>
          <w:rFonts w:ascii="Times New Roman" w:hAnsi="Times New Roman"/>
          <w:szCs w:val="24"/>
        </w:rPr>
      </w:pPr>
      <w:r>
        <w:rPr>
          <w:rFonts w:ascii="Times New Roman" w:hAnsi="Times New Roman"/>
          <w:szCs w:val="24"/>
        </w:rPr>
        <w:t>However, while the concept of positions d</w:t>
      </w:r>
      <w:r w:rsidR="009D55B4">
        <w:rPr>
          <w:rFonts w:ascii="Times New Roman" w:hAnsi="Times New Roman"/>
          <w:szCs w:val="24"/>
        </w:rPr>
        <w:t xml:space="preserve">raws on psychoanalytic </w:t>
      </w:r>
      <w:r>
        <w:rPr>
          <w:rFonts w:ascii="Times New Roman" w:hAnsi="Times New Roman"/>
          <w:szCs w:val="24"/>
        </w:rPr>
        <w:t xml:space="preserve">ideas about </w:t>
      </w:r>
      <w:r w:rsidR="00CF7C35">
        <w:rPr>
          <w:rFonts w:ascii="Times New Roman" w:hAnsi="Times New Roman"/>
          <w:szCs w:val="24"/>
        </w:rPr>
        <w:t xml:space="preserve">human </w:t>
      </w:r>
      <w:r>
        <w:rPr>
          <w:rFonts w:ascii="Times New Roman" w:hAnsi="Times New Roman"/>
          <w:szCs w:val="24"/>
        </w:rPr>
        <w:t>development that, although not boun</w:t>
      </w:r>
      <w:r w:rsidR="00940FEA">
        <w:rPr>
          <w:rFonts w:ascii="Times New Roman" w:hAnsi="Times New Roman"/>
          <w:szCs w:val="24"/>
        </w:rPr>
        <w:t>d to linear stages or</w:t>
      </w:r>
      <w:r>
        <w:rPr>
          <w:rFonts w:ascii="Times New Roman" w:hAnsi="Times New Roman"/>
          <w:szCs w:val="24"/>
        </w:rPr>
        <w:t xml:space="preserve"> </w:t>
      </w:r>
      <w:r w:rsidR="00C073CE">
        <w:rPr>
          <w:rFonts w:ascii="Times New Roman" w:hAnsi="Times New Roman"/>
          <w:szCs w:val="24"/>
        </w:rPr>
        <w:t xml:space="preserve">structures, nonetheless assume a link between adult behavior, events in early childhood and unconscious drives, </w:t>
      </w:r>
      <w:r>
        <w:rPr>
          <w:rFonts w:ascii="Times New Roman" w:hAnsi="Times New Roman"/>
          <w:szCs w:val="24"/>
        </w:rPr>
        <w:t xml:space="preserve">scholarly analysis of moods has been somewhat less reliant on </w:t>
      </w:r>
      <w:r w:rsidR="00A57F31">
        <w:rPr>
          <w:rFonts w:ascii="Times New Roman" w:hAnsi="Times New Roman"/>
          <w:szCs w:val="24"/>
        </w:rPr>
        <w:t>psychoanalytic</w:t>
      </w:r>
      <w:r w:rsidR="00C073CE">
        <w:rPr>
          <w:rFonts w:ascii="Times New Roman" w:hAnsi="Times New Roman"/>
          <w:szCs w:val="24"/>
        </w:rPr>
        <w:t xml:space="preserve"> </w:t>
      </w:r>
      <w:r w:rsidR="00A57F31">
        <w:rPr>
          <w:rFonts w:ascii="Times New Roman" w:hAnsi="Times New Roman"/>
          <w:szCs w:val="24"/>
        </w:rPr>
        <w:t>models.</w:t>
      </w:r>
      <w:r w:rsidR="004765AF">
        <w:rPr>
          <w:rFonts w:ascii="Times New Roman" w:hAnsi="Times New Roman"/>
          <w:szCs w:val="24"/>
        </w:rPr>
        <w:t xml:space="preserve"> </w:t>
      </w:r>
      <w:r w:rsidR="009D55B4">
        <w:rPr>
          <w:rFonts w:ascii="Times New Roman" w:hAnsi="Times New Roman"/>
          <w:szCs w:val="24"/>
        </w:rPr>
        <w:t xml:space="preserve">If the paranoid-schizoid and depressive positions are understood in Sedgwick’s reading of Klein </w:t>
      </w:r>
      <w:r w:rsidR="00CF7C35">
        <w:rPr>
          <w:rFonts w:ascii="Times New Roman" w:hAnsi="Times New Roman"/>
          <w:szCs w:val="24"/>
        </w:rPr>
        <w:t xml:space="preserve">as </w:t>
      </w:r>
      <w:r w:rsidR="00F33E43">
        <w:rPr>
          <w:rFonts w:ascii="Times New Roman" w:hAnsi="Times New Roman"/>
          <w:szCs w:val="24"/>
        </w:rPr>
        <w:t xml:space="preserve">relational and yet also relatively distinct and articulable postures (indeed Sedgwick provides five key criteria that can help us identify paranoid reading practices at work), moods are generally conceived as </w:t>
      </w:r>
      <w:r w:rsidR="00CF7C35">
        <w:rPr>
          <w:rFonts w:ascii="Times New Roman" w:hAnsi="Times New Roman"/>
          <w:szCs w:val="24"/>
        </w:rPr>
        <w:t xml:space="preserve">less possible to delineate because they </w:t>
      </w:r>
      <w:r w:rsidR="001E46ED">
        <w:rPr>
          <w:rFonts w:ascii="Times New Roman" w:hAnsi="Times New Roman"/>
          <w:szCs w:val="24"/>
        </w:rPr>
        <w:t xml:space="preserve">are </w:t>
      </w:r>
      <w:r w:rsidR="00F33E43">
        <w:rPr>
          <w:rFonts w:ascii="Times New Roman" w:hAnsi="Times New Roman"/>
          <w:szCs w:val="24"/>
        </w:rPr>
        <w:t>more ‘</w:t>
      </w:r>
      <w:r w:rsidR="00F33E43" w:rsidRPr="00F33E43">
        <w:rPr>
          <w:rFonts w:ascii="Times New Roman" w:hAnsi="Times New Roman"/>
          <w:szCs w:val="24"/>
        </w:rPr>
        <w:t>ambient, vague, diffuse, hazy, and intangible’</w:t>
      </w:r>
      <w:r w:rsidR="00F33E43" w:rsidRPr="003A68DA">
        <w:rPr>
          <w:rFonts w:ascii="Times New Roman" w:hAnsi="Times New Roman"/>
          <w:szCs w:val="24"/>
        </w:rPr>
        <w:t>.</w:t>
      </w:r>
      <w:r w:rsidR="00316224">
        <w:rPr>
          <w:rStyle w:val="FootnoteReference"/>
          <w:rFonts w:ascii="Times New Roman" w:hAnsi="Times New Roman"/>
          <w:szCs w:val="24"/>
        </w:rPr>
        <w:footnoteReference w:id="33"/>
      </w:r>
      <w:r w:rsidR="004765AF">
        <w:rPr>
          <w:rFonts w:ascii="Times New Roman" w:hAnsi="Times New Roman"/>
          <w:szCs w:val="24"/>
        </w:rPr>
        <w:t xml:space="preserve"> </w:t>
      </w:r>
      <w:r w:rsidR="00142A21" w:rsidRPr="003A68DA">
        <w:rPr>
          <w:rFonts w:ascii="Times New Roman" w:hAnsi="Times New Roman"/>
          <w:szCs w:val="24"/>
        </w:rPr>
        <w:t>As</w:t>
      </w:r>
      <w:r w:rsidR="00142A21" w:rsidRPr="00AC6F5D">
        <w:rPr>
          <w:rFonts w:ascii="Times New Roman" w:hAnsi="Times New Roman"/>
          <w:szCs w:val="24"/>
        </w:rPr>
        <w:t xml:space="preserve"> Rene Rosfort and </w:t>
      </w:r>
      <w:r w:rsidR="00FD2946">
        <w:rPr>
          <w:rFonts w:ascii="Times New Roman" w:hAnsi="Times New Roman"/>
          <w:szCs w:val="24"/>
        </w:rPr>
        <w:t xml:space="preserve">Giovanni Stanghellini argue, </w:t>
      </w:r>
      <w:r w:rsidR="00142A21">
        <w:rPr>
          <w:rFonts w:ascii="Times New Roman" w:hAnsi="Times New Roman"/>
          <w:szCs w:val="24"/>
        </w:rPr>
        <w:t xml:space="preserve">moods </w:t>
      </w:r>
      <w:r w:rsidR="00FD2946">
        <w:rPr>
          <w:rFonts w:ascii="Times New Roman" w:hAnsi="Times New Roman"/>
          <w:szCs w:val="24"/>
        </w:rPr>
        <w:t>are ‘</w:t>
      </w:r>
      <w:r w:rsidR="00142A21">
        <w:rPr>
          <w:rFonts w:ascii="Times New Roman" w:hAnsi="Times New Roman"/>
          <w:szCs w:val="24"/>
        </w:rPr>
        <w:t>often ineffable phenomena with n</w:t>
      </w:r>
      <w:r w:rsidR="00A57F31">
        <w:rPr>
          <w:rFonts w:ascii="Times New Roman" w:hAnsi="Times New Roman"/>
          <w:szCs w:val="24"/>
        </w:rPr>
        <w:t>o apparent intentional object or</w:t>
      </w:r>
      <w:r w:rsidR="00316224">
        <w:rPr>
          <w:rFonts w:ascii="Times New Roman" w:hAnsi="Times New Roman"/>
          <w:szCs w:val="24"/>
        </w:rPr>
        <w:t xml:space="preserve"> clear experiential structure’</w:t>
      </w:r>
      <w:r w:rsidR="00142A21">
        <w:rPr>
          <w:rFonts w:ascii="Times New Roman" w:hAnsi="Times New Roman"/>
          <w:szCs w:val="24"/>
        </w:rPr>
        <w:t xml:space="preserve">. </w:t>
      </w:r>
      <w:r w:rsidR="006923B0">
        <w:rPr>
          <w:rFonts w:ascii="Times New Roman" w:hAnsi="Times New Roman"/>
          <w:szCs w:val="24"/>
        </w:rPr>
        <w:t>‘Rather than providing answers</w:t>
      </w:r>
      <w:r w:rsidR="00CB25BF">
        <w:rPr>
          <w:rFonts w:ascii="Times New Roman" w:hAnsi="Times New Roman"/>
          <w:szCs w:val="24"/>
        </w:rPr>
        <w:t>’</w:t>
      </w:r>
      <w:r w:rsidR="006923B0">
        <w:rPr>
          <w:rFonts w:ascii="Times New Roman" w:hAnsi="Times New Roman"/>
          <w:szCs w:val="24"/>
        </w:rPr>
        <w:t>,</w:t>
      </w:r>
      <w:r w:rsidR="00CB25BF">
        <w:rPr>
          <w:rFonts w:ascii="Times New Roman" w:hAnsi="Times New Roman"/>
          <w:szCs w:val="24"/>
        </w:rPr>
        <w:t xml:space="preserve"> moods</w:t>
      </w:r>
      <w:r w:rsidR="006923B0">
        <w:rPr>
          <w:rFonts w:ascii="Times New Roman" w:hAnsi="Times New Roman"/>
          <w:szCs w:val="24"/>
        </w:rPr>
        <w:t xml:space="preserve"> </w:t>
      </w:r>
      <w:r w:rsidR="00CB25BF">
        <w:rPr>
          <w:rFonts w:ascii="Times New Roman" w:hAnsi="Times New Roman"/>
          <w:szCs w:val="24"/>
        </w:rPr>
        <w:t>‘</w:t>
      </w:r>
      <w:r w:rsidR="006923B0">
        <w:rPr>
          <w:rFonts w:ascii="Times New Roman" w:hAnsi="Times New Roman"/>
          <w:szCs w:val="24"/>
        </w:rPr>
        <w:t>complicate them by introducing ambivalence, hesitation, and atmospheric uncertainty into our inquiry’</w:t>
      </w:r>
      <w:r w:rsidR="006923B0" w:rsidRPr="003A68DA">
        <w:rPr>
          <w:rFonts w:ascii="Times New Roman" w:hAnsi="Times New Roman"/>
          <w:szCs w:val="24"/>
        </w:rPr>
        <w:t>.</w:t>
      </w:r>
      <w:r w:rsidR="00DA4583">
        <w:rPr>
          <w:rStyle w:val="FootnoteReference"/>
          <w:rFonts w:ascii="Times New Roman" w:hAnsi="Times New Roman"/>
          <w:szCs w:val="24"/>
        </w:rPr>
        <w:footnoteReference w:id="34"/>
      </w:r>
      <w:r w:rsidR="004765AF">
        <w:rPr>
          <w:rFonts w:ascii="Times New Roman" w:hAnsi="Times New Roman"/>
          <w:szCs w:val="24"/>
        </w:rPr>
        <w:t xml:space="preserve"> </w:t>
      </w:r>
      <w:r w:rsidR="00CB25BF">
        <w:rPr>
          <w:rFonts w:ascii="Times New Roman" w:hAnsi="Times New Roman"/>
          <w:szCs w:val="24"/>
        </w:rPr>
        <w:t>From this perspective, the concept of mood might both resonate with</w:t>
      </w:r>
      <w:r w:rsidR="003A550C">
        <w:rPr>
          <w:rFonts w:ascii="Times New Roman" w:hAnsi="Times New Roman"/>
          <w:szCs w:val="24"/>
        </w:rPr>
        <w:t xml:space="preserve"> the idea of positions</w:t>
      </w:r>
      <w:r w:rsidR="00CB25BF">
        <w:rPr>
          <w:rFonts w:ascii="Times New Roman" w:hAnsi="Times New Roman"/>
          <w:szCs w:val="24"/>
        </w:rPr>
        <w:t xml:space="preserve"> and productively open </w:t>
      </w:r>
      <w:r w:rsidR="003A550C">
        <w:rPr>
          <w:rFonts w:ascii="Times New Roman" w:hAnsi="Times New Roman"/>
          <w:szCs w:val="24"/>
        </w:rPr>
        <w:t xml:space="preserve">it </w:t>
      </w:r>
      <w:r w:rsidR="00CB25BF">
        <w:rPr>
          <w:rFonts w:ascii="Times New Roman" w:hAnsi="Times New Roman"/>
          <w:szCs w:val="24"/>
        </w:rPr>
        <w:t xml:space="preserve">up </w:t>
      </w:r>
      <w:r w:rsidR="003A550C">
        <w:rPr>
          <w:rFonts w:ascii="Times New Roman" w:hAnsi="Times New Roman"/>
          <w:szCs w:val="24"/>
        </w:rPr>
        <w:t>to a wider with</w:t>
      </w:r>
      <w:r w:rsidR="00CB25BF">
        <w:rPr>
          <w:rFonts w:ascii="Times New Roman" w:hAnsi="Times New Roman"/>
          <w:szCs w:val="24"/>
        </w:rPr>
        <w:t xml:space="preserve"> engagement with affective ambivalence</w:t>
      </w:r>
      <w:r w:rsidR="003A550C">
        <w:rPr>
          <w:rFonts w:ascii="Times New Roman" w:hAnsi="Times New Roman"/>
          <w:szCs w:val="24"/>
        </w:rPr>
        <w:t xml:space="preserve"> that both includes and exceeds the psychic parameters of human subjectivity.</w:t>
      </w:r>
      <w:r w:rsidR="004765AF">
        <w:rPr>
          <w:rFonts w:ascii="Times New Roman" w:hAnsi="Times New Roman"/>
          <w:szCs w:val="24"/>
        </w:rPr>
        <w:t xml:space="preserve">   </w:t>
      </w:r>
    </w:p>
    <w:p w14:paraId="7995D742" w14:textId="39A4CCB3" w:rsidR="00D230D4" w:rsidRDefault="004765AF" w:rsidP="00F504EB">
      <w:pPr>
        <w:pStyle w:val="FreeFormA"/>
        <w:rPr>
          <w:rFonts w:ascii="Times New Roman" w:hAnsi="Times New Roman"/>
          <w:szCs w:val="24"/>
        </w:rPr>
      </w:pPr>
      <w:r>
        <w:rPr>
          <w:rFonts w:ascii="Times New Roman" w:hAnsi="Times New Roman"/>
          <w:szCs w:val="24"/>
        </w:rPr>
        <w:lastRenderedPageBreak/>
        <w:t xml:space="preserve"> </w:t>
      </w:r>
      <w:r w:rsidR="00F504EB">
        <w:rPr>
          <w:rFonts w:ascii="Times New Roman" w:hAnsi="Times New Roman"/>
          <w:szCs w:val="24"/>
        </w:rPr>
        <w:tab/>
      </w:r>
      <w:r w:rsidR="00AC6F5D">
        <w:rPr>
          <w:rFonts w:ascii="Times New Roman" w:hAnsi="Times New Roman"/>
          <w:szCs w:val="24"/>
        </w:rPr>
        <w:t xml:space="preserve">Interestingly, </w:t>
      </w:r>
      <w:r w:rsidR="00974F8D">
        <w:rPr>
          <w:rFonts w:ascii="Times New Roman" w:hAnsi="Times New Roman"/>
          <w:szCs w:val="24"/>
        </w:rPr>
        <w:t xml:space="preserve">although the </w:t>
      </w:r>
      <w:r w:rsidR="007D24DE">
        <w:rPr>
          <w:rFonts w:ascii="Times New Roman" w:hAnsi="Times New Roman"/>
          <w:szCs w:val="24"/>
        </w:rPr>
        <w:t xml:space="preserve">Kleinian </w:t>
      </w:r>
      <w:r w:rsidR="00974F8D">
        <w:rPr>
          <w:rFonts w:ascii="Times New Roman" w:hAnsi="Times New Roman"/>
          <w:szCs w:val="24"/>
        </w:rPr>
        <w:t xml:space="preserve">concept of ‘reparation’ might be understood precisely </w:t>
      </w:r>
      <w:r w:rsidR="006426E2">
        <w:rPr>
          <w:rFonts w:ascii="Times New Roman" w:hAnsi="Times New Roman"/>
          <w:szCs w:val="24"/>
        </w:rPr>
        <w:t xml:space="preserve">as </w:t>
      </w:r>
      <w:r w:rsidR="00974F8D">
        <w:rPr>
          <w:rFonts w:ascii="Times New Roman" w:hAnsi="Times New Roman"/>
          <w:szCs w:val="24"/>
        </w:rPr>
        <w:t>a process of coming to terms with the reality of</w:t>
      </w:r>
      <w:r w:rsidR="00D230D4">
        <w:rPr>
          <w:rFonts w:ascii="Times New Roman" w:hAnsi="Times New Roman"/>
          <w:szCs w:val="24"/>
        </w:rPr>
        <w:t xml:space="preserve"> conflicted emotion</w:t>
      </w:r>
      <w:r w:rsidR="00974F8D">
        <w:rPr>
          <w:rFonts w:ascii="Times New Roman" w:hAnsi="Times New Roman"/>
          <w:szCs w:val="24"/>
        </w:rPr>
        <w:t xml:space="preserve">, recent analyses of the reparative ‘turn’ in cultural studies have argued that one of its problematic tendencies is an </w:t>
      </w:r>
      <w:r w:rsidR="00974F8D" w:rsidRPr="00974F8D">
        <w:rPr>
          <w:rFonts w:ascii="Times New Roman" w:hAnsi="Times New Roman"/>
          <w:i/>
          <w:szCs w:val="24"/>
        </w:rPr>
        <w:t>elision</w:t>
      </w:r>
      <w:r w:rsidR="00974F8D">
        <w:rPr>
          <w:rFonts w:ascii="Times New Roman" w:hAnsi="Times New Roman"/>
          <w:szCs w:val="24"/>
        </w:rPr>
        <w:t xml:space="preserve"> </w:t>
      </w:r>
      <w:r w:rsidR="00974F8D" w:rsidRPr="00974F8D">
        <w:rPr>
          <w:rFonts w:ascii="Times New Roman" w:hAnsi="Times New Roman"/>
          <w:i/>
          <w:szCs w:val="24"/>
        </w:rPr>
        <w:t>or forgetting</w:t>
      </w:r>
      <w:r w:rsidR="00974F8D">
        <w:rPr>
          <w:rFonts w:ascii="Times New Roman" w:hAnsi="Times New Roman"/>
          <w:szCs w:val="24"/>
        </w:rPr>
        <w:t xml:space="preserve"> of psychic ambivalence.</w:t>
      </w:r>
      <w:r>
        <w:rPr>
          <w:rFonts w:ascii="Times New Roman" w:hAnsi="Times New Roman"/>
          <w:szCs w:val="24"/>
        </w:rPr>
        <w:t xml:space="preserve"> </w:t>
      </w:r>
      <w:r w:rsidR="008C3B5D" w:rsidRPr="005475B6">
        <w:rPr>
          <w:rFonts w:ascii="Times New Roman" w:hAnsi="Times New Roman"/>
          <w:szCs w:val="24"/>
        </w:rPr>
        <w:t>Wiegman, points out,</w:t>
      </w:r>
      <w:r w:rsidR="001A6D4D">
        <w:rPr>
          <w:rFonts w:ascii="Times New Roman" w:hAnsi="Times New Roman"/>
          <w:szCs w:val="24"/>
        </w:rPr>
        <w:t xml:space="preserve"> for example,</w:t>
      </w:r>
      <w:r w:rsidR="008C3B5D" w:rsidRPr="005475B6">
        <w:rPr>
          <w:rFonts w:ascii="Times New Roman" w:hAnsi="Times New Roman"/>
          <w:szCs w:val="24"/>
        </w:rPr>
        <w:t xml:space="preserve"> </w:t>
      </w:r>
      <w:r w:rsidR="00D230D4">
        <w:rPr>
          <w:rFonts w:ascii="Times New Roman" w:hAnsi="Times New Roman"/>
          <w:szCs w:val="24"/>
        </w:rPr>
        <w:t xml:space="preserve">that </w:t>
      </w:r>
      <w:r w:rsidR="008C3B5D" w:rsidRPr="005475B6">
        <w:rPr>
          <w:rFonts w:ascii="Times New Roman" w:hAnsi="Times New Roman"/>
          <w:szCs w:val="24"/>
        </w:rPr>
        <w:t xml:space="preserve">the </w:t>
      </w:r>
      <w:r w:rsidR="001C4629" w:rsidRPr="005475B6">
        <w:rPr>
          <w:rFonts w:ascii="Times New Roman" w:hAnsi="Times New Roman"/>
          <w:szCs w:val="24"/>
        </w:rPr>
        <w:t xml:space="preserve">reparative position as Klein depicted it is more complex and less affirming than much </w:t>
      </w:r>
      <w:r w:rsidR="00974F8D">
        <w:rPr>
          <w:rFonts w:ascii="Times New Roman" w:hAnsi="Times New Roman"/>
          <w:szCs w:val="24"/>
        </w:rPr>
        <w:t xml:space="preserve">current </w:t>
      </w:r>
      <w:r w:rsidR="001C4629" w:rsidRPr="005475B6">
        <w:rPr>
          <w:rFonts w:ascii="Times New Roman" w:hAnsi="Times New Roman"/>
          <w:szCs w:val="24"/>
        </w:rPr>
        <w:t>advocacy of reparation</w:t>
      </w:r>
      <w:r w:rsidR="006426E2">
        <w:rPr>
          <w:rFonts w:ascii="Times New Roman" w:hAnsi="Times New Roman"/>
          <w:szCs w:val="24"/>
        </w:rPr>
        <w:t xml:space="preserve"> as a modality of cultural analysis</w:t>
      </w:r>
      <w:r w:rsidR="001C4629" w:rsidRPr="005475B6">
        <w:rPr>
          <w:rFonts w:ascii="Times New Roman" w:hAnsi="Times New Roman"/>
          <w:szCs w:val="24"/>
        </w:rPr>
        <w:t xml:space="preserve"> explores: ‘the psychic complexity of the infant’s dependence on the maternal breast means that the arrival into “love” is never innocently given but instead part of a defensive maneuver against the infant’s own murderous impulses toward the projections and part-o</w:t>
      </w:r>
      <w:r w:rsidR="00316224">
        <w:rPr>
          <w:rFonts w:ascii="Times New Roman" w:hAnsi="Times New Roman"/>
          <w:szCs w:val="24"/>
        </w:rPr>
        <w:t>bjects that make up its world’</w:t>
      </w:r>
      <w:r w:rsidR="001C4629" w:rsidRPr="003A68DA">
        <w:rPr>
          <w:rFonts w:ascii="Times New Roman" w:hAnsi="Times New Roman"/>
          <w:szCs w:val="24"/>
        </w:rPr>
        <w:t>.</w:t>
      </w:r>
      <w:r w:rsidR="00316224">
        <w:rPr>
          <w:rStyle w:val="FootnoteReference"/>
          <w:rFonts w:ascii="Times New Roman" w:hAnsi="Times New Roman"/>
          <w:szCs w:val="24"/>
        </w:rPr>
        <w:footnoteReference w:id="35"/>
      </w:r>
      <w:r>
        <w:rPr>
          <w:rFonts w:ascii="Times New Roman" w:hAnsi="Times New Roman"/>
          <w:szCs w:val="24"/>
        </w:rPr>
        <w:t xml:space="preserve"> </w:t>
      </w:r>
      <w:r w:rsidR="001C4629" w:rsidRPr="003A68DA">
        <w:rPr>
          <w:rFonts w:ascii="Times New Roman" w:hAnsi="Times New Roman"/>
          <w:szCs w:val="24"/>
        </w:rPr>
        <w:t xml:space="preserve">Indeed, as Klein herself stresses, ‘feelings of love and tendencies of reparation develop in connection with aggressive </w:t>
      </w:r>
      <w:r w:rsidR="00316224">
        <w:rPr>
          <w:rFonts w:ascii="Times New Roman" w:hAnsi="Times New Roman"/>
          <w:szCs w:val="24"/>
        </w:rPr>
        <w:t>impulses and in spite of them’</w:t>
      </w:r>
      <w:r w:rsidR="005D5DFD">
        <w:rPr>
          <w:rFonts w:ascii="Times New Roman" w:hAnsi="Times New Roman"/>
          <w:szCs w:val="24"/>
        </w:rPr>
        <w:t>.</w:t>
      </w:r>
      <w:r w:rsidR="00316224">
        <w:rPr>
          <w:rStyle w:val="FootnoteReference"/>
          <w:rFonts w:ascii="Times New Roman" w:hAnsi="Times New Roman"/>
          <w:szCs w:val="24"/>
        </w:rPr>
        <w:footnoteReference w:id="36"/>
      </w:r>
      <w:r>
        <w:rPr>
          <w:rFonts w:ascii="Times New Roman" w:hAnsi="Times New Roman"/>
          <w:szCs w:val="24"/>
        </w:rPr>
        <w:t xml:space="preserve"> </w:t>
      </w:r>
      <w:r w:rsidR="001C4629" w:rsidRPr="003A68DA">
        <w:rPr>
          <w:rFonts w:ascii="Times New Roman" w:hAnsi="Times New Roman"/>
          <w:szCs w:val="24"/>
        </w:rPr>
        <w:t xml:space="preserve">While Sedgwick </w:t>
      </w:r>
      <w:r w:rsidR="00171D5B" w:rsidRPr="003A68DA">
        <w:rPr>
          <w:rFonts w:ascii="Times New Roman" w:hAnsi="Times New Roman"/>
          <w:szCs w:val="24"/>
        </w:rPr>
        <w:t xml:space="preserve">certainly </w:t>
      </w:r>
      <w:r w:rsidR="00B84EEC" w:rsidRPr="003A68DA">
        <w:rPr>
          <w:rFonts w:ascii="Times New Roman" w:hAnsi="Times New Roman"/>
          <w:szCs w:val="24"/>
        </w:rPr>
        <w:t>recognis</w:t>
      </w:r>
      <w:r w:rsidR="001C4629" w:rsidRPr="003A68DA">
        <w:rPr>
          <w:rFonts w:ascii="Times New Roman" w:hAnsi="Times New Roman"/>
          <w:szCs w:val="24"/>
        </w:rPr>
        <w:t>ed this</w:t>
      </w:r>
      <w:r w:rsidR="00742625" w:rsidRPr="003A68DA">
        <w:rPr>
          <w:rFonts w:ascii="Times New Roman" w:hAnsi="Times New Roman"/>
          <w:szCs w:val="24"/>
        </w:rPr>
        <w:t xml:space="preserve"> complexity and ambivalence</w:t>
      </w:r>
      <w:r w:rsidR="00171D5B" w:rsidRPr="003A68DA">
        <w:rPr>
          <w:rFonts w:ascii="Times New Roman" w:hAnsi="Times New Roman"/>
          <w:szCs w:val="24"/>
        </w:rPr>
        <w:t>, Wiegman argues</w:t>
      </w:r>
      <w:r w:rsidR="001C4629" w:rsidRPr="003A68DA">
        <w:rPr>
          <w:rFonts w:ascii="Times New Roman" w:hAnsi="Times New Roman"/>
          <w:szCs w:val="24"/>
        </w:rPr>
        <w:t>, she ‘avoided grappling at length with the less salv</w:t>
      </w:r>
      <w:r w:rsidR="00171D5B" w:rsidRPr="003A68DA">
        <w:rPr>
          <w:rFonts w:ascii="Times New Roman" w:hAnsi="Times New Roman"/>
          <w:szCs w:val="24"/>
        </w:rPr>
        <w:t>if</w:t>
      </w:r>
      <w:r w:rsidR="00316224">
        <w:rPr>
          <w:rFonts w:ascii="Times New Roman" w:hAnsi="Times New Roman"/>
          <w:szCs w:val="24"/>
        </w:rPr>
        <w:t>ic implications of reparation’</w:t>
      </w:r>
      <w:r w:rsidR="00171D5B" w:rsidRPr="003A68DA">
        <w:rPr>
          <w:rFonts w:ascii="Times New Roman" w:hAnsi="Times New Roman"/>
          <w:szCs w:val="24"/>
        </w:rPr>
        <w:t>.</w:t>
      </w:r>
      <w:r w:rsidR="00316224">
        <w:rPr>
          <w:rStyle w:val="FootnoteReference"/>
          <w:rFonts w:ascii="Times New Roman" w:hAnsi="Times New Roman"/>
          <w:szCs w:val="24"/>
        </w:rPr>
        <w:footnoteReference w:id="37"/>
      </w:r>
      <w:r>
        <w:rPr>
          <w:rFonts w:ascii="Times New Roman" w:hAnsi="Times New Roman"/>
          <w:szCs w:val="24"/>
        </w:rPr>
        <w:t xml:space="preserve"> </w:t>
      </w:r>
      <w:r w:rsidR="001C4629" w:rsidRPr="003A68DA">
        <w:rPr>
          <w:rFonts w:ascii="Times New Roman" w:hAnsi="Times New Roman"/>
          <w:szCs w:val="24"/>
        </w:rPr>
        <w:t xml:space="preserve">Similarly, Stacey </w:t>
      </w:r>
      <w:r w:rsidR="00B84EEC" w:rsidRPr="003A68DA">
        <w:rPr>
          <w:rFonts w:ascii="Times New Roman" w:hAnsi="Times New Roman"/>
          <w:szCs w:val="24"/>
        </w:rPr>
        <w:t xml:space="preserve">is concerned with ‘the wishing away of ambivalence’ that seems to motivate many contemporary </w:t>
      </w:r>
      <w:r w:rsidR="00171D5B" w:rsidRPr="003A68DA">
        <w:rPr>
          <w:rFonts w:ascii="Times New Roman" w:hAnsi="Times New Roman"/>
          <w:szCs w:val="24"/>
        </w:rPr>
        <w:t xml:space="preserve">critical uses </w:t>
      </w:r>
      <w:r w:rsidR="00316224">
        <w:rPr>
          <w:rFonts w:ascii="Times New Roman" w:hAnsi="Times New Roman"/>
          <w:szCs w:val="24"/>
        </w:rPr>
        <w:t>of ‘the reparative’</w:t>
      </w:r>
      <w:r w:rsidR="00B84EEC" w:rsidRPr="003A68DA">
        <w:rPr>
          <w:rFonts w:ascii="Times New Roman" w:hAnsi="Times New Roman"/>
          <w:szCs w:val="24"/>
        </w:rPr>
        <w:t>.</w:t>
      </w:r>
      <w:r>
        <w:rPr>
          <w:rFonts w:ascii="Times New Roman" w:hAnsi="Times New Roman"/>
          <w:szCs w:val="24"/>
        </w:rPr>
        <w:t xml:space="preserve"> </w:t>
      </w:r>
      <w:r w:rsidR="00B84EEC" w:rsidRPr="006A27A9">
        <w:rPr>
          <w:rFonts w:ascii="Times New Roman" w:hAnsi="Times New Roman"/>
          <w:szCs w:val="24"/>
        </w:rPr>
        <w:t>That is, how ‘</w:t>
      </w:r>
      <w:r w:rsidR="001C4629" w:rsidRPr="006A27A9">
        <w:rPr>
          <w:rFonts w:ascii="Times New Roman" w:hAnsi="Times New Roman"/>
          <w:szCs w:val="24"/>
        </w:rPr>
        <w:t xml:space="preserve">the </w:t>
      </w:r>
      <w:r w:rsidR="00B84EEC" w:rsidRPr="006A27A9">
        <w:rPr>
          <w:rFonts w:ascii="Times New Roman" w:hAnsi="Times New Roman"/>
          <w:szCs w:val="24"/>
        </w:rPr>
        <w:t>mobilisation of the concept of “reparation”</w:t>
      </w:r>
      <w:r w:rsidR="001C4629" w:rsidRPr="006A27A9">
        <w:rPr>
          <w:rFonts w:ascii="Times New Roman" w:hAnsi="Times New Roman"/>
          <w:szCs w:val="24"/>
        </w:rPr>
        <w:t xml:space="preserve"> as a reading practice installs a non-ambivalent subject, removed from its psychoanalytic grounding and thereby losing some vital insights about how our conflicted relations to objects might continue to inform our attachments to culture</w:t>
      </w:r>
      <w:r w:rsidR="00316224" w:rsidRPr="006A27A9">
        <w:rPr>
          <w:rFonts w:ascii="Times New Roman" w:hAnsi="Times New Roman"/>
          <w:szCs w:val="24"/>
        </w:rPr>
        <w:t>’</w:t>
      </w:r>
      <w:r w:rsidR="00B84EEC" w:rsidRPr="006A27A9">
        <w:rPr>
          <w:rFonts w:ascii="Times New Roman" w:hAnsi="Times New Roman"/>
          <w:szCs w:val="24"/>
        </w:rPr>
        <w:t>.</w:t>
      </w:r>
      <w:r w:rsidR="007A35C7">
        <w:rPr>
          <w:rStyle w:val="FootnoteReference"/>
          <w:rFonts w:ascii="Times New Roman" w:hAnsi="Times New Roman"/>
          <w:szCs w:val="24"/>
        </w:rPr>
        <w:footnoteReference w:id="38"/>
      </w:r>
      <w:r>
        <w:rPr>
          <w:rFonts w:ascii="Times New Roman" w:hAnsi="Times New Roman"/>
          <w:szCs w:val="24"/>
        </w:rPr>
        <w:t xml:space="preserve"> </w:t>
      </w:r>
      <w:r w:rsidR="0083320E" w:rsidRPr="006A27A9">
        <w:rPr>
          <w:rFonts w:ascii="Times New Roman" w:hAnsi="Times New Roman"/>
          <w:szCs w:val="24"/>
        </w:rPr>
        <w:t>T</w:t>
      </w:r>
      <w:r w:rsidR="0083320E" w:rsidRPr="003A68DA">
        <w:rPr>
          <w:rFonts w:ascii="Times New Roman" w:hAnsi="Times New Roman"/>
          <w:szCs w:val="24"/>
        </w:rPr>
        <w:t>hus, in</w:t>
      </w:r>
      <w:r w:rsidR="00B84EEC" w:rsidRPr="003A68DA">
        <w:rPr>
          <w:rFonts w:ascii="Times New Roman" w:hAnsi="Times New Roman"/>
          <w:szCs w:val="24"/>
        </w:rPr>
        <w:t xml:space="preserve"> ‘making their case for a textual encounter predicated on love</w:t>
      </w:r>
      <w:r w:rsidR="00316224">
        <w:rPr>
          <w:rFonts w:ascii="Times New Roman" w:hAnsi="Times New Roman"/>
          <w:szCs w:val="24"/>
        </w:rPr>
        <w:t>’</w:t>
      </w:r>
      <w:r w:rsidR="00316224">
        <w:rPr>
          <w:rStyle w:val="FootnoteReference"/>
          <w:rFonts w:ascii="Times New Roman" w:hAnsi="Times New Roman"/>
          <w:szCs w:val="24"/>
        </w:rPr>
        <w:footnoteReference w:id="39"/>
      </w:r>
      <w:r w:rsidR="0083320E" w:rsidRPr="003A68DA">
        <w:rPr>
          <w:rFonts w:ascii="Times New Roman" w:hAnsi="Times New Roman"/>
          <w:szCs w:val="24"/>
        </w:rPr>
        <w:t xml:space="preserve">, advocates of </w:t>
      </w:r>
      <w:r w:rsidR="00E24C6B" w:rsidRPr="003A68DA">
        <w:rPr>
          <w:rFonts w:ascii="Times New Roman" w:hAnsi="Times New Roman"/>
          <w:szCs w:val="24"/>
        </w:rPr>
        <w:t xml:space="preserve">the </w:t>
      </w:r>
      <w:r w:rsidR="0083320E" w:rsidRPr="003A68DA">
        <w:rPr>
          <w:rFonts w:ascii="Times New Roman" w:hAnsi="Times New Roman"/>
          <w:szCs w:val="24"/>
        </w:rPr>
        <w:t>reparative turn</w:t>
      </w:r>
      <w:r w:rsidR="00E24C6B" w:rsidRPr="003A68DA">
        <w:rPr>
          <w:rFonts w:ascii="Times New Roman" w:hAnsi="Times New Roman"/>
          <w:szCs w:val="24"/>
        </w:rPr>
        <w:t xml:space="preserve"> may problematically elide or contain psychic conflict and affective ambivalence, effecting a</w:t>
      </w:r>
      <w:r w:rsidR="0083320E" w:rsidRPr="003A68DA">
        <w:rPr>
          <w:rFonts w:ascii="Times New Roman" w:hAnsi="Times New Roman"/>
          <w:szCs w:val="24"/>
        </w:rPr>
        <w:t xml:space="preserve"> split </w:t>
      </w:r>
      <w:r w:rsidR="00E24C6B" w:rsidRPr="003A68DA">
        <w:rPr>
          <w:rFonts w:ascii="Times New Roman" w:hAnsi="Times New Roman"/>
          <w:szCs w:val="24"/>
        </w:rPr>
        <w:t>between ‘</w:t>
      </w:r>
      <w:r w:rsidR="0083320E" w:rsidRPr="003A68DA">
        <w:rPr>
          <w:rFonts w:ascii="Times New Roman" w:hAnsi="Times New Roman"/>
          <w:szCs w:val="24"/>
        </w:rPr>
        <w:t>good</w:t>
      </w:r>
      <w:r w:rsidR="00E24C6B" w:rsidRPr="003A68DA">
        <w:rPr>
          <w:rFonts w:ascii="Times New Roman" w:hAnsi="Times New Roman"/>
          <w:szCs w:val="24"/>
        </w:rPr>
        <w:t>’</w:t>
      </w:r>
      <w:r w:rsidR="0083320E" w:rsidRPr="003A68DA">
        <w:rPr>
          <w:rFonts w:ascii="Times New Roman" w:hAnsi="Times New Roman"/>
          <w:szCs w:val="24"/>
        </w:rPr>
        <w:t xml:space="preserve"> and </w:t>
      </w:r>
      <w:r w:rsidR="00E24C6B" w:rsidRPr="003A68DA">
        <w:rPr>
          <w:rFonts w:ascii="Times New Roman" w:hAnsi="Times New Roman"/>
          <w:szCs w:val="24"/>
        </w:rPr>
        <w:t>‘</w:t>
      </w:r>
      <w:r w:rsidR="0083320E" w:rsidRPr="003A68DA">
        <w:rPr>
          <w:rFonts w:ascii="Times New Roman" w:hAnsi="Times New Roman"/>
          <w:szCs w:val="24"/>
        </w:rPr>
        <w:t>bad</w:t>
      </w:r>
      <w:r w:rsidR="00E24C6B" w:rsidRPr="003A68DA">
        <w:rPr>
          <w:rFonts w:ascii="Times New Roman" w:hAnsi="Times New Roman"/>
          <w:szCs w:val="24"/>
        </w:rPr>
        <w:t>’</w:t>
      </w:r>
      <w:r w:rsidR="0083320E" w:rsidRPr="003A68DA">
        <w:rPr>
          <w:rFonts w:ascii="Times New Roman" w:hAnsi="Times New Roman"/>
          <w:szCs w:val="24"/>
        </w:rPr>
        <w:t xml:space="preserve"> </w:t>
      </w:r>
      <w:r w:rsidR="00CC789A" w:rsidRPr="003A68DA">
        <w:rPr>
          <w:rFonts w:ascii="Times New Roman" w:hAnsi="Times New Roman"/>
          <w:szCs w:val="24"/>
        </w:rPr>
        <w:t>objects.</w:t>
      </w:r>
      <w:r>
        <w:rPr>
          <w:rFonts w:ascii="Times New Roman" w:hAnsi="Times New Roman"/>
          <w:szCs w:val="24"/>
        </w:rPr>
        <w:t xml:space="preserve"> </w:t>
      </w:r>
      <w:r w:rsidR="0051110C" w:rsidRPr="003A68DA">
        <w:rPr>
          <w:rFonts w:ascii="Times New Roman" w:hAnsi="Times New Roman"/>
          <w:szCs w:val="24"/>
        </w:rPr>
        <w:t>Both Wiegman and Stacey are therefore particularly interested in how reparative</w:t>
      </w:r>
      <w:r w:rsidR="00EB7EC6" w:rsidRPr="003A68DA">
        <w:rPr>
          <w:rFonts w:ascii="Times New Roman" w:hAnsi="Times New Roman"/>
          <w:szCs w:val="24"/>
        </w:rPr>
        <w:t xml:space="preserve"> reading might work differently to</w:t>
      </w:r>
      <w:r w:rsidR="0051110C" w:rsidRPr="003A68DA">
        <w:rPr>
          <w:rFonts w:ascii="Times New Roman" w:hAnsi="Times New Roman"/>
          <w:szCs w:val="24"/>
        </w:rPr>
        <w:t xml:space="preserve"> </w:t>
      </w:r>
      <w:r w:rsidR="00EB7EC6" w:rsidRPr="003A68DA">
        <w:rPr>
          <w:rFonts w:ascii="Times New Roman" w:hAnsi="Times New Roman"/>
          <w:szCs w:val="24"/>
        </w:rPr>
        <w:t>‘</w:t>
      </w:r>
      <w:r w:rsidR="0051110C" w:rsidRPr="003A68DA">
        <w:rPr>
          <w:rFonts w:ascii="Times New Roman" w:hAnsi="Times New Roman"/>
          <w:szCs w:val="24"/>
        </w:rPr>
        <w:t xml:space="preserve">provide a conceptual model for reading that is </w:t>
      </w:r>
      <w:r w:rsidR="0051110C" w:rsidRPr="003A68DA">
        <w:rPr>
          <w:rFonts w:ascii="Times New Roman" w:hAnsi="Times New Roman"/>
          <w:i/>
          <w:szCs w:val="24"/>
        </w:rPr>
        <w:t>grounded in ambivalence</w:t>
      </w:r>
      <w:r w:rsidR="0051110C" w:rsidRPr="003A68DA">
        <w:rPr>
          <w:rFonts w:ascii="Times New Roman" w:hAnsi="Times New Roman"/>
          <w:szCs w:val="24"/>
        </w:rPr>
        <w:t>’ – a possibility that seems ‘especially appropriate for a queer feminist cri</w:t>
      </w:r>
      <w:r w:rsidR="00316224">
        <w:rPr>
          <w:rFonts w:ascii="Times New Roman" w:hAnsi="Times New Roman"/>
          <w:szCs w:val="24"/>
        </w:rPr>
        <w:t>ticism at this current moment’</w:t>
      </w:r>
      <w:r w:rsidR="0051110C" w:rsidRPr="003A68DA">
        <w:rPr>
          <w:rFonts w:ascii="Times New Roman" w:hAnsi="Times New Roman"/>
          <w:szCs w:val="24"/>
        </w:rPr>
        <w:t>.</w:t>
      </w:r>
      <w:r w:rsidR="00316224">
        <w:rPr>
          <w:rStyle w:val="FootnoteReference"/>
          <w:rFonts w:ascii="Times New Roman" w:hAnsi="Times New Roman"/>
          <w:szCs w:val="24"/>
        </w:rPr>
        <w:footnoteReference w:id="40"/>
      </w:r>
      <w:r>
        <w:rPr>
          <w:rFonts w:ascii="Times New Roman" w:hAnsi="Times New Roman"/>
          <w:szCs w:val="24"/>
        </w:rPr>
        <w:t xml:space="preserve"> </w:t>
      </w:r>
    </w:p>
    <w:p w14:paraId="682E7378" w14:textId="716F76BB" w:rsidR="007673A9" w:rsidRPr="007673A9" w:rsidRDefault="00065026" w:rsidP="00F504EB">
      <w:pPr>
        <w:pStyle w:val="FreeFormA"/>
        <w:ind w:firstLine="720"/>
        <w:rPr>
          <w:rFonts w:ascii="Times New Roman" w:hAnsi="Times New Roman"/>
          <w:szCs w:val="24"/>
        </w:rPr>
      </w:pPr>
      <w:r>
        <w:rPr>
          <w:rFonts w:ascii="Times New Roman" w:hAnsi="Times New Roman"/>
          <w:szCs w:val="24"/>
        </w:rPr>
        <w:t>The</w:t>
      </w:r>
      <w:r w:rsidR="00D230D4">
        <w:rPr>
          <w:rFonts w:ascii="Times New Roman" w:hAnsi="Times New Roman"/>
          <w:szCs w:val="24"/>
        </w:rPr>
        <w:t xml:space="preserve"> </w:t>
      </w:r>
      <w:r>
        <w:rPr>
          <w:rFonts w:ascii="Times New Roman" w:hAnsi="Times New Roman"/>
          <w:szCs w:val="24"/>
        </w:rPr>
        <w:t xml:space="preserve">following </w:t>
      </w:r>
      <w:r w:rsidR="00D230D4">
        <w:rPr>
          <w:rFonts w:ascii="Times New Roman" w:hAnsi="Times New Roman"/>
          <w:szCs w:val="24"/>
        </w:rPr>
        <w:t xml:space="preserve">sections pursue </w:t>
      </w:r>
      <w:r w:rsidR="005F4B0F">
        <w:rPr>
          <w:rFonts w:ascii="Times New Roman" w:hAnsi="Times New Roman"/>
          <w:szCs w:val="24"/>
        </w:rPr>
        <w:t xml:space="preserve">this question of </w:t>
      </w:r>
      <w:r w:rsidR="00480D18">
        <w:rPr>
          <w:rFonts w:ascii="Times New Roman" w:hAnsi="Times New Roman"/>
          <w:szCs w:val="24"/>
        </w:rPr>
        <w:t xml:space="preserve">how we can </w:t>
      </w:r>
      <w:r w:rsidR="007673A9" w:rsidRPr="007673A9">
        <w:rPr>
          <w:rFonts w:ascii="Times New Roman" w:hAnsi="Times New Roman"/>
          <w:szCs w:val="24"/>
        </w:rPr>
        <w:t xml:space="preserve">negotiate </w:t>
      </w:r>
      <w:r w:rsidR="007673A9">
        <w:rPr>
          <w:rFonts w:ascii="Times New Roman" w:hAnsi="Times New Roman"/>
          <w:szCs w:val="24"/>
        </w:rPr>
        <w:t xml:space="preserve">affective </w:t>
      </w:r>
      <w:r w:rsidR="007673A9" w:rsidRPr="007673A9">
        <w:rPr>
          <w:rFonts w:ascii="Times New Roman" w:hAnsi="Times New Roman"/>
          <w:szCs w:val="24"/>
        </w:rPr>
        <w:t>ambivalence in</w:t>
      </w:r>
      <w:r w:rsidR="00480D18">
        <w:rPr>
          <w:rFonts w:ascii="Times New Roman" w:hAnsi="Times New Roman"/>
          <w:szCs w:val="24"/>
        </w:rPr>
        <w:t xml:space="preserve"> and through</w:t>
      </w:r>
      <w:r w:rsidR="007673A9" w:rsidRPr="007673A9">
        <w:rPr>
          <w:rFonts w:ascii="Times New Roman" w:hAnsi="Times New Roman"/>
          <w:szCs w:val="24"/>
        </w:rPr>
        <w:t xml:space="preserve"> cu</w:t>
      </w:r>
      <w:r w:rsidR="00480D18">
        <w:rPr>
          <w:rFonts w:ascii="Times New Roman" w:hAnsi="Times New Roman"/>
          <w:szCs w:val="24"/>
        </w:rPr>
        <w:t>ltural theory</w:t>
      </w:r>
      <w:r w:rsidR="005F4B0F">
        <w:rPr>
          <w:rFonts w:ascii="Times New Roman" w:hAnsi="Times New Roman"/>
          <w:szCs w:val="24"/>
        </w:rPr>
        <w:t xml:space="preserve"> -</w:t>
      </w:r>
      <w:r w:rsidR="00480D18">
        <w:rPr>
          <w:rFonts w:ascii="Times New Roman" w:hAnsi="Times New Roman"/>
          <w:szCs w:val="24"/>
        </w:rPr>
        <w:t xml:space="preserve"> in ways that</w:t>
      </w:r>
      <w:r w:rsidR="007673A9" w:rsidRPr="007673A9">
        <w:rPr>
          <w:rFonts w:ascii="Times New Roman" w:hAnsi="Times New Roman"/>
          <w:szCs w:val="24"/>
        </w:rPr>
        <w:t xml:space="preserve"> include and </w:t>
      </w:r>
      <w:r w:rsidR="00510C9B">
        <w:rPr>
          <w:rFonts w:ascii="Times New Roman" w:hAnsi="Times New Roman"/>
          <w:szCs w:val="24"/>
        </w:rPr>
        <w:t xml:space="preserve">but also </w:t>
      </w:r>
      <w:r w:rsidR="007673A9" w:rsidRPr="007673A9">
        <w:rPr>
          <w:rFonts w:ascii="Times New Roman" w:hAnsi="Times New Roman"/>
          <w:szCs w:val="24"/>
        </w:rPr>
        <w:t>exce</w:t>
      </w:r>
      <w:r w:rsidR="004762DD">
        <w:rPr>
          <w:rFonts w:ascii="Times New Roman" w:hAnsi="Times New Roman"/>
          <w:szCs w:val="24"/>
        </w:rPr>
        <w:t>ed reparative frameworks (and psychoanalytic models more generally).</w:t>
      </w:r>
      <w:r w:rsidR="004765AF">
        <w:rPr>
          <w:rFonts w:ascii="Times New Roman" w:hAnsi="Times New Roman"/>
          <w:szCs w:val="24"/>
        </w:rPr>
        <w:t xml:space="preserve"> </w:t>
      </w:r>
      <w:r w:rsidR="00282076">
        <w:rPr>
          <w:rFonts w:ascii="Times New Roman" w:hAnsi="Times New Roman"/>
          <w:szCs w:val="24"/>
        </w:rPr>
        <w:t>In particular, I explore</w:t>
      </w:r>
      <w:r w:rsidR="007673A9">
        <w:rPr>
          <w:rFonts w:ascii="Times New Roman" w:hAnsi="Times New Roman"/>
          <w:szCs w:val="24"/>
        </w:rPr>
        <w:t xml:space="preserve"> how attention to mood and translation</w:t>
      </w:r>
      <w:r w:rsidR="00480D18">
        <w:rPr>
          <w:rFonts w:ascii="Times New Roman" w:hAnsi="Times New Roman"/>
          <w:szCs w:val="24"/>
        </w:rPr>
        <w:t>, alongside reparation,</w:t>
      </w:r>
      <w:r w:rsidR="007673A9">
        <w:rPr>
          <w:rFonts w:ascii="Times New Roman" w:hAnsi="Times New Roman"/>
          <w:szCs w:val="24"/>
        </w:rPr>
        <w:t xml:space="preserve"> might contribute to practices of mood wo</w:t>
      </w:r>
      <w:r w:rsidR="00282076">
        <w:rPr>
          <w:rFonts w:ascii="Times New Roman" w:hAnsi="Times New Roman"/>
          <w:szCs w:val="24"/>
        </w:rPr>
        <w:t xml:space="preserve">rk in cultural studies with the capacity to inhabit </w:t>
      </w:r>
      <w:r w:rsidR="004762DD">
        <w:rPr>
          <w:rFonts w:ascii="Times New Roman" w:hAnsi="Times New Roman"/>
          <w:szCs w:val="24"/>
        </w:rPr>
        <w:t xml:space="preserve">complexity, contradiction and mixed feelings </w:t>
      </w:r>
      <w:r w:rsidR="00282076">
        <w:rPr>
          <w:rFonts w:ascii="Times New Roman" w:hAnsi="Times New Roman"/>
          <w:szCs w:val="24"/>
        </w:rPr>
        <w:t>which may not always be amenable to repair.</w:t>
      </w:r>
      <w:r w:rsidR="004765AF">
        <w:rPr>
          <w:rFonts w:ascii="Times New Roman" w:hAnsi="Times New Roman"/>
          <w:szCs w:val="24"/>
        </w:rPr>
        <w:t xml:space="preserve"> </w:t>
      </w:r>
      <w:r w:rsidR="00363186">
        <w:rPr>
          <w:rFonts w:ascii="Times New Roman" w:hAnsi="Times New Roman"/>
          <w:szCs w:val="24"/>
        </w:rPr>
        <w:t xml:space="preserve"> </w:t>
      </w:r>
    </w:p>
    <w:p w14:paraId="2075467A" w14:textId="77777777" w:rsidR="001E1998" w:rsidRDefault="001E1998" w:rsidP="00F504EB">
      <w:pPr>
        <w:pStyle w:val="FreeFormA"/>
        <w:rPr>
          <w:rFonts w:ascii="Times New Roman" w:hAnsi="Times New Roman"/>
          <w:b/>
          <w:szCs w:val="24"/>
        </w:rPr>
      </w:pPr>
    </w:p>
    <w:p w14:paraId="73F9C30A" w14:textId="4FBC5663" w:rsidR="00F504EB" w:rsidRPr="00F504EB" w:rsidRDefault="00F504EB" w:rsidP="00F504EB">
      <w:pPr>
        <w:pStyle w:val="FreeFormA"/>
        <w:rPr>
          <w:rFonts w:ascii="Times New Roman" w:hAnsi="Times New Roman"/>
          <w:szCs w:val="24"/>
        </w:rPr>
      </w:pPr>
      <w:r w:rsidRPr="00F504EB">
        <w:rPr>
          <w:rFonts w:ascii="Times New Roman" w:hAnsi="Times New Roman"/>
          <w:szCs w:val="24"/>
        </w:rPr>
        <w:t>TRANSLATING MOODS</w:t>
      </w:r>
    </w:p>
    <w:p w14:paraId="0E56A786" w14:textId="77777777" w:rsidR="00510C9B" w:rsidRPr="00F504EB" w:rsidRDefault="00510C9B" w:rsidP="00F504EB">
      <w:pPr>
        <w:pStyle w:val="FreeFormA"/>
        <w:rPr>
          <w:rFonts w:ascii="Times New Roman" w:hAnsi="Times New Roman"/>
          <w:szCs w:val="24"/>
        </w:rPr>
      </w:pPr>
    </w:p>
    <w:p w14:paraId="5AA332F7" w14:textId="3CBA290C" w:rsidR="00482E54" w:rsidRDefault="001E1998" w:rsidP="00F504EB">
      <w:pPr>
        <w:pStyle w:val="FreeFormA"/>
        <w:rPr>
          <w:rFonts w:ascii="Times New Roman" w:hAnsi="Times New Roman"/>
          <w:szCs w:val="24"/>
        </w:rPr>
      </w:pPr>
      <w:r>
        <w:rPr>
          <w:rFonts w:ascii="Times New Roman" w:hAnsi="Times New Roman"/>
          <w:szCs w:val="24"/>
        </w:rPr>
        <w:t>In conjunction with</w:t>
      </w:r>
      <w:r w:rsidR="00016FC5">
        <w:rPr>
          <w:rFonts w:ascii="Times New Roman" w:hAnsi="Times New Roman"/>
          <w:szCs w:val="24"/>
        </w:rPr>
        <w:t xml:space="preserve"> reflecting on</w:t>
      </w:r>
      <w:r w:rsidR="004E3A94" w:rsidRPr="005475B6">
        <w:rPr>
          <w:rFonts w:ascii="Times New Roman" w:hAnsi="Times New Roman"/>
          <w:szCs w:val="24"/>
        </w:rPr>
        <w:t xml:space="preserve"> th</w:t>
      </w:r>
      <w:r w:rsidR="00DB4008">
        <w:rPr>
          <w:rFonts w:ascii="Times New Roman" w:hAnsi="Times New Roman"/>
          <w:szCs w:val="24"/>
        </w:rPr>
        <w:t>e mood</w:t>
      </w:r>
      <w:r w:rsidR="00482E54">
        <w:rPr>
          <w:rFonts w:ascii="Times New Roman" w:hAnsi="Times New Roman"/>
          <w:szCs w:val="24"/>
        </w:rPr>
        <w:t>s</w:t>
      </w:r>
      <w:r w:rsidR="00DB4008">
        <w:rPr>
          <w:rFonts w:ascii="Times New Roman" w:hAnsi="Times New Roman"/>
          <w:szCs w:val="24"/>
        </w:rPr>
        <w:t xml:space="preserve"> through which we </w:t>
      </w:r>
      <w:r w:rsidR="00482E54">
        <w:rPr>
          <w:rFonts w:ascii="Times New Roman" w:hAnsi="Times New Roman"/>
          <w:szCs w:val="24"/>
        </w:rPr>
        <w:t xml:space="preserve">encounter </w:t>
      </w:r>
      <w:r w:rsidR="004E3A94" w:rsidRPr="005475B6">
        <w:rPr>
          <w:rFonts w:ascii="Times New Roman" w:hAnsi="Times New Roman"/>
          <w:szCs w:val="24"/>
        </w:rPr>
        <w:t>text</w:t>
      </w:r>
      <w:r w:rsidR="00482E54">
        <w:rPr>
          <w:rFonts w:ascii="Times New Roman" w:hAnsi="Times New Roman"/>
          <w:szCs w:val="24"/>
        </w:rPr>
        <w:t>s</w:t>
      </w:r>
      <w:r w:rsidR="004E3A94" w:rsidRPr="005475B6">
        <w:rPr>
          <w:rFonts w:ascii="Times New Roman" w:hAnsi="Times New Roman"/>
          <w:szCs w:val="24"/>
        </w:rPr>
        <w:t xml:space="preserve"> and how particular texts </w:t>
      </w:r>
      <w:r w:rsidR="00DB4008">
        <w:rPr>
          <w:rFonts w:ascii="Times New Roman" w:hAnsi="Times New Roman"/>
          <w:szCs w:val="24"/>
        </w:rPr>
        <w:t xml:space="preserve">make us feel, </w:t>
      </w:r>
      <w:r w:rsidR="00EB7EC6">
        <w:rPr>
          <w:rFonts w:ascii="Times New Roman" w:hAnsi="Times New Roman"/>
          <w:szCs w:val="24"/>
        </w:rPr>
        <w:t xml:space="preserve">scholars have also </w:t>
      </w:r>
      <w:r w:rsidR="007D24DE">
        <w:rPr>
          <w:rFonts w:ascii="Times New Roman" w:hAnsi="Times New Roman"/>
          <w:szCs w:val="24"/>
        </w:rPr>
        <w:t xml:space="preserve">examined </w:t>
      </w:r>
      <w:r w:rsidR="002E2AD0" w:rsidRPr="005475B6">
        <w:rPr>
          <w:rFonts w:ascii="Times New Roman" w:hAnsi="Times New Roman"/>
          <w:szCs w:val="24"/>
        </w:rPr>
        <w:t xml:space="preserve">the </w:t>
      </w:r>
      <w:r w:rsidR="004E3A94" w:rsidRPr="005475B6">
        <w:rPr>
          <w:rFonts w:ascii="Times New Roman" w:hAnsi="Times New Roman"/>
          <w:szCs w:val="24"/>
        </w:rPr>
        <w:t>mood</w:t>
      </w:r>
      <w:r w:rsidR="002E2AD0" w:rsidRPr="005475B6">
        <w:rPr>
          <w:rFonts w:ascii="Times New Roman" w:hAnsi="Times New Roman"/>
          <w:szCs w:val="24"/>
        </w:rPr>
        <w:t>s</w:t>
      </w:r>
      <w:r w:rsidR="004E3A94" w:rsidRPr="005475B6">
        <w:rPr>
          <w:rFonts w:ascii="Times New Roman" w:hAnsi="Times New Roman"/>
          <w:szCs w:val="24"/>
        </w:rPr>
        <w:t xml:space="preserve"> of </w:t>
      </w:r>
      <w:r w:rsidR="00016FC5">
        <w:rPr>
          <w:rFonts w:ascii="Times New Roman" w:hAnsi="Times New Roman"/>
          <w:szCs w:val="24"/>
        </w:rPr>
        <w:t>various</w:t>
      </w:r>
      <w:r w:rsidR="00E24C6B" w:rsidRPr="005475B6">
        <w:rPr>
          <w:rFonts w:ascii="Times New Roman" w:hAnsi="Times New Roman"/>
          <w:szCs w:val="24"/>
        </w:rPr>
        <w:t xml:space="preserve"> </w:t>
      </w:r>
      <w:r w:rsidR="004E3A94" w:rsidRPr="005475B6">
        <w:rPr>
          <w:rFonts w:ascii="Times New Roman" w:hAnsi="Times New Roman"/>
          <w:szCs w:val="24"/>
        </w:rPr>
        <w:t>texts themselves.</w:t>
      </w:r>
      <w:r w:rsidR="004765AF">
        <w:rPr>
          <w:rFonts w:ascii="Times New Roman" w:hAnsi="Times New Roman"/>
          <w:szCs w:val="24"/>
        </w:rPr>
        <w:t xml:space="preserve"> </w:t>
      </w:r>
      <w:r w:rsidR="004E3A94" w:rsidRPr="005475B6">
        <w:rPr>
          <w:rFonts w:ascii="Times New Roman" w:hAnsi="Times New Roman"/>
          <w:szCs w:val="24"/>
        </w:rPr>
        <w:t>From Svendsen’s perspective, ‘If you are to truly unders</w:t>
      </w:r>
      <w:r w:rsidR="00016FC5">
        <w:rPr>
          <w:rFonts w:ascii="Times New Roman" w:hAnsi="Times New Roman"/>
          <w:szCs w:val="24"/>
        </w:rPr>
        <w:t>tand a philosophical text, then</w:t>
      </w:r>
      <w:r w:rsidR="004E3A94" w:rsidRPr="005475B6">
        <w:rPr>
          <w:rFonts w:ascii="Times New Roman" w:hAnsi="Times New Roman"/>
          <w:szCs w:val="24"/>
        </w:rPr>
        <w:t xml:space="preserve"> you must also somehow manage to come to term with its mood, because there will always be a mood of attunement at its </w:t>
      </w:r>
      <w:r w:rsidR="00316224">
        <w:rPr>
          <w:rFonts w:ascii="Times New Roman" w:hAnsi="Times New Roman"/>
          <w:szCs w:val="24"/>
        </w:rPr>
        <w:t>core’</w:t>
      </w:r>
      <w:r w:rsidR="004E3A94" w:rsidRPr="003A68DA">
        <w:rPr>
          <w:rFonts w:ascii="Times New Roman" w:hAnsi="Times New Roman"/>
          <w:szCs w:val="24"/>
        </w:rPr>
        <w:t>.</w:t>
      </w:r>
      <w:r w:rsidR="004765AF">
        <w:rPr>
          <w:rFonts w:ascii="Times New Roman" w:hAnsi="Times New Roman"/>
          <w:szCs w:val="24"/>
        </w:rPr>
        <w:t xml:space="preserve"> </w:t>
      </w:r>
      <w:r w:rsidR="0025589A" w:rsidRPr="003A68DA">
        <w:rPr>
          <w:rFonts w:ascii="Times New Roman" w:hAnsi="Times New Roman"/>
          <w:szCs w:val="24"/>
        </w:rPr>
        <w:t>Moreover, he suggests, thi</w:t>
      </w:r>
      <w:r w:rsidR="00A72ADC" w:rsidRPr="003A68DA">
        <w:rPr>
          <w:rFonts w:ascii="Times New Roman" w:hAnsi="Times New Roman"/>
          <w:szCs w:val="24"/>
        </w:rPr>
        <w:t>s af</w:t>
      </w:r>
      <w:r w:rsidR="004E3A94" w:rsidRPr="003A68DA">
        <w:rPr>
          <w:rFonts w:ascii="Times New Roman" w:hAnsi="Times New Roman"/>
          <w:szCs w:val="24"/>
        </w:rPr>
        <w:t>fective process is always relational: ‘You will also be in a certain mood when attempting to interpret a text, and if your mood and</w:t>
      </w:r>
      <w:r w:rsidR="004E3A94" w:rsidRPr="005475B6">
        <w:rPr>
          <w:rFonts w:ascii="Times New Roman" w:hAnsi="Times New Roman"/>
          <w:szCs w:val="24"/>
        </w:rPr>
        <w:t xml:space="preserve"> the mood of the text are at odds with each other, there is the risk that the text simply will not “speak” to </w:t>
      </w:r>
      <w:r w:rsidR="00316224">
        <w:rPr>
          <w:rFonts w:ascii="Times New Roman" w:hAnsi="Times New Roman"/>
          <w:szCs w:val="24"/>
        </w:rPr>
        <w:lastRenderedPageBreak/>
        <w:t>you’</w:t>
      </w:r>
      <w:r w:rsidR="004E3A94" w:rsidRPr="003A68DA">
        <w:rPr>
          <w:rFonts w:ascii="Times New Roman" w:hAnsi="Times New Roman"/>
          <w:szCs w:val="24"/>
        </w:rPr>
        <w:t>.</w:t>
      </w:r>
      <w:r w:rsidR="007A35C7" w:rsidRPr="007A35C7">
        <w:rPr>
          <w:rStyle w:val="FootnoteReference"/>
          <w:rFonts w:ascii="Times New Roman" w:hAnsi="Times New Roman"/>
          <w:szCs w:val="24"/>
        </w:rPr>
        <w:t xml:space="preserve"> </w:t>
      </w:r>
      <w:r w:rsidR="007A35C7">
        <w:rPr>
          <w:rStyle w:val="FootnoteReference"/>
          <w:rFonts w:ascii="Times New Roman" w:hAnsi="Times New Roman"/>
          <w:szCs w:val="24"/>
        </w:rPr>
        <w:footnoteReference w:id="41"/>
      </w:r>
      <w:r w:rsidR="007A35C7">
        <w:rPr>
          <w:rFonts w:ascii="Times New Roman" w:hAnsi="Times New Roman"/>
          <w:szCs w:val="24"/>
        </w:rPr>
        <w:t xml:space="preserve"> </w:t>
      </w:r>
      <w:r w:rsidR="00560DE4">
        <w:rPr>
          <w:rFonts w:ascii="Times New Roman" w:hAnsi="Times New Roman"/>
          <w:szCs w:val="24"/>
        </w:rPr>
        <w:t xml:space="preserve">Although we might query whether texts can be said to convey </w:t>
      </w:r>
      <w:r w:rsidR="00316224">
        <w:rPr>
          <w:rFonts w:ascii="Times New Roman" w:hAnsi="Times New Roman"/>
          <w:szCs w:val="24"/>
        </w:rPr>
        <w:t xml:space="preserve">any </w:t>
      </w:r>
      <w:r w:rsidR="00560DE4">
        <w:rPr>
          <w:rFonts w:ascii="Times New Roman" w:hAnsi="Times New Roman"/>
          <w:szCs w:val="24"/>
        </w:rPr>
        <w:t xml:space="preserve">one singular mood, </w:t>
      </w:r>
      <w:r w:rsidR="00016FC5" w:rsidRPr="003A68DA">
        <w:rPr>
          <w:rFonts w:ascii="Times New Roman" w:hAnsi="Times New Roman"/>
          <w:szCs w:val="24"/>
        </w:rPr>
        <w:t xml:space="preserve">Svendesen’s comments </w:t>
      </w:r>
      <w:r w:rsidR="00DB4008" w:rsidRPr="003A68DA">
        <w:rPr>
          <w:rFonts w:ascii="Times New Roman" w:hAnsi="Times New Roman"/>
          <w:szCs w:val="24"/>
        </w:rPr>
        <w:t>raise some interesting</w:t>
      </w:r>
      <w:r w:rsidR="000C11D9" w:rsidRPr="003A68DA">
        <w:rPr>
          <w:rFonts w:ascii="Times New Roman" w:hAnsi="Times New Roman"/>
          <w:szCs w:val="24"/>
        </w:rPr>
        <w:t xml:space="preserve"> q</w:t>
      </w:r>
      <w:r w:rsidR="00DB4008" w:rsidRPr="003A68DA">
        <w:rPr>
          <w:rFonts w:ascii="Times New Roman" w:hAnsi="Times New Roman"/>
          <w:szCs w:val="24"/>
        </w:rPr>
        <w:t xml:space="preserve">uestions regarding the </w:t>
      </w:r>
      <w:r w:rsidR="004B6EDA" w:rsidRPr="003A68DA">
        <w:rPr>
          <w:rFonts w:ascii="Times New Roman" w:hAnsi="Times New Roman"/>
          <w:szCs w:val="24"/>
        </w:rPr>
        <w:t xml:space="preserve">logics </w:t>
      </w:r>
      <w:r w:rsidR="000C11D9" w:rsidRPr="003A68DA">
        <w:rPr>
          <w:rFonts w:ascii="Times New Roman" w:hAnsi="Times New Roman"/>
          <w:szCs w:val="24"/>
        </w:rPr>
        <w:t>of a repara</w:t>
      </w:r>
      <w:r w:rsidR="00DB4008" w:rsidRPr="003A68DA">
        <w:rPr>
          <w:rFonts w:ascii="Times New Roman" w:hAnsi="Times New Roman"/>
          <w:szCs w:val="24"/>
        </w:rPr>
        <w:t>tive</w:t>
      </w:r>
      <w:r w:rsidR="00DB4008">
        <w:rPr>
          <w:rFonts w:ascii="Times New Roman" w:hAnsi="Times New Roman"/>
          <w:szCs w:val="24"/>
        </w:rPr>
        <w:t xml:space="preserve"> ‘turn’ in cultural theory.</w:t>
      </w:r>
      <w:r w:rsidR="004765AF">
        <w:rPr>
          <w:rFonts w:ascii="Times New Roman" w:hAnsi="Times New Roman"/>
          <w:szCs w:val="24"/>
        </w:rPr>
        <w:t xml:space="preserve"> </w:t>
      </w:r>
      <w:r w:rsidR="00EF28F6">
        <w:rPr>
          <w:rFonts w:ascii="Times New Roman" w:hAnsi="Times New Roman"/>
          <w:szCs w:val="24"/>
        </w:rPr>
        <w:t>To what extent, for example</w:t>
      </w:r>
      <w:r w:rsidR="00233C21">
        <w:rPr>
          <w:rFonts w:ascii="Times New Roman" w:hAnsi="Times New Roman"/>
          <w:szCs w:val="24"/>
        </w:rPr>
        <w:t>, d</w:t>
      </w:r>
      <w:r w:rsidR="00EF28F6">
        <w:rPr>
          <w:rFonts w:ascii="Times New Roman" w:hAnsi="Times New Roman"/>
          <w:szCs w:val="24"/>
        </w:rPr>
        <w:t xml:space="preserve">o recent mobilisations of </w:t>
      </w:r>
      <w:r w:rsidR="00A40C07">
        <w:rPr>
          <w:rFonts w:ascii="Times New Roman" w:hAnsi="Times New Roman"/>
          <w:szCs w:val="24"/>
        </w:rPr>
        <w:t xml:space="preserve">reparative reading </w:t>
      </w:r>
      <w:r w:rsidR="00EF28F6">
        <w:rPr>
          <w:rFonts w:ascii="Times New Roman" w:hAnsi="Times New Roman"/>
          <w:szCs w:val="24"/>
        </w:rPr>
        <w:t>take into acco</w:t>
      </w:r>
      <w:r w:rsidR="005D5DFD">
        <w:rPr>
          <w:rFonts w:ascii="Times New Roman" w:hAnsi="Times New Roman"/>
          <w:szCs w:val="24"/>
        </w:rPr>
        <w:t xml:space="preserve">unt the moods of the texts they </w:t>
      </w:r>
      <w:r w:rsidR="00EF28F6">
        <w:rPr>
          <w:rFonts w:ascii="Times New Roman" w:hAnsi="Times New Roman"/>
          <w:szCs w:val="24"/>
        </w:rPr>
        <w:t>interpret</w:t>
      </w:r>
      <w:r w:rsidR="009D6964">
        <w:rPr>
          <w:rFonts w:ascii="Times New Roman" w:hAnsi="Times New Roman"/>
          <w:szCs w:val="24"/>
        </w:rPr>
        <w:t xml:space="preserve"> or the relational dynamics between</w:t>
      </w:r>
      <w:r w:rsidR="001C4B7A">
        <w:rPr>
          <w:rFonts w:ascii="Times New Roman" w:hAnsi="Times New Roman"/>
          <w:szCs w:val="24"/>
        </w:rPr>
        <w:t xml:space="preserve"> the affective approach they wish to bring to a text and that of the text itself</w:t>
      </w:r>
      <w:r w:rsidR="00EF28F6">
        <w:rPr>
          <w:rFonts w:ascii="Times New Roman" w:hAnsi="Times New Roman"/>
          <w:szCs w:val="24"/>
        </w:rPr>
        <w:t>?</w:t>
      </w:r>
      <w:r w:rsidR="004765AF">
        <w:rPr>
          <w:rFonts w:ascii="Times New Roman" w:hAnsi="Times New Roman"/>
          <w:szCs w:val="24"/>
        </w:rPr>
        <w:t xml:space="preserve"> </w:t>
      </w:r>
      <w:r w:rsidR="00EF28F6">
        <w:rPr>
          <w:rFonts w:ascii="Times New Roman" w:hAnsi="Times New Roman"/>
          <w:szCs w:val="24"/>
        </w:rPr>
        <w:t xml:space="preserve">Is reparation an appropriate position from which to approach </w:t>
      </w:r>
      <w:r w:rsidR="00EF28F6" w:rsidRPr="00EF28F6">
        <w:rPr>
          <w:rFonts w:ascii="Times New Roman" w:hAnsi="Times New Roman"/>
          <w:i/>
          <w:szCs w:val="24"/>
        </w:rPr>
        <w:t>any</w:t>
      </w:r>
      <w:r w:rsidR="00EF28F6">
        <w:rPr>
          <w:rFonts w:ascii="Times New Roman" w:hAnsi="Times New Roman"/>
          <w:szCs w:val="24"/>
        </w:rPr>
        <w:t xml:space="preserve"> text or do d</w:t>
      </w:r>
      <w:r w:rsidR="00A40C07">
        <w:rPr>
          <w:rFonts w:ascii="Times New Roman" w:hAnsi="Times New Roman"/>
          <w:szCs w:val="24"/>
        </w:rPr>
        <w:t xml:space="preserve">ifferent </w:t>
      </w:r>
      <w:r w:rsidR="000015D9">
        <w:rPr>
          <w:rFonts w:ascii="Times New Roman" w:hAnsi="Times New Roman"/>
          <w:szCs w:val="24"/>
        </w:rPr>
        <w:t>textual objects</w:t>
      </w:r>
      <w:r w:rsidR="00A40C07">
        <w:rPr>
          <w:rFonts w:ascii="Times New Roman" w:hAnsi="Times New Roman"/>
          <w:szCs w:val="24"/>
        </w:rPr>
        <w:t xml:space="preserve"> (with ‘their’ specific affective qualities)</w:t>
      </w:r>
      <w:r w:rsidR="000015D9">
        <w:rPr>
          <w:rFonts w:ascii="Times New Roman" w:hAnsi="Times New Roman"/>
          <w:szCs w:val="24"/>
        </w:rPr>
        <w:t xml:space="preserve"> demand</w:t>
      </w:r>
      <w:r w:rsidR="00EF28F6">
        <w:rPr>
          <w:rFonts w:ascii="Times New Roman" w:hAnsi="Times New Roman"/>
          <w:szCs w:val="24"/>
        </w:rPr>
        <w:t xml:space="preserve"> different affective approaches?</w:t>
      </w:r>
      <w:r w:rsidR="005B7F36">
        <w:rPr>
          <w:rFonts w:ascii="Times New Roman" w:hAnsi="Times New Roman"/>
          <w:szCs w:val="24"/>
        </w:rPr>
        <w:t xml:space="preserve"> Should we (or can we?) </w:t>
      </w:r>
      <w:r w:rsidR="005B7F36" w:rsidRPr="005B7F36">
        <w:rPr>
          <w:rFonts w:ascii="Times New Roman" w:hAnsi="Times New Roman"/>
          <w:i/>
          <w:szCs w:val="24"/>
        </w:rPr>
        <w:t>alter</w:t>
      </w:r>
      <w:r w:rsidR="005B7F36">
        <w:rPr>
          <w:rFonts w:ascii="Times New Roman" w:hAnsi="Times New Roman"/>
          <w:szCs w:val="24"/>
        </w:rPr>
        <w:t xml:space="preserve"> the</w:t>
      </w:r>
      <w:r w:rsidR="000015D9">
        <w:rPr>
          <w:rFonts w:ascii="Times New Roman" w:hAnsi="Times New Roman"/>
          <w:szCs w:val="24"/>
        </w:rPr>
        <w:t xml:space="preserve"> position or mood in which we approach particu</w:t>
      </w:r>
      <w:r w:rsidR="00E65B6F">
        <w:rPr>
          <w:rFonts w:ascii="Times New Roman" w:hAnsi="Times New Roman"/>
          <w:szCs w:val="24"/>
        </w:rPr>
        <w:t>lar text</w:t>
      </w:r>
      <w:r w:rsidR="003A68DA">
        <w:rPr>
          <w:rFonts w:ascii="Times New Roman" w:hAnsi="Times New Roman"/>
          <w:szCs w:val="24"/>
        </w:rPr>
        <w:t xml:space="preserve">s to suit (or counter?) ‘their’ </w:t>
      </w:r>
      <w:r w:rsidR="000015D9">
        <w:rPr>
          <w:rFonts w:ascii="Times New Roman" w:hAnsi="Times New Roman"/>
          <w:szCs w:val="24"/>
        </w:rPr>
        <w:t>own position or mood?</w:t>
      </w:r>
      <w:r w:rsidR="004765AF">
        <w:rPr>
          <w:rFonts w:ascii="Times New Roman" w:hAnsi="Times New Roman"/>
          <w:szCs w:val="24"/>
        </w:rPr>
        <w:t xml:space="preserve"> </w:t>
      </w:r>
      <w:r w:rsidR="005B7F36" w:rsidRPr="005B7F36">
        <w:rPr>
          <w:rFonts w:ascii="Times New Roman" w:hAnsi="Times New Roman"/>
          <w:szCs w:val="24"/>
        </w:rPr>
        <w:t>Furthermore</w:t>
      </w:r>
      <w:r w:rsidR="00122D33" w:rsidRPr="005B7F36">
        <w:rPr>
          <w:rFonts w:ascii="Times New Roman" w:hAnsi="Times New Roman"/>
          <w:szCs w:val="24"/>
        </w:rPr>
        <w:t>,</w:t>
      </w:r>
      <w:r w:rsidR="005B7F36" w:rsidRPr="005B7F36">
        <w:rPr>
          <w:rFonts w:ascii="Times New Roman" w:hAnsi="Times New Roman"/>
          <w:szCs w:val="24"/>
        </w:rPr>
        <w:t xml:space="preserve"> if both reading and writing are affective practices that take pl</w:t>
      </w:r>
      <w:r w:rsidR="00482E54">
        <w:rPr>
          <w:rFonts w:ascii="Times New Roman" w:hAnsi="Times New Roman"/>
          <w:szCs w:val="24"/>
        </w:rPr>
        <w:t>ace within, through and against</w:t>
      </w:r>
      <w:r w:rsidR="005B7F36" w:rsidRPr="005B7F36">
        <w:rPr>
          <w:rFonts w:ascii="Times New Roman" w:hAnsi="Times New Roman"/>
          <w:szCs w:val="24"/>
        </w:rPr>
        <w:t xml:space="preserve"> wider social and political atmospheres, including the often exclusionary workings of national and other ‘collective’ moods, how do we account for this in the ‘mood wo</w:t>
      </w:r>
      <w:r w:rsidR="00E65B6F">
        <w:rPr>
          <w:rFonts w:ascii="Times New Roman" w:hAnsi="Times New Roman"/>
          <w:szCs w:val="24"/>
        </w:rPr>
        <w:t>rk’ in which cultural theory might engage</w:t>
      </w:r>
      <w:r w:rsidR="005B7F36" w:rsidRPr="005B7F36">
        <w:rPr>
          <w:rFonts w:ascii="Times New Roman" w:hAnsi="Times New Roman"/>
          <w:szCs w:val="24"/>
        </w:rPr>
        <w:t>?</w:t>
      </w:r>
      <w:r w:rsidR="00122D33" w:rsidRPr="005B7F36">
        <w:rPr>
          <w:rFonts w:ascii="Times New Roman" w:hAnsi="Times New Roman"/>
          <w:szCs w:val="24"/>
        </w:rPr>
        <w:t xml:space="preserve"> </w:t>
      </w:r>
    </w:p>
    <w:p w14:paraId="7E15431C" w14:textId="6E722698" w:rsidR="006A0FB6" w:rsidRDefault="005D5DFD" w:rsidP="009D75F2">
      <w:pPr>
        <w:pStyle w:val="FreeFormA"/>
        <w:ind w:firstLine="720"/>
        <w:rPr>
          <w:rFonts w:ascii="Times New Roman" w:hAnsi="Times New Roman"/>
          <w:szCs w:val="24"/>
        </w:rPr>
      </w:pPr>
      <w:r>
        <w:rPr>
          <w:rFonts w:ascii="Times New Roman" w:hAnsi="Times New Roman"/>
          <w:szCs w:val="24"/>
        </w:rPr>
        <w:t>In her analysis of</w:t>
      </w:r>
      <w:r w:rsidR="00F1607B">
        <w:rPr>
          <w:rFonts w:ascii="Times New Roman" w:hAnsi="Times New Roman"/>
          <w:szCs w:val="24"/>
        </w:rPr>
        <w:t xml:space="preserve"> the </w:t>
      </w:r>
      <w:r w:rsidR="00A40C07">
        <w:rPr>
          <w:rFonts w:ascii="Times New Roman" w:hAnsi="Times New Roman"/>
          <w:szCs w:val="24"/>
        </w:rPr>
        <w:t xml:space="preserve">politics of the reparative turn, it is notable that Wiegman pays particular attention to </w:t>
      </w:r>
      <w:r w:rsidR="00122D33" w:rsidRPr="005B7F36">
        <w:rPr>
          <w:rFonts w:ascii="Times New Roman" w:hAnsi="Times New Roman"/>
          <w:szCs w:val="24"/>
        </w:rPr>
        <w:t xml:space="preserve">the </w:t>
      </w:r>
      <w:r w:rsidR="00F1607B">
        <w:rPr>
          <w:rFonts w:ascii="Times New Roman" w:hAnsi="Times New Roman"/>
          <w:szCs w:val="24"/>
        </w:rPr>
        <w:t xml:space="preserve">affective </w:t>
      </w:r>
      <w:r w:rsidR="00122D33" w:rsidRPr="005B7F36">
        <w:rPr>
          <w:rFonts w:ascii="Times New Roman" w:hAnsi="Times New Roman"/>
          <w:szCs w:val="24"/>
        </w:rPr>
        <w:t xml:space="preserve">atmosphere in which </w:t>
      </w:r>
      <w:r w:rsidR="00A40C07">
        <w:rPr>
          <w:rFonts w:ascii="Times New Roman" w:hAnsi="Times New Roman"/>
          <w:szCs w:val="24"/>
        </w:rPr>
        <w:t xml:space="preserve">Sedgwick’s piece was </w:t>
      </w:r>
      <w:r w:rsidR="00EE44D6">
        <w:rPr>
          <w:rFonts w:ascii="Times New Roman" w:hAnsi="Times New Roman"/>
          <w:szCs w:val="24"/>
        </w:rPr>
        <w:t xml:space="preserve">initially </w:t>
      </w:r>
      <w:r w:rsidR="00122D33" w:rsidRPr="005B7F36">
        <w:rPr>
          <w:rFonts w:ascii="Times New Roman" w:hAnsi="Times New Roman"/>
          <w:szCs w:val="24"/>
        </w:rPr>
        <w:t>writt</w:t>
      </w:r>
      <w:r w:rsidR="00122D33" w:rsidRPr="005475B6">
        <w:rPr>
          <w:rFonts w:ascii="Times New Roman" w:hAnsi="Times New Roman"/>
          <w:szCs w:val="24"/>
        </w:rPr>
        <w:t>en and</w:t>
      </w:r>
      <w:r w:rsidR="00A40C07">
        <w:rPr>
          <w:rFonts w:ascii="Times New Roman" w:hAnsi="Times New Roman"/>
          <w:szCs w:val="24"/>
        </w:rPr>
        <w:t xml:space="preserve"> the implications of this </w:t>
      </w:r>
      <w:r w:rsidR="00940FEA">
        <w:rPr>
          <w:rFonts w:ascii="Times New Roman" w:hAnsi="Times New Roman"/>
          <w:szCs w:val="24"/>
        </w:rPr>
        <w:t xml:space="preserve">for </w:t>
      </w:r>
      <w:r w:rsidR="00F1607B">
        <w:rPr>
          <w:rFonts w:ascii="Times New Roman" w:hAnsi="Times New Roman"/>
          <w:szCs w:val="24"/>
        </w:rPr>
        <w:t xml:space="preserve">how </w:t>
      </w:r>
      <w:r w:rsidR="00EE44D6">
        <w:rPr>
          <w:rFonts w:ascii="Times New Roman" w:hAnsi="Times New Roman"/>
          <w:szCs w:val="24"/>
        </w:rPr>
        <w:t xml:space="preserve">its arguments have </w:t>
      </w:r>
      <w:r w:rsidR="00560DE4">
        <w:rPr>
          <w:rFonts w:ascii="Times New Roman" w:hAnsi="Times New Roman"/>
          <w:szCs w:val="24"/>
        </w:rPr>
        <w:t xml:space="preserve">been </w:t>
      </w:r>
      <w:r w:rsidR="00940FEA">
        <w:rPr>
          <w:rFonts w:ascii="Times New Roman" w:hAnsi="Times New Roman"/>
          <w:szCs w:val="24"/>
        </w:rPr>
        <w:t>interpreted and mobilis</w:t>
      </w:r>
      <w:r w:rsidR="00F1607B">
        <w:rPr>
          <w:rFonts w:ascii="Times New Roman" w:hAnsi="Times New Roman"/>
          <w:szCs w:val="24"/>
        </w:rPr>
        <w:t>ed in the contemporary milieu</w:t>
      </w:r>
      <w:r w:rsidR="00122D33" w:rsidRPr="005475B6">
        <w:rPr>
          <w:rFonts w:ascii="Times New Roman" w:hAnsi="Times New Roman"/>
          <w:szCs w:val="24"/>
        </w:rPr>
        <w:t>.</w:t>
      </w:r>
      <w:r w:rsidR="004765AF">
        <w:rPr>
          <w:rFonts w:ascii="Times New Roman" w:hAnsi="Times New Roman"/>
          <w:szCs w:val="24"/>
        </w:rPr>
        <w:t xml:space="preserve"> </w:t>
      </w:r>
      <w:r w:rsidR="00F1607B" w:rsidRPr="005475B6">
        <w:rPr>
          <w:rFonts w:ascii="Times New Roman" w:hAnsi="Times New Roman"/>
          <w:szCs w:val="24"/>
        </w:rPr>
        <w:t>S</w:t>
      </w:r>
      <w:r w:rsidR="00204FE3">
        <w:rPr>
          <w:rFonts w:ascii="Times New Roman" w:hAnsi="Times New Roman"/>
          <w:szCs w:val="24"/>
        </w:rPr>
        <w:t xml:space="preserve">he points out, for example, </w:t>
      </w:r>
      <w:r w:rsidR="00556147">
        <w:rPr>
          <w:rFonts w:ascii="Times New Roman" w:hAnsi="Times New Roman"/>
          <w:szCs w:val="24"/>
        </w:rPr>
        <w:t xml:space="preserve">that </w:t>
      </w:r>
      <w:r w:rsidR="00204FE3">
        <w:rPr>
          <w:rFonts w:ascii="Times New Roman" w:hAnsi="Times New Roman"/>
          <w:szCs w:val="24"/>
        </w:rPr>
        <w:t xml:space="preserve">Sedgwick first made reference to the dynamics of ‘paranoid’ and ‘reparative’ reading in </w:t>
      </w:r>
      <w:r w:rsidR="00940FEA">
        <w:rPr>
          <w:rFonts w:ascii="Times New Roman" w:hAnsi="Times New Roman"/>
          <w:szCs w:val="24"/>
        </w:rPr>
        <w:t xml:space="preserve">the introduction to a </w:t>
      </w:r>
      <w:r w:rsidR="00204FE3">
        <w:rPr>
          <w:rFonts w:ascii="Times New Roman" w:hAnsi="Times New Roman"/>
          <w:szCs w:val="24"/>
        </w:rPr>
        <w:t xml:space="preserve">special </w:t>
      </w:r>
      <w:r w:rsidR="00204FE3" w:rsidRPr="00B162F5">
        <w:rPr>
          <w:rFonts w:ascii="Times New Roman" w:hAnsi="Times New Roman"/>
          <w:szCs w:val="24"/>
        </w:rPr>
        <w:t>issue</w:t>
      </w:r>
      <w:r w:rsidR="00940FEA" w:rsidRPr="00B162F5">
        <w:rPr>
          <w:rFonts w:ascii="Times New Roman" w:hAnsi="Times New Roman"/>
          <w:szCs w:val="24"/>
        </w:rPr>
        <w:t xml:space="preserve"> </w:t>
      </w:r>
      <w:r w:rsidR="00B162F5" w:rsidRPr="00B162F5">
        <w:rPr>
          <w:rFonts w:ascii="Times New Roman" w:hAnsi="Times New Roman"/>
          <w:szCs w:val="24"/>
        </w:rPr>
        <w:t xml:space="preserve">of </w:t>
      </w:r>
      <w:r w:rsidR="00B162F5" w:rsidRPr="00B162F5">
        <w:rPr>
          <w:rFonts w:ascii="Times New Roman" w:hAnsi="Times New Roman"/>
          <w:i/>
          <w:szCs w:val="24"/>
        </w:rPr>
        <w:t>Studies in the Novel</w:t>
      </w:r>
      <w:r w:rsidR="00204FE3" w:rsidRPr="00B162F5">
        <w:rPr>
          <w:rFonts w:ascii="Times New Roman" w:hAnsi="Times New Roman"/>
          <w:szCs w:val="24"/>
        </w:rPr>
        <w:t xml:space="preserve"> </w:t>
      </w:r>
      <w:r w:rsidR="00F1607B" w:rsidRPr="00B162F5">
        <w:rPr>
          <w:rFonts w:ascii="Times New Roman" w:hAnsi="Times New Roman"/>
          <w:szCs w:val="24"/>
        </w:rPr>
        <w:t>published</w:t>
      </w:r>
      <w:r w:rsidR="00F1607B" w:rsidRPr="005475B6">
        <w:rPr>
          <w:rFonts w:ascii="Times New Roman" w:hAnsi="Times New Roman"/>
          <w:szCs w:val="24"/>
        </w:rPr>
        <w:t xml:space="preserve"> in</w:t>
      </w:r>
      <w:r w:rsidR="00940FEA">
        <w:rPr>
          <w:rFonts w:ascii="Times New Roman" w:hAnsi="Times New Roman"/>
          <w:szCs w:val="24"/>
        </w:rPr>
        <w:t xml:space="preserve"> 1996 (which was</w:t>
      </w:r>
      <w:r>
        <w:rPr>
          <w:rFonts w:ascii="Times New Roman" w:hAnsi="Times New Roman"/>
          <w:szCs w:val="24"/>
        </w:rPr>
        <w:t xml:space="preserve"> then revised</w:t>
      </w:r>
      <w:r w:rsidR="00204FE3">
        <w:rPr>
          <w:rFonts w:ascii="Times New Roman" w:hAnsi="Times New Roman"/>
          <w:szCs w:val="24"/>
        </w:rPr>
        <w:t xml:space="preserve"> in 1997 and again in 2003 in </w:t>
      </w:r>
      <w:r w:rsidR="00204FE3" w:rsidRPr="00204FE3">
        <w:rPr>
          <w:rFonts w:ascii="Times New Roman" w:hAnsi="Times New Roman"/>
          <w:i/>
          <w:szCs w:val="24"/>
        </w:rPr>
        <w:t>Touching Feeling</w:t>
      </w:r>
      <w:r w:rsidR="00940FEA">
        <w:rPr>
          <w:rFonts w:ascii="Times New Roman" w:hAnsi="Times New Roman"/>
          <w:szCs w:val="24"/>
        </w:rPr>
        <w:t>)</w:t>
      </w:r>
      <w:r w:rsidR="00204FE3">
        <w:rPr>
          <w:rFonts w:ascii="Times New Roman" w:hAnsi="Times New Roman"/>
          <w:szCs w:val="24"/>
        </w:rPr>
        <w:t>.</w:t>
      </w:r>
      <w:r w:rsidR="004765AF">
        <w:rPr>
          <w:rFonts w:ascii="Times New Roman" w:hAnsi="Times New Roman"/>
          <w:szCs w:val="24"/>
        </w:rPr>
        <w:t xml:space="preserve"> </w:t>
      </w:r>
      <w:r w:rsidR="00940FEA">
        <w:rPr>
          <w:rFonts w:ascii="Times New Roman" w:hAnsi="Times New Roman"/>
          <w:szCs w:val="24"/>
        </w:rPr>
        <w:t>Wiegman argues that</w:t>
      </w:r>
      <w:r w:rsidR="00F1607B">
        <w:rPr>
          <w:rFonts w:ascii="Times New Roman" w:hAnsi="Times New Roman"/>
          <w:szCs w:val="24"/>
        </w:rPr>
        <w:t xml:space="preserve"> </w:t>
      </w:r>
      <w:r w:rsidR="007A08A8" w:rsidRPr="005475B6">
        <w:rPr>
          <w:rFonts w:ascii="Times New Roman" w:hAnsi="Times New Roman"/>
          <w:szCs w:val="24"/>
        </w:rPr>
        <w:t>many scholars have drawn on</w:t>
      </w:r>
      <w:r w:rsidR="00204FE3">
        <w:rPr>
          <w:rFonts w:ascii="Times New Roman" w:hAnsi="Times New Roman"/>
          <w:szCs w:val="24"/>
        </w:rPr>
        <w:t xml:space="preserve">ly on Sedgwick’s </w:t>
      </w:r>
      <w:r w:rsidR="007A08A8" w:rsidRPr="005475B6">
        <w:rPr>
          <w:rFonts w:ascii="Times New Roman" w:hAnsi="Times New Roman"/>
          <w:szCs w:val="24"/>
        </w:rPr>
        <w:t>2003</w:t>
      </w:r>
      <w:r w:rsidR="00204FE3">
        <w:rPr>
          <w:rFonts w:ascii="Times New Roman" w:hAnsi="Times New Roman"/>
          <w:szCs w:val="24"/>
        </w:rPr>
        <w:t xml:space="preserve"> version</w:t>
      </w:r>
      <w:r w:rsidR="007A08A8" w:rsidRPr="005475B6">
        <w:rPr>
          <w:rFonts w:ascii="Times New Roman" w:hAnsi="Times New Roman"/>
          <w:szCs w:val="24"/>
        </w:rPr>
        <w:t>, aligning it ‘with a post-911 rethinking of paranoid sensibilities’</w:t>
      </w:r>
      <w:r w:rsidR="00560DE4">
        <w:rPr>
          <w:rFonts w:ascii="Times New Roman" w:hAnsi="Times New Roman"/>
          <w:szCs w:val="24"/>
        </w:rPr>
        <w:t>,</w:t>
      </w:r>
      <w:r w:rsidR="007A08A8" w:rsidRPr="005475B6">
        <w:rPr>
          <w:rFonts w:ascii="Times New Roman" w:hAnsi="Times New Roman"/>
          <w:szCs w:val="24"/>
        </w:rPr>
        <w:t xml:space="preserve"> and, as such, have ‘skewed our understanding of her work’s own present, which was profoundly influenced by her disgust with the national fantasy of gay extermination propelled by the health emergency of AIDS and by her personal battle with breast </w:t>
      </w:r>
      <w:r w:rsidR="00316224">
        <w:rPr>
          <w:rFonts w:ascii="Times New Roman" w:hAnsi="Times New Roman"/>
          <w:szCs w:val="24"/>
        </w:rPr>
        <w:t>cancer’</w:t>
      </w:r>
      <w:r w:rsidR="007A08A8" w:rsidRPr="003A68DA">
        <w:rPr>
          <w:rFonts w:ascii="Times New Roman" w:hAnsi="Times New Roman"/>
          <w:szCs w:val="24"/>
        </w:rPr>
        <w:t>.</w:t>
      </w:r>
      <w:r w:rsidR="00316224">
        <w:rPr>
          <w:rStyle w:val="FootnoteReference"/>
          <w:rFonts w:ascii="Times New Roman" w:hAnsi="Times New Roman"/>
          <w:szCs w:val="24"/>
        </w:rPr>
        <w:footnoteReference w:id="42"/>
      </w:r>
      <w:r w:rsidR="004765AF">
        <w:rPr>
          <w:rFonts w:ascii="Times New Roman" w:hAnsi="Times New Roman"/>
          <w:szCs w:val="24"/>
        </w:rPr>
        <w:t xml:space="preserve"> </w:t>
      </w:r>
      <w:r w:rsidR="007A08A8" w:rsidRPr="003A68DA">
        <w:rPr>
          <w:rFonts w:ascii="Times New Roman" w:hAnsi="Times New Roman"/>
          <w:szCs w:val="24"/>
        </w:rPr>
        <w:t xml:space="preserve">From this perspective, </w:t>
      </w:r>
      <w:r w:rsidR="001F4693" w:rsidRPr="003A68DA">
        <w:rPr>
          <w:rFonts w:ascii="Times New Roman" w:hAnsi="Times New Roman"/>
          <w:szCs w:val="24"/>
        </w:rPr>
        <w:t xml:space="preserve">the personal and political significance of the ‘repair’ in Sedgwick’s reparation </w:t>
      </w:r>
      <w:r w:rsidR="00EE44D6" w:rsidRPr="003A68DA">
        <w:rPr>
          <w:rFonts w:ascii="Times New Roman" w:hAnsi="Times New Roman"/>
          <w:szCs w:val="24"/>
        </w:rPr>
        <w:t xml:space="preserve">needs to </w:t>
      </w:r>
      <w:r w:rsidR="001F4693" w:rsidRPr="003A68DA">
        <w:rPr>
          <w:rFonts w:ascii="Times New Roman" w:hAnsi="Times New Roman"/>
          <w:szCs w:val="24"/>
        </w:rPr>
        <w:t>be appreciated in relation to the specific tempora</w:t>
      </w:r>
      <w:r w:rsidR="00EE44D6" w:rsidRPr="003A68DA">
        <w:rPr>
          <w:rFonts w:ascii="Times New Roman" w:hAnsi="Times New Roman"/>
          <w:szCs w:val="24"/>
        </w:rPr>
        <w:t>lities of mood in which it originally</w:t>
      </w:r>
      <w:r w:rsidR="001F4693" w:rsidRPr="003A68DA">
        <w:rPr>
          <w:rFonts w:ascii="Times New Roman" w:hAnsi="Times New Roman"/>
          <w:szCs w:val="24"/>
        </w:rPr>
        <w:t xml:space="preserve"> emerged.</w:t>
      </w:r>
      <w:r w:rsidR="004765AF">
        <w:rPr>
          <w:rFonts w:ascii="Times New Roman" w:hAnsi="Times New Roman"/>
          <w:szCs w:val="24"/>
        </w:rPr>
        <w:t xml:space="preserve"> </w:t>
      </w:r>
      <w:r w:rsidR="005D5932">
        <w:rPr>
          <w:rFonts w:ascii="Times New Roman" w:hAnsi="Times New Roman"/>
          <w:szCs w:val="24"/>
        </w:rPr>
        <w:t xml:space="preserve">The </w:t>
      </w:r>
      <w:r w:rsidR="00B16BDC" w:rsidRPr="003A68DA">
        <w:rPr>
          <w:rFonts w:ascii="Times New Roman" w:hAnsi="Times New Roman"/>
          <w:szCs w:val="24"/>
        </w:rPr>
        <w:t>repair</w:t>
      </w:r>
      <w:r w:rsidR="00940FEA" w:rsidRPr="003A68DA">
        <w:rPr>
          <w:rFonts w:ascii="Times New Roman" w:hAnsi="Times New Roman"/>
          <w:szCs w:val="24"/>
        </w:rPr>
        <w:t xml:space="preserve"> that make</w:t>
      </w:r>
      <w:r>
        <w:rPr>
          <w:rFonts w:ascii="Times New Roman" w:hAnsi="Times New Roman"/>
          <w:szCs w:val="24"/>
        </w:rPr>
        <w:t>s</w:t>
      </w:r>
      <w:r w:rsidR="00B16BDC" w:rsidRPr="003A68DA">
        <w:rPr>
          <w:rFonts w:ascii="Times New Roman" w:hAnsi="Times New Roman"/>
          <w:szCs w:val="24"/>
        </w:rPr>
        <w:t xml:space="preserve"> sense in context </w:t>
      </w:r>
      <w:r w:rsidR="00940FEA" w:rsidRPr="003A68DA">
        <w:rPr>
          <w:rFonts w:ascii="Times New Roman" w:hAnsi="Times New Roman"/>
          <w:szCs w:val="24"/>
        </w:rPr>
        <w:t xml:space="preserve">of </w:t>
      </w:r>
      <w:r w:rsidR="00096BE6">
        <w:rPr>
          <w:rFonts w:ascii="Times New Roman" w:hAnsi="Times New Roman"/>
          <w:szCs w:val="24"/>
        </w:rPr>
        <w:t xml:space="preserve">the </w:t>
      </w:r>
      <w:r w:rsidR="00940FEA" w:rsidRPr="003A68DA">
        <w:rPr>
          <w:rFonts w:ascii="Times New Roman" w:hAnsi="Times New Roman"/>
          <w:szCs w:val="24"/>
        </w:rPr>
        <w:t xml:space="preserve">AIDS crisis </w:t>
      </w:r>
      <w:r>
        <w:rPr>
          <w:rFonts w:ascii="Times New Roman" w:hAnsi="Times New Roman"/>
          <w:szCs w:val="24"/>
        </w:rPr>
        <w:t xml:space="preserve">of the </w:t>
      </w:r>
      <w:r w:rsidR="00940FEA" w:rsidRPr="003A68DA">
        <w:rPr>
          <w:rFonts w:ascii="Times New Roman" w:hAnsi="Times New Roman"/>
          <w:szCs w:val="24"/>
        </w:rPr>
        <w:t>1990s may be quite</w:t>
      </w:r>
      <w:r w:rsidR="00B16BDC" w:rsidRPr="003A68DA">
        <w:rPr>
          <w:rFonts w:ascii="Times New Roman" w:hAnsi="Times New Roman"/>
          <w:szCs w:val="24"/>
        </w:rPr>
        <w:t xml:space="preserve"> differen</w:t>
      </w:r>
      <w:r w:rsidR="007D24DE" w:rsidRPr="003A68DA">
        <w:rPr>
          <w:rFonts w:ascii="Times New Roman" w:hAnsi="Times New Roman"/>
          <w:szCs w:val="24"/>
        </w:rPr>
        <w:t xml:space="preserve">t than that </w:t>
      </w:r>
      <w:r w:rsidR="007310EB" w:rsidRPr="003A68DA">
        <w:rPr>
          <w:rFonts w:ascii="Times New Roman" w:hAnsi="Times New Roman"/>
          <w:szCs w:val="24"/>
        </w:rPr>
        <w:t>desired</w:t>
      </w:r>
      <w:r w:rsidR="006426E2">
        <w:rPr>
          <w:rFonts w:ascii="Times New Roman" w:hAnsi="Times New Roman"/>
          <w:szCs w:val="24"/>
        </w:rPr>
        <w:t xml:space="preserve"> (by differently located subjects)</w:t>
      </w:r>
      <w:r w:rsidR="00B16BDC" w:rsidRPr="003A68DA">
        <w:rPr>
          <w:rFonts w:ascii="Times New Roman" w:hAnsi="Times New Roman"/>
          <w:szCs w:val="24"/>
        </w:rPr>
        <w:t xml:space="preserve"> in </w:t>
      </w:r>
      <w:r w:rsidR="00940FEA" w:rsidRPr="003A68DA">
        <w:rPr>
          <w:rFonts w:ascii="Times New Roman" w:hAnsi="Times New Roman"/>
          <w:szCs w:val="24"/>
        </w:rPr>
        <w:t xml:space="preserve">the </w:t>
      </w:r>
      <w:r w:rsidR="00B16BDC" w:rsidRPr="003A68DA">
        <w:rPr>
          <w:rFonts w:ascii="Times New Roman" w:hAnsi="Times New Roman"/>
          <w:szCs w:val="24"/>
        </w:rPr>
        <w:t>aftermath of 9/11</w:t>
      </w:r>
      <w:r w:rsidR="007310EB" w:rsidRPr="003A68DA">
        <w:rPr>
          <w:rFonts w:ascii="Times New Roman" w:hAnsi="Times New Roman"/>
          <w:szCs w:val="24"/>
        </w:rPr>
        <w:t>,</w:t>
      </w:r>
      <w:r w:rsidR="00B16BDC" w:rsidRPr="003A68DA">
        <w:rPr>
          <w:rFonts w:ascii="Times New Roman" w:hAnsi="Times New Roman"/>
          <w:szCs w:val="24"/>
        </w:rPr>
        <w:t xml:space="preserve"> </w:t>
      </w:r>
      <w:r w:rsidR="007310EB" w:rsidRPr="003A68DA">
        <w:rPr>
          <w:rFonts w:ascii="Times New Roman" w:hAnsi="Times New Roman"/>
          <w:szCs w:val="24"/>
        </w:rPr>
        <w:t xml:space="preserve">or, in turn, in the midst of the </w:t>
      </w:r>
      <w:r w:rsidR="00B16BDC" w:rsidRPr="003A68DA">
        <w:rPr>
          <w:rFonts w:ascii="Times New Roman" w:hAnsi="Times New Roman"/>
          <w:szCs w:val="24"/>
        </w:rPr>
        <w:t>‘declining economic and cultural support for the interpretive humanities’ we face today.</w:t>
      </w:r>
      <w:r w:rsidR="00316224">
        <w:rPr>
          <w:rStyle w:val="FootnoteReference"/>
          <w:rFonts w:ascii="Times New Roman" w:hAnsi="Times New Roman"/>
          <w:szCs w:val="24"/>
        </w:rPr>
        <w:footnoteReference w:id="43"/>
      </w:r>
      <w:r w:rsidR="004765AF">
        <w:rPr>
          <w:rFonts w:ascii="Times New Roman" w:hAnsi="Times New Roman"/>
          <w:szCs w:val="24"/>
        </w:rPr>
        <w:t xml:space="preserve"> </w:t>
      </w:r>
      <w:r w:rsidR="007310EB" w:rsidRPr="003A68DA">
        <w:rPr>
          <w:rFonts w:ascii="Times New Roman" w:hAnsi="Times New Roman"/>
          <w:szCs w:val="24"/>
        </w:rPr>
        <w:t xml:space="preserve">Wiegman’s analysis </w:t>
      </w:r>
      <w:r w:rsidR="00DE1A6E" w:rsidRPr="003A68DA">
        <w:rPr>
          <w:rFonts w:ascii="Times New Roman" w:hAnsi="Times New Roman"/>
          <w:szCs w:val="24"/>
        </w:rPr>
        <w:t xml:space="preserve">therefore underscores </w:t>
      </w:r>
      <w:r w:rsidR="007310EB" w:rsidRPr="003A68DA">
        <w:rPr>
          <w:rFonts w:ascii="Times New Roman" w:hAnsi="Times New Roman"/>
          <w:szCs w:val="24"/>
        </w:rPr>
        <w:t>the necessity of what might be called ‘affective translation’ – translation across personal, social and political atmospheres and modes</w:t>
      </w:r>
      <w:r w:rsidR="007310EB">
        <w:rPr>
          <w:rFonts w:ascii="Times New Roman" w:hAnsi="Times New Roman"/>
          <w:szCs w:val="24"/>
        </w:rPr>
        <w:t xml:space="preserve"> of reparation – that is central to the ‘mood work’ that cultural theory requires.</w:t>
      </w:r>
      <w:r w:rsidR="005F4B0F">
        <w:rPr>
          <w:rStyle w:val="FootnoteReference"/>
          <w:rFonts w:ascii="Times New Roman" w:hAnsi="Times New Roman"/>
          <w:szCs w:val="24"/>
        </w:rPr>
        <w:footnoteReference w:id="44"/>
      </w:r>
      <w:r w:rsidR="007310EB">
        <w:rPr>
          <w:rFonts w:ascii="Times New Roman" w:hAnsi="Times New Roman"/>
          <w:szCs w:val="24"/>
        </w:rPr>
        <w:t xml:space="preserve"> </w:t>
      </w:r>
    </w:p>
    <w:p w14:paraId="6127D95D" w14:textId="024DD04A" w:rsidR="00B162F5" w:rsidRPr="00C34275" w:rsidRDefault="006426E2" w:rsidP="009D75F2">
      <w:pPr>
        <w:pStyle w:val="FreeFormA"/>
        <w:ind w:firstLine="720"/>
        <w:rPr>
          <w:rFonts w:ascii="Times New Roman" w:hAnsi="Times New Roman"/>
          <w:szCs w:val="24"/>
          <w:highlight w:val="yellow"/>
        </w:rPr>
      </w:pPr>
      <w:r>
        <w:rPr>
          <w:rFonts w:ascii="Times New Roman" w:hAnsi="Times New Roman"/>
          <w:szCs w:val="24"/>
        </w:rPr>
        <w:t>W</w:t>
      </w:r>
      <w:r w:rsidR="004F0938">
        <w:rPr>
          <w:rFonts w:ascii="Times New Roman" w:hAnsi="Times New Roman"/>
          <w:szCs w:val="24"/>
        </w:rPr>
        <w:t>e might</w:t>
      </w:r>
      <w:r w:rsidR="00940FEA" w:rsidRPr="007310EB">
        <w:rPr>
          <w:rFonts w:ascii="Times New Roman" w:hAnsi="Times New Roman"/>
          <w:szCs w:val="24"/>
        </w:rPr>
        <w:t xml:space="preserve"> </w:t>
      </w:r>
      <w:r w:rsidR="004762DD">
        <w:rPr>
          <w:rFonts w:ascii="Times New Roman" w:hAnsi="Times New Roman"/>
          <w:szCs w:val="24"/>
        </w:rPr>
        <w:t xml:space="preserve">also </w:t>
      </w:r>
      <w:r w:rsidR="007310EB" w:rsidRPr="007310EB">
        <w:rPr>
          <w:rFonts w:ascii="Times New Roman" w:hAnsi="Times New Roman"/>
          <w:szCs w:val="24"/>
        </w:rPr>
        <w:t xml:space="preserve">inquire more broadly into </w:t>
      </w:r>
      <w:r w:rsidR="006A0FB6" w:rsidRPr="007310EB">
        <w:rPr>
          <w:rFonts w:ascii="Times New Roman" w:hAnsi="Times New Roman"/>
          <w:szCs w:val="24"/>
        </w:rPr>
        <w:t xml:space="preserve">what it means for reparation to </w:t>
      </w:r>
      <w:r w:rsidR="007310EB" w:rsidRPr="007310EB">
        <w:rPr>
          <w:rFonts w:ascii="Times New Roman" w:hAnsi="Times New Roman"/>
          <w:szCs w:val="24"/>
        </w:rPr>
        <w:t xml:space="preserve">congeal into an intellectual ‘turn’, wherein </w:t>
      </w:r>
      <w:r>
        <w:rPr>
          <w:rFonts w:ascii="Times New Roman" w:hAnsi="Times New Roman"/>
          <w:szCs w:val="24"/>
        </w:rPr>
        <w:t xml:space="preserve">reparation’s </w:t>
      </w:r>
      <w:r w:rsidR="00556147">
        <w:rPr>
          <w:rFonts w:ascii="Times New Roman" w:hAnsi="Times New Roman"/>
          <w:szCs w:val="24"/>
        </w:rPr>
        <w:t>move from marginal to mainstream mean</w:t>
      </w:r>
      <w:r>
        <w:rPr>
          <w:rFonts w:ascii="Times New Roman" w:hAnsi="Times New Roman"/>
          <w:szCs w:val="24"/>
        </w:rPr>
        <w:t>s</w:t>
      </w:r>
      <w:r w:rsidR="00556147">
        <w:rPr>
          <w:rFonts w:ascii="Times New Roman" w:hAnsi="Times New Roman"/>
          <w:szCs w:val="24"/>
        </w:rPr>
        <w:t xml:space="preserve"> that the</w:t>
      </w:r>
      <w:r w:rsidR="007310EB" w:rsidRPr="007310EB">
        <w:rPr>
          <w:rFonts w:ascii="Times New Roman" w:hAnsi="Times New Roman"/>
          <w:szCs w:val="24"/>
        </w:rPr>
        <w:t xml:space="preserve"> ameliorative logics of</w:t>
      </w:r>
      <w:r w:rsidR="005D5DFD">
        <w:rPr>
          <w:rFonts w:ascii="Times New Roman" w:hAnsi="Times New Roman"/>
          <w:szCs w:val="24"/>
        </w:rPr>
        <w:t xml:space="preserve"> ‘repair’</w:t>
      </w:r>
      <w:r w:rsidR="007310EB" w:rsidRPr="007310EB">
        <w:rPr>
          <w:rFonts w:ascii="Times New Roman" w:hAnsi="Times New Roman"/>
          <w:szCs w:val="24"/>
        </w:rPr>
        <w:t xml:space="preserve"> </w:t>
      </w:r>
      <w:r>
        <w:rPr>
          <w:rFonts w:ascii="Times New Roman" w:hAnsi="Times New Roman"/>
          <w:szCs w:val="24"/>
        </w:rPr>
        <w:t>become</w:t>
      </w:r>
      <w:r w:rsidR="005D5DFD">
        <w:rPr>
          <w:rFonts w:ascii="Times New Roman" w:hAnsi="Times New Roman"/>
          <w:szCs w:val="24"/>
        </w:rPr>
        <w:t>s</w:t>
      </w:r>
      <w:r>
        <w:rPr>
          <w:rFonts w:ascii="Times New Roman" w:hAnsi="Times New Roman"/>
          <w:szCs w:val="24"/>
        </w:rPr>
        <w:t xml:space="preserve"> </w:t>
      </w:r>
      <w:r w:rsidR="00940FEA" w:rsidRPr="007310EB">
        <w:rPr>
          <w:rFonts w:ascii="Times New Roman" w:hAnsi="Times New Roman"/>
          <w:szCs w:val="24"/>
        </w:rPr>
        <w:t>expected</w:t>
      </w:r>
      <w:r>
        <w:rPr>
          <w:rFonts w:ascii="Times New Roman" w:hAnsi="Times New Roman"/>
          <w:szCs w:val="24"/>
        </w:rPr>
        <w:t xml:space="preserve"> rather than elided or maligned</w:t>
      </w:r>
      <w:r w:rsidR="006A0FB6" w:rsidRPr="007310EB">
        <w:rPr>
          <w:rFonts w:ascii="Times New Roman" w:hAnsi="Times New Roman"/>
          <w:szCs w:val="24"/>
        </w:rPr>
        <w:t>.</w:t>
      </w:r>
      <w:r w:rsidR="004765AF">
        <w:rPr>
          <w:rFonts w:ascii="Times New Roman" w:hAnsi="Times New Roman"/>
          <w:szCs w:val="24"/>
        </w:rPr>
        <w:t xml:space="preserve"> </w:t>
      </w:r>
      <w:r w:rsidR="00B16BDC">
        <w:rPr>
          <w:rFonts w:ascii="Times New Roman" w:hAnsi="Times New Roman"/>
        </w:rPr>
        <w:t xml:space="preserve">In Wiegman’s reading, the taking up of Sedgwick’s call for reparative reading in the contemporary context of neoliberal capitalism is a reparative move in and of itself: </w:t>
      </w:r>
      <w:r w:rsidR="00B16BDC" w:rsidRPr="001B262C">
        <w:rPr>
          <w:rFonts w:ascii="Times New Roman" w:hAnsi="Times New Roman"/>
        </w:rPr>
        <w:t xml:space="preserve">it is about repairing or retrieving the value of </w:t>
      </w:r>
      <w:r w:rsidR="00B16BDC" w:rsidRPr="001B262C">
        <w:rPr>
          <w:rFonts w:ascii="Times New Roman" w:hAnsi="Times New Roman"/>
          <w:i/>
        </w:rPr>
        <w:t>interpretation</w:t>
      </w:r>
      <w:r w:rsidR="00B16BDC" w:rsidRPr="001B262C">
        <w:rPr>
          <w:rFonts w:ascii="Times New Roman" w:hAnsi="Times New Roman"/>
        </w:rPr>
        <w:t xml:space="preserve"> as a critical practice in a political and intellectua</w:t>
      </w:r>
      <w:r w:rsidR="006A0FB6">
        <w:rPr>
          <w:rFonts w:ascii="Times New Roman" w:hAnsi="Times New Roman"/>
        </w:rPr>
        <w:t>l context in which it has been</w:t>
      </w:r>
      <w:r w:rsidR="00B16BDC" w:rsidRPr="001B262C">
        <w:rPr>
          <w:rFonts w:ascii="Times New Roman" w:hAnsi="Times New Roman"/>
        </w:rPr>
        <w:t xml:space="preserve"> battered</w:t>
      </w:r>
      <w:r w:rsidR="006A0FB6">
        <w:rPr>
          <w:rFonts w:ascii="Times New Roman" w:hAnsi="Times New Roman"/>
        </w:rPr>
        <w:t xml:space="preserve"> and bruised</w:t>
      </w:r>
      <w:r w:rsidR="00B16BDC" w:rsidRPr="001B262C">
        <w:rPr>
          <w:rFonts w:ascii="Times New Roman" w:hAnsi="Times New Roman"/>
        </w:rPr>
        <w:t>.</w:t>
      </w:r>
      <w:r w:rsidR="004765AF">
        <w:t xml:space="preserve"> </w:t>
      </w:r>
      <w:r w:rsidR="00B16BDC" w:rsidRPr="00B162F5">
        <w:rPr>
          <w:rFonts w:ascii="Times New Roman" w:hAnsi="Times New Roman"/>
        </w:rPr>
        <w:t>Deploymen</w:t>
      </w:r>
      <w:r w:rsidR="006B1517">
        <w:rPr>
          <w:rFonts w:ascii="Times New Roman" w:hAnsi="Times New Roman"/>
        </w:rPr>
        <w:t xml:space="preserve">ts of reparation </w:t>
      </w:r>
      <w:r w:rsidR="000B12B0" w:rsidRPr="00B162F5">
        <w:rPr>
          <w:rFonts w:ascii="Times New Roman" w:hAnsi="Times New Roman"/>
        </w:rPr>
        <w:t xml:space="preserve">that </w:t>
      </w:r>
      <w:r w:rsidR="00B162F5" w:rsidRPr="00B162F5">
        <w:rPr>
          <w:rFonts w:ascii="Times New Roman" w:hAnsi="Times New Roman"/>
        </w:rPr>
        <w:t>revalue close reading</w:t>
      </w:r>
      <w:r w:rsidR="00B16BDC" w:rsidRPr="00B162F5">
        <w:rPr>
          <w:rFonts w:ascii="Times New Roman" w:hAnsi="Times New Roman"/>
        </w:rPr>
        <w:t xml:space="preserve"> as </w:t>
      </w:r>
      <w:r w:rsidR="000B12B0" w:rsidRPr="00B162F5">
        <w:rPr>
          <w:rFonts w:ascii="Times New Roman" w:hAnsi="Times New Roman"/>
        </w:rPr>
        <w:t xml:space="preserve">a vital </w:t>
      </w:r>
      <w:r w:rsidR="009017E3" w:rsidRPr="00B162F5">
        <w:rPr>
          <w:rFonts w:ascii="Times New Roman" w:hAnsi="Times New Roman"/>
        </w:rPr>
        <w:t xml:space="preserve">discursive-material </w:t>
      </w:r>
      <w:r w:rsidR="000B12B0" w:rsidRPr="00B162F5">
        <w:rPr>
          <w:rFonts w:ascii="Times New Roman" w:hAnsi="Times New Roman"/>
        </w:rPr>
        <w:t>practice</w:t>
      </w:r>
      <w:r w:rsidR="00B162F5" w:rsidRPr="00B162F5">
        <w:rPr>
          <w:rFonts w:ascii="Times New Roman" w:hAnsi="Times New Roman"/>
        </w:rPr>
        <w:t xml:space="preserve"> thus seek, in part,</w:t>
      </w:r>
      <w:r w:rsidR="00B16BDC" w:rsidRPr="00B162F5">
        <w:rPr>
          <w:rFonts w:ascii="Times New Roman" w:hAnsi="Times New Roman"/>
        </w:rPr>
        <w:t xml:space="preserve"> to repair the </w:t>
      </w:r>
      <w:r w:rsidR="00B162F5" w:rsidRPr="00B162F5">
        <w:rPr>
          <w:rFonts w:ascii="Times New Roman" w:hAnsi="Times New Roman"/>
        </w:rPr>
        <w:t xml:space="preserve">various </w:t>
      </w:r>
      <w:r w:rsidR="00B16BDC" w:rsidRPr="00B162F5">
        <w:rPr>
          <w:rFonts w:ascii="Times New Roman" w:hAnsi="Times New Roman"/>
        </w:rPr>
        <w:t>injuri</w:t>
      </w:r>
      <w:r w:rsidR="00B162F5" w:rsidRPr="00B162F5">
        <w:rPr>
          <w:rFonts w:ascii="Times New Roman" w:hAnsi="Times New Roman"/>
        </w:rPr>
        <w:t>es interpretation has sustained</w:t>
      </w:r>
      <w:r w:rsidR="00096BE6">
        <w:rPr>
          <w:rFonts w:ascii="Times New Roman" w:hAnsi="Times New Roman"/>
        </w:rPr>
        <w:t xml:space="preserve"> (in the cont</w:t>
      </w:r>
      <w:r w:rsidR="00071FBE">
        <w:rPr>
          <w:rFonts w:ascii="Times New Roman" w:hAnsi="Times New Roman"/>
        </w:rPr>
        <w:t>ext of the differential political agendas of</w:t>
      </w:r>
      <w:r w:rsidR="00096BE6">
        <w:rPr>
          <w:rFonts w:ascii="Times New Roman" w:hAnsi="Times New Roman"/>
        </w:rPr>
        <w:t xml:space="preserve"> new materialist </w:t>
      </w:r>
      <w:r w:rsidR="00096BE6">
        <w:rPr>
          <w:rFonts w:ascii="Times New Roman" w:hAnsi="Times New Roman"/>
        </w:rPr>
        <w:lastRenderedPageBreak/>
        <w:t>critiques and the neoliberal university’s downgrading of the arts and humanities).</w:t>
      </w:r>
      <w:r w:rsidR="004765AF">
        <w:rPr>
          <w:rFonts w:ascii="Times New Roman" w:hAnsi="Times New Roman"/>
        </w:rPr>
        <w:t xml:space="preserve"> </w:t>
      </w:r>
      <w:r w:rsidR="00B16BDC">
        <w:rPr>
          <w:rFonts w:ascii="Times New Roman" w:hAnsi="Times New Roman"/>
        </w:rPr>
        <w:t xml:space="preserve">Yet what are the implications of approaching cultural analysis from </w:t>
      </w:r>
      <w:r w:rsidR="00FD2C5C">
        <w:rPr>
          <w:rFonts w:ascii="Times New Roman" w:hAnsi="Times New Roman"/>
        </w:rPr>
        <w:t xml:space="preserve">the ontological </w:t>
      </w:r>
      <w:r w:rsidR="00B16BDC">
        <w:rPr>
          <w:rFonts w:ascii="Times New Roman" w:hAnsi="Times New Roman"/>
        </w:rPr>
        <w:t xml:space="preserve">assumption that </w:t>
      </w:r>
      <w:r w:rsidR="00B16BDC" w:rsidRPr="006A6B8C">
        <w:rPr>
          <w:rFonts w:ascii="Times New Roman" w:hAnsi="Times New Roman"/>
          <w:i/>
        </w:rPr>
        <w:t>damage</w:t>
      </w:r>
      <w:r w:rsidR="00C62D5A">
        <w:rPr>
          <w:rFonts w:ascii="Times New Roman" w:hAnsi="Times New Roman"/>
        </w:rPr>
        <w:t xml:space="preserve"> has been sustained and</w:t>
      </w:r>
      <w:r w:rsidR="00B16BDC">
        <w:rPr>
          <w:rFonts w:ascii="Times New Roman" w:hAnsi="Times New Roman"/>
        </w:rPr>
        <w:t xml:space="preserve"> that </w:t>
      </w:r>
      <w:r w:rsidR="00B16BDC" w:rsidRPr="006A6B8C">
        <w:rPr>
          <w:rFonts w:ascii="Times New Roman" w:hAnsi="Times New Roman"/>
          <w:i/>
        </w:rPr>
        <w:t>repair</w:t>
      </w:r>
      <w:r w:rsidR="00B16BDC">
        <w:rPr>
          <w:rFonts w:ascii="Times New Roman" w:hAnsi="Times New Roman"/>
        </w:rPr>
        <w:t xml:space="preserve"> is required?</w:t>
      </w:r>
      <w:r w:rsidR="004765AF">
        <w:rPr>
          <w:rFonts w:ascii="Times New Roman" w:hAnsi="Times New Roman"/>
        </w:rPr>
        <w:t xml:space="preserve"> </w:t>
      </w:r>
      <w:r w:rsidR="00FD2C5C">
        <w:rPr>
          <w:rFonts w:ascii="Times New Roman" w:hAnsi="Times New Roman"/>
        </w:rPr>
        <w:t xml:space="preserve">In contemplating this question it seems pertinent to remember, as Stacey does, </w:t>
      </w:r>
      <w:r w:rsidR="00FD2C5C" w:rsidRPr="00FD2C5C">
        <w:rPr>
          <w:rFonts w:ascii="Times New Roman" w:hAnsi="Times New Roman"/>
        </w:rPr>
        <w:t xml:space="preserve">that </w:t>
      </w:r>
      <w:r w:rsidR="00B162F5" w:rsidRPr="00FD2C5C">
        <w:rPr>
          <w:rFonts w:ascii="Times New Roman" w:hAnsi="Times New Roman"/>
          <w:szCs w:val="24"/>
        </w:rPr>
        <w:t>within Klenian psychoanalytic terms, reparation is ‘</w:t>
      </w:r>
      <w:r w:rsidR="00B162F5" w:rsidRPr="00FD2C5C">
        <w:rPr>
          <w:rFonts w:ascii="Times New Roman" w:hAnsi="Times New Roman"/>
          <w:i/>
          <w:szCs w:val="24"/>
        </w:rPr>
        <w:t>a defence mechanism</w:t>
      </w:r>
      <w:r w:rsidR="00B162F5" w:rsidRPr="00FD2C5C">
        <w:rPr>
          <w:rFonts w:ascii="Times New Roman" w:hAnsi="Times New Roman"/>
          <w:szCs w:val="24"/>
        </w:rPr>
        <w:t xml:space="preserve">, a “process of reducing guilt by an action designed to make good the harm </w:t>
      </w:r>
      <w:r w:rsidR="00B162F5" w:rsidRPr="00FD2C5C">
        <w:rPr>
          <w:rFonts w:ascii="Times New Roman" w:hAnsi="Times New Roman"/>
          <w:i/>
          <w:szCs w:val="24"/>
        </w:rPr>
        <w:t>imagined to have been done to an ambivalently invested object</w:t>
      </w:r>
      <w:r w:rsidR="00FD2C5C">
        <w:rPr>
          <w:rFonts w:ascii="Times New Roman" w:hAnsi="Times New Roman"/>
          <w:szCs w:val="24"/>
        </w:rPr>
        <w:t>”’</w:t>
      </w:r>
      <w:r w:rsidR="00F54CBA" w:rsidRPr="00C34275">
        <w:rPr>
          <w:rFonts w:ascii="Times New Roman" w:hAnsi="Times New Roman"/>
          <w:szCs w:val="24"/>
        </w:rPr>
        <w:t>.</w:t>
      </w:r>
      <w:r w:rsidR="00316224">
        <w:rPr>
          <w:rStyle w:val="FootnoteReference"/>
          <w:rFonts w:ascii="Times New Roman" w:hAnsi="Times New Roman"/>
          <w:szCs w:val="24"/>
        </w:rPr>
        <w:footnoteReference w:id="45"/>
      </w:r>
      <w:r w:rsidR="004765AF">
        <w:rPr>
          <w:rFonts w:ascii="Times New Roman" w:hAnsi="Times New Roman"/>
          <w:szCs w:val="24"/>
        </w:rPr>
        <w:t xml:space="preserve"> </w:t>
      </w:r>
      <w:r w:rsidR="00BB5733" w:rsidRPr="00C34275">
        <w:rPr>
          <w:rFonts w:ascii="Times New Roman" w:hAnsi="Times New Roman"/>
          <w:szCs w:val="24"/>
        </w:rPr>
        <w:t>While t</w:t>
      </w:r>
      <w:r w:rsidR="00503059" w:rsidRPr="00C34275">
        <w:rPr>
          <w:rFonts w:ascii="Times New Roman" w:hAnsi="Times New Roman"/>
          <w:szCs w:val="24"/>
        </w:rPr>
        <w:t>he desire to reduce guilt may be appropriate</w:t>
      </w:r>
      <w:r w:rsidR="00071FBE">
        <w:rPr>
          <w:rFonts w:ascii="Times New Roman" w:hAnsi="Times New Roman"/>
          <w:szCs w:val="24"/>
        </w:rPr>
        <w:t xml:space="preserve"> for some subjects</w:t>
      </w:r>
      <w:r w:rsidR="00503059" w:rsidRPr="00C34275">
        <w:rPr>
          <w:rFonts w:ascii="Times New Roman" w:hAnsi="Times New Roman"/>
          <w:szCs w:val="24"/>
        </w:rPr>
        <w:t xml:space="preserve"> in some </w:t>
      </w:r>
      <w:r w:rsidR="00BB5733" w:rsidRPr="00C34275">
        <w:rPr>
          <w:rFonts w:ascii="Times New Roman" w:hAnsi="Times New Roman"/>
          <w:szCs w:val="24"/>
        </w:rPr>
        <w:t>intellectual and political contexts, it might be very inappropriate, incommensurable and simply absent in others.</w:t>
      </w:r>
      <w:r w:rsidR="004765AF">
        <w:rPr>
          <w:rFonts w:ascii="Times New Roman" w:hAnsi="Times New Roman"/>
          <w:szCs w:val="24"/>
        </w:rPr>
        <w:t xml:space="preserve"> </w:t>
      </w:r>
      <w:r w:rsidR="00BB5733" w:rsidRPr="00C34275">
        <w:rPr>
          <w:rFonts w:ascii="Times New Roman" w:hAnsi="Times New Roman"/>
          <w:szCs w:val="24"/>
        </w:rPr>
        <w:t xml:space="preserve">In the realm of cultural theory, guilt that is transferred into reparative practices before it can be consciously or collectively examined </w:t>
      </w:r>
      <w:r w:rsidR="00C34275" w:rsidRPr="00C34275">
        <w:rPr>
          <w:rFonts w:ascii="Times New Roman" w:hAnsi="Times New Roman"/>
          <w:szCs w:val="24"/>
        </w:rPr>
        <w:t>could arguably be counterproductive or dangerous.</w:t>
      </w:r>
      <w:r w:rsidR="004765AF">
        <w:rPr>
          <w:rFonts w:ascii="Times New Roman" w:hAnsi="Times New Roman"/>
          <w:szCs w:val="24"/>
        </w:rPr>
        <w:t xml:space="preserve"> </w:t>
      </w:r>
      <w:r w:rsidR="005F4B0F">
        <w:rPr>
          <w:rFonts w:ascii="Times New Roman" w:hAnsi="Times New Roman"/>
          <w:szCs w:val="24"/>
        </w:rPr>
        <w:t>T</w:t>
      </w:r>
      <w:r w:rsidR="00C34275">
        <w:rPr>
          <w:rFonts w:ascii="Times New Roman" w:hAnsi="Times New Roman"/>
          <w:szCs w:val="24"/>
        </w:rPr>
        <w:t>o what extent can texts ‘repair’ social, political or economic ‘damage’</w:t>
      </w:r>
      <w:r w:rsidR="00560DE4">
        <w:rPr>
          <w:rFonts w:ascii="Times New Roman" w:hAnsi="Times New Roman"/>
          <w:szCs w:val="24"/>
        </w:rPr>
        <w:t>,</w:t>
      </w:r>
      <w:r w:rsidR="004765AF">
        <w:rPr>
          <w:rFonts w:ascii="Times New Roman" w:hAnsi="Times New Roman"/>
          <w:szCs w:val="24"/>
        </w:rPr>
        <w:t xml:space="preserve"> </w:t>
      </w:r>
      <w:r w:rsidR="00560DE4">
        <w:rPr>
          <w:rFonts w:ascii="Times New Roman" w:hAnsi="Times New Roman"/>
          <w:szCs w:val="24"/>
        </w:rPr>
        <w:t>a</w:t>
      </w:r>
      <w:r w:rsidR="005F4B0F">
        <w:rPr>
          <w:rFonts w:ascii="Times New Roman" w:hAnsi="Times New Roman"/>
          <w:szCs w:val="24"/>
        </w:rPr>
        <w:t>nd w</w:t>
      </w:r>
      <w:r w:rsidR="006B1517">
        <w:rPr>
          <w:rFonts w:ascii="Times New Roman" w:hAnsi="Times New Roman"/>
          <w:szCs w:val="24"/>
        </w:rPr>
        <w:t xml:space="preserve">hat </w:t>
      </w:r>
      <w:r w:rsidR="005F4B0F">
        <w:rPr>
          <w:rFonts w:ascii="Times New Roman" w:hAnsi="Times New Roman"/>
          <w:szCs w:val="24"/>
        </w:rPr>
        <w:t xml:space="preserve">(paranoid) </w:t>
      </w:r>
      <w:r w:rsidR="006B1517">
        <w:rPr>
          <w:rFonts w:ascii="Times New Roman" w:hAnsi="Times New Roman"/>
          <w:szCs w:val="24"/>
        </w:rPr>
        <w:t>‘phantasies of omnipotence’ might the desire for textual reparation express and circulate?</w:t>
      </w:r>
      <w:r w:rsidR="005D5932" w:rsidRPr="005D5932">
        <w:rPr>
          <w:rStyle w:val="FootnoteReference"/>
          <w:rFonts w:ascii="Times New Roman" w:hAnsi="Times New Roman"/>
          <w:szCs w:val="24"/>
        </w:rPr>
        <w:t xml:space="preserve"> </w:t>
      </w:r>
      <w:r w:rsidR="005D5932">
        <w:rPr>
          <w:rStyle w:val="FootnoteReference"/>
          <w:rFonts w:ascii="Times New Roman" w:hAnsi="Times New Roman"/>
          <w:szCs w:val="24"/>
        </w:rPr>
        <w:footnoteReference w:id="46"/>
      </w:r>
      <w:r w:rsidR="004765AF">
        <w:rPr>
          <w:rFonts w:ascii="Times New Roman" w:hAnsi="Times New Roman"/>
          <w:szCs w:val="24"/>
        </w:rPr>
        <w:t xml:space="preserve"> </w:t>
      </w:r>
      <w:r w:rsidR="006B1517">
        <w:rPr>
          <w:rFonts w:ascii="Times New Roman" w:hAnsi="Times New Roman"/>
          <w:szCs w:val="24"/>
        </w:rPr>
        <w:t xml:space="preserve">These concerns </w:t>
      </w:r>
      <w:r w:rsidR="005F4B0F">
        <w:rPr>
          <w:rFonts w:ascii="Times New Roman" w:hAnsi="Times New Roman"/>
          <w:szCs w:val="24"/>
        </w:rPr>
        <w:t xml:space="preserve">are </w:t>
      </w:r>
      <w:r w:rsidR="00F54CBA">
        <w:rPr>
          <w:rFonts w:ascii="Times New Roman" w:hAnsi="Times New Roman"/>
          <w:szCs w:val="24"/>
        </w:rPr>
        <w:t xml:space="preserve">linked to wider questions regarding the slippages </w:t>
      </w:r>
      <w:r w:rsidR="00AC2576">
        <w:rPr>
          <w:rFonts w:ascii="Times New Roman" w:hAnsi="Times New Roman"/>
          <w:szCs w:val="24"/>
        </w:rPr>
        <w:t xml:space="preserve">that </w:t>
      </w:r>
      <w:r w:rsidR="00F54CBA">
        <w:rPr>
          <w:rFonts w:ascii="Times New Roman" w:hAnsi="Times New Roman"/>
          <w:szCs w:val="24"/>
        </w:rPr>
        <w:t>occur in translating frameworks and concepts from psychoanalysis/the clinic to cultural analysis/academia</w:t>
      </w:r>
      <w:r w:rsidR="00316224">
        <w:rPr>
          <w:rStyle w:val="FootnoteReference"/>
          <w:rFonts w:ascii="Times New Roman" w:hAnsi="Times New Roman"/>
          <w:szCs w:val="24"/>
        </w:rPr>
        <w:footnoteReference w:id="47"/>
      </w:r>
      <w:r w:rsidR="00F54CBA">
        <w:rPr>
          <w:rFonts w:ascii="Times New Roman" w:hAnsi="Times New Roman"/>
          <w:szCs w:val="24"/>
        </w:rPr>
        <w:t xml:space="preserve"> which, I suggest, is another strand of affective translation central to the mood work of cultural theory.</w:t>
      </w:r>
      <w:r w:rsidR="004765AF">
        <w:rPr>
          <w:rFonts w:ascii="Times New Roman" w:hAnsi="Times New Roman"/>
          <w:szCs w:val="24"/>
        </w:rPr>
        <w:t xml:space="preserve"> </w:t>
      </w:r>
    </w:p>
    <w:p w14:paraId="0BAD9CAD" w14:textId="10A882C3" w:rsidR="00225B59" w:rsidRDefault="006A0FB6" w:rsidP="009D75F2">
      <w:pPr>
        <w:pStyle w:val="FreeFormA"/>
        <w:ind w:firstLine="720"/>
        <w:rPr>
          <w:rFonts w:ascii="Times New Roman" w:hAnsi="Times New Roman"/>
          <w:szCs w:val="24"/>
        </w:rPr>
      </w:pPr>
      <w:r w:rsidRPr="006A6B8C">
        <w:rPr>
          <w:rFonts w:ascii="Times New Roman" w:hAnsi="Times New Roman"/>
          <w:szCs w:val="24"/>
        </w:rPr>
        <w:t xml:space="preserve">As a means to </w:t>
      </w:r>
      <w:r w:rsidR="007D24DE">
        <w:rPr>
          <w:rFonts w:ascii="Times New Roman" w:hAnsi="Times New Roman"/>
          <w:szCs w:val="24"/>
        </w:rPr>
        <w:t xml:space="preserve">grapple further with </w:t>
      </w:r>
      <w:r w:rsidRPr="006A6B8C">
        <w:rPr>
          <w:rFonts w:ascii="Times New Roman" w:hAnsi="Times New Roman"/>
          <w:szCs w:val="24"/>
        </w:rPr>
        <w:t>some of these questio</w:t>
      </w:r>
      <w:r w:rsidR="006A6B8C" w:rsidRPr="006A6B8C">
        <w:rPr>
          <w:rFonts w:ascii="Times New Roman" w:hAnsi="Times New Roman"/>
          <w:szCs w:val="24"/>
        </w:rPr>
        <w:t xml:space="preserve">ns </w:t>
      </w:r>
      <w:r w:rsidR="009017E3">
        <w:rPr>
          <w:rFonts w:ascii="Times New Roman" w:hAnsi="Times New Roman"/>
          <w:szCs w:val="24"/>
        </w:rPr>
        <w:t xml:space="preserve">concerning </w:t>
      </w:r>
      <w:r w:rsidR="000B12B0">
        <w:rPr>
          <w:rFonts w:ascii="Times New Roman" w:hAnsi="Times New Roman"/>
          <w:szCs w:val="24"/>
        </w:rPr>
        <w:t>mood, reparation and</w:t>
      </w:r>
      <w:r w:rsidR="006A6B8C" w:rsidRPr="006A6B8C">
        <w:rPr>
          <w:rFonts w:ascii="Times New Roman" w:hAnsi="Times New Roman"/>
          <w:szCs w:val="24"/>
        </w:rPr>
        <w:t xml:space="preserve"> translation</w:t>
      </w:r>
      <w:r w:rsidR="000B12B0">
        <w:rPr>
          <w:rFonts w:ascii="Times New Roman" w:hAnsi="Times New Roman"/>
          <w:szCs w:val="24"/>
        </w:rPr>
        <w:t xml:space="preserve"> </w:t>
      </w:r>
      <w:r w:rsidR="006A6B8C" w:rsidRPr="006A6B8C">
        <w:rPr>
          <w:rFonts w:ascii="Times New Roman" w:hAnsi="Times New Roman"/>
          <w:szCs w:val="24"/>
        </w:rPr>
        <w:t>in cultural theory</w:t>
      </w:r>
      <w:r w:rsidR="004D5A43" w:rsidRPr="006A6B8C">
        <w:rPr>
          <w:rFonts w:ascii="Times New Roman" w:hAnsi="Times New Roman"/>
          <w:szCs w:val="24"/>
        </w:rPr>
        <w:t>, I want to explore</w:t>
      </w:r>
      <w:r w:rsidR="0025589A" w:rsidRPr="006A6B8C">
        <w:rPr>
          <w:rFonts w:ascii="Times New Roman" w:hAnsi="Times New Roman"/>
          <w:szCs w:val="24"/>
        </w:rPr>
        <w:t xml:space="preserve"> what might come into view by</w:t>
      </w:r>
      <w:r w:rsidR="00453E28" w:rsidRPr="006A6B8C">
        <w:rPr>
          <w:rFonts w:ascii="Times New Roman" w:hAnsi="Times New Roman"/>
          <w:szCs w:val="24"/>
        </w:rPr>
        <w:t xml:space="preserve"> putting Sedgwick’s call for reparative</w:t>
      </w:r>
      <w:r w:rsidR="00453E28" w:rsidRPr="005475B6">
        <w:rPr>
          <w:rFonts w:ascii="Times New Roman" w:hAnsi="Times New Roman"/>
          <w:szCs w:val="24"/>
        </w:rPr>
        <w:t xml:space="preserve"> reading in dialogue with another incisive analysis of the affective</w:t>
      </w:r>
      <w:r w:rsidR="0088429C" w:rsidRPr="005475B6">
        <w:rPr>
          <w:rFonts w:ascii="Times New Roman" w:hAnsi="Times New Roman"/>
          <w:szCs w:val="24"/>
        </w:rPr>
        <w:t xml:space="preserve"> politics of </w:t>
      </w:r>
      <w:r w:rsidR="006A6B8C">
        <w:rPr>
          <w:rFonts w:ascii="Times New Roman" w:hAnsi="Times New Roman"/>
          <w:szCs w:val="24"/>
        </w:rPr>
        <w:t xml:space="preserve">textual encounters </w:t>
      </w:r>
      <w:r w:rsidR="0088429C" w:rsidRPr="005475B6">
        <w:rPr>
          <w:rFonts w:ascii="Times New Roman" w:hAnsi="Times New Roman"/>
          <w:szCs w:val="24"/>
        </w:rPr>
        <w:t xml:space="preserve">first </w:t>
      </w:r>
      <w:r w:rsidR="0025589A" w:rsidRPr="005475B6">
        <w:rPr>
          <w:rFonts w:ascii="Times New Roman" w:hAnsi="Times New Roman"/>
          <w:szCs w:val="24"/>
        </w:rPr>
        <w:t xml:space="preserve">published </w:t>
      </w:r>
      <w:r w:rsidR="0088429C" w:rsidRPr="005475B6">
        <w:rPr>
          <w:rFonts w:ascii="Times New Roman" w:hAnsi="Times New Roman"/>
          <w:szCs w:val="24"/>
        </w:rPr>
        <w:t>in t</w:t>
      </w:r>
      <w:r w:rsidR="00BE0881">
        <w:rPr>
          <w:rFonts w:ascii="Times New Roman" w:hAnsi="Times New Roman"/>
          <w:szCs w:val="24"/>
        </w:rPr>
        <w:t xml:space="preserve">he political atmospheres of </w:t>
      </w:r>
      <w:r w:rsidR="0088429C" w:rsidRPr="005475B6">
        <w:rPr>
          <w:rFonts w:ascii="Times New Roman" w:hAnsi="Times New Roman"/>
          <w:szCs w:val="24"/>
        </w:rPr>
        <w:t>1990s</w:t>
      </w:r>
      <w:r w:rsidR="006B1517">
        <w:rPr>
          <w:rFonts w:ascii="Times New Roman" w:hAnsi="Times New Roman"/>
          <w:szCs w:val="24"/>
        </w:rPr>
        <w:t xml:space="preserve"> America</w:t>
      </w:r>
      <w:r w:rsidR="0088429C" w:rsidRPr="005475B6">
        <w:rPr>
          <w:rFonts w:ascii="Times New Roman" w:hAnsi="Times New Roman"/>
          <w:szCs w:val="24"/>
        </w:rPr>
        <w:t xml:space="preserve">: </w:t>
      </w:r>
      <w:r w:rsidR="00AC0C02">
        <w:rPr>
          <w:rFonts w:ascii="Times New Roman" w:hAnsi="Times New Roman"/>
          <w:szCs w:val="24"/>
        </w:rPr>
        <w:t>Spivak’s</w:t>
      </w:r>
      <w:r w:rsidR="00316224">
        <w:rPr>
          <w:rFonts w:ascii="Times New Roman" w:hAnsi="Times New Roman"/>
          <w:szCs w:val="24"/>
        </w:rPr>
        <w:t xml:space="preserve"> ‘The Politics of Translation’</w:t>
      </w:r>
      <w:r w:rsidR="006D1EEC" w:rsidRPr="005475B6">
        <w:rPr>
          <w:rFonts w:ascii="Times New Roman" w:hAnsi="Times New Roman"/>
          <w:szCs w:val="24"/>
        </w:rPr>
        <w:t>.</w:t>
      </w:r>
      <w:r w:rsidR="00316224">
        <w:rPr>
          <w:rStyle w:val="FootnoteReference"/>
          <w:rFonts w:ascii="Times New Roman" w:hAnsi="Times New Roman"/>
          <w:szCs w:val="24"/>
        </w:rPr>
        <w:footnoteReference w:id="48"/>
      </w:r>
      <w:r w:rsidR="004765AF">
        <w:rPr>
          <w:rFonts w:ascii="Times New Roman" w:hAnsi="Times New Roman"/>
          <w:szCs w:val="24"/>
        </w:rPr>
        <w:t xml:space="preserve"> </w:t>
      </w:r>
      <w:r w:rsidR="006D1EEC" w:rsidRPr="005475B6">
        <w:rPr>
          <w:rFonts w:ascii="Times New Roman" w:hAnsi="Times New Roman"/>
          <w:szCs w:val="24"/>
        </w:rPr>
        <w:t xml:space="preserve">If Sedgwick </w:t>
      </w:r>
      <w:r w:rsidR="0088429C" w:rsidRPr="005475B6">
        <w:rPr>
          <w:rFonts w:ascii="Times New Roman" w:hAnsi="Times New Roman"/>
          <w:szCs w:val="24"/>
        </w:rPr>
        <w:t xml:space="preserve">first </w:t>
      </w:r>
      <w:r w:rsidR="006D1EEC" w:rsidRPr="005475B6">
        <w:rPr>
          <w:rFonts w:ascii="Times New Roman" w:hAnsi="Times New Roman"/>
          <w:szCs w:val="24"/>
        </w:rPr>
        <w:t xml:space="preserve">makes the case for </w:t>
      </w:r>
      <w:r w:rsidR="006D1EEC" w:rsidRPr="005475B6">
        <w:rPr>
          <w:rFonts w:ascii="Times New Roman" w:hAnsi="Times New Roman"/>
          <w:i/>
          <w:szCs w:val="24"/>
        </w:rPr>
        <w:t xml:space="preserve">reparation </w:t>
      </w:r>
      <w:r w:rsidR="006D1EEC" w:rsidRPr="005475B6">
        <w:rPr>
          <w:rFonts w:ascii="Times New Roman" w:hAnsi="Times New Roman"/>
          <w:szCs w:val="24"/>
        </w:rPr>
        <w:t>‘as</w:t>
      </w:r>
      <w:r w:rsidR="00453E28" w:rsidRPr="005475B6">
        <w:rPr>
          <w:rFonts w:ascii="Times New Roman" w:hAnsi="Times New Roman"/>
          <w:szCs w:val="24"/>
        </w:rPr>
        <w:t xml:space="preserve"> a textual</w:t>
      </w:r>
      <w:r w:rsidR="00316224">
        <w:rPr>
          <w:rFonts w:ascii="Times New Roman" w:hAnsi="Times New Roman"/>
          <w:szCs w:val="24"/>
        </w:rPr>
        <w:t xml:space="preserve"> encounter predicated on love’</w:t>
      </w:r>
      <w:r w:rsidR="00316224">
        <w:rPr>
          <w:rStyle w:val="FootnoteReference"/>
          <w:rFonts w:ascii="Times New Roman" w:hAnsi="Times New Roman"/>
          <w:szCs w:val="24"/>
        </w:rPr>
        <w:footnoteReference w:id="49"/>
      </w:r>
      <w:r w:rsidR="006D1EEC" w:rsidRPr="003A68DA">
        <w:rPr>
          <w:rFonts w:ascii="Times New Roman" w:hAnsi="Times New Roman"/>
          <w:szCs w:val="24"/>
        </w:rPr>
        <w:t xml:space="preserve"> in the midst of </w:t>
      </w:r>
      <w:r w:rsidR="00590C1E" w:rsidRPr="003A68DA">
        <w:rPr>
          <w:rFonts w:ascii="Times New Roman" w:hAnsi="Times New Roman"/>
          <w:szCs w:val="24"/>
        </w:rPr>
        <w:t xml:space="preserve">the harrowing </w:t>
      </w:r>
      <w:r w:rsidR="00842723" w:rsidRPr="003A68DA">
        <w:rPr>
          <w:rFonts w:ascii="Times New Roman" w:hAnsi="Times New Roman"/>
          <w:szCs w:val="24"/>
        </w:rPr>
        <w:t xml:space="preserve">destruction of the </w:t>
      </w:r>
      <w:r w:rsidR="00590C1E" w:rsidRPr="003A68DA">
        <w:rPr>
          <w:rFonts w:ascii="Times New Roman" w:hAnsi="Times New Roman"/>
          <w:szCs w:val="24"/>
        </w:rPr>
        <w:t>AIDS crisis, the vio</w:t>
      </w:r>
      <w:r w:rsidR="00842723" w:rsidRPr="003A68DA">
        <w:rPr>
          <w:rFonts w:ascii="Times New Roman" w:hAnsi="Times New Roman"/>
          <w:szCs w:val="24"/>
        </w:rPr>
        <w:t>lence of conservative</w:t>
      </w:r>
      <w:r w:rsidR="00842723">
        <w:rPr>
          <w:rFonts w:ascii="Times New Roman" w:hAnsi="Times New Roman"/>
          <w:szCs w:val="24"/>
        </w:rPr>
        <w:t xml:space="preserve"> political modes of governing it</w:t>
      </w:r>
      <w:r w:rsidR="00210574">
        <w:rPr>
          <w:rFonts w:ascii="Times New Roman" w:hAnsi="Times New Roman"/>
          <w:szCs w:val="24"/>
        </w:rPr>
        <w:t>, and queer scholars’</w:t>
      </w:r>
      <w:r w:rsidR="00010809">
        <w:rPr>
          <w:rFonts w:ascii="Times New Roman" w:hAnsi="Times New Roman"/>
          <w:szCs w:val="24"/>
        </w:rPr>
        <w:t xml:space="preserve"> and activists’</w:t>
      </w:r>
      <w:r w:rsidR="00842723">
        <w:rPr>
          <w:rFonts w:ascii="Times New Roman" w:hAnsi="Times New Roman"/>
          <w:szCs w:val="24"/>
        </w:rPr>
        <w:t xml:space="preserve"> attempts to grapple with this trauma</w:t>
      </w:r>
      <w:r w:rsidR="00210574">
        <w:rPr>
          <w:rFonts w:ascii="Times New Roman" w:hAnsi="Times New Roman"/>
          <w:szCs w:val="24"/>
        </w:rPr>
        <w:t xml:space="preserve"> and violence</w:t>
      </w:r>
      <w:r w:rsidR="006D1EEC" w:rsidRPr="005475B6">
        <w:rPr>
          <w:rFonts w:ascii="Times New Roman" w:hAnsi="Times New Roman"/>
          <w:szCs w:val="24"/>
        </w:rPr>
        <w:t xml:space="preserve">, Spivak describes </w:t>
      </w:r>
      <w:r w:rsidR="006D1EEC" w:rsidRPr="005475B6">
        <w:rPr>
          <w:rFonts w:ascii="Times New Roman" w:hAnsi="Times New Roman"/>
          <w:i/>
          <w:szCs w:val="24"/>
        </w:rPr>
        <w:t xml:space="preserve">translation </w:t>
      </w:r>
      <w:r w:rsidR="006D1EEC" w:rsidRPr="005475B6">
        <w:rPr>
          <w:rFonts w:ascii="Times New Roman" w:hAnsi="Times New Roman"/>
          <w:szCs w:val="24"/>
        </w:rPr>
        <w:t>as</w:t>
      </w:r>
      <w:r w:rsidR="0025589A" w:rsidRPr="005475B6">
        <w:rPr>
          <w:rFonts w:ascii="Times New Roman" w:hAnsi="Times New Roman"/>
          <w:szCs w:val="24"/>
        </w:rPr>
        <w:t xml:space="preserve"> </w:t>
      </w:r>
      <w:r w:rsidR="005F4E5C" w:rsidRPr="005475B6">
        <w:rPr>
          <w:rFonts w:ascii="Times New Roman" w:hAnsi="Times New Roman"/>
          <w:szCs w:val="24"/>
        </w:rPr>
        <w:t xml:space="preserve">requiring ‘a love that permits fraying’ in the context </w:t>
      </w:r>
      <w:r w:rsidR="005F4E5C" w:rsidRPr="00842723">
        <w:rPr>
          <w:rFonts w:ascii="Times New Roman" w:hAnsi="Times New Roman"/>
          <w:szCs w:val="24"/>
        </w:rPr>
        <w:t xml:space="preserve">of </w:t>
      </w:r>
      <w:r w:rsidR="00842723" w:rsidRPr="00842723">
        <w:rPr>
          <w:rFonts w:ascii="Times New Roman" w:hAnsi="Times New Roman"/>
          <w:szCs w:val="24"/>
        </w:rPr>
        <w:t xml:space="preserve">the </w:t>
      </w:r>
      <w:r w:rsidR="00842723">
        <w:rPr>
          <w:rFonts w:ascii="Times New Roman" w:hAnsi="Times New Roman"/>
          <w:szCs w:val="24"/>
        </w:rPr>
        <w:t xml:space="preserve">gendered </w:t>
      </w:r>
      <w:r w:rsidR="00842723" w:rsidRPr="00842723">
        <w:rPr>
          <w:rFonts w:ascii="Times New Roman" w:hAnsi="Times New Roman"/>
          <w:szCs w:val="24"/>
        </w:rPr>
        <w:t>aftermath</w:t>
      </w:r>
      <w:r w:rsidR="00681DA4">
        <w:rPr>
          <w:rFonts w:ascii="Times New Roman" w:hAnsi="Times New Roman"/>
          <w:szCs w:val="24"/>
        </w:rPr>
        <w:t xml:space="preserve"> of empire an</w:t>
      </w:r>
      <w:r w:rsidR="00210574">
        <w:rPr>
          <w:rFonts w:ascii="Times New Roman" w:hAnsi="Times New Roman"/>
          <w:szCs w:val="24"/>
        </w:rPr>
        <w:t>d decolonisation</w:t>
      </w:r>
      <w:r w:rsidR="008C2A5C">
        <w:rPr>
          <w:rFonts w:ascii="Times New Roman" w:hAnsi="Times New Roman"/>
          <w:szCs w:val="24"/>
        </w:rPr>
        <w:t xml:space="preserve">, debates surrounding feminist </w:t>
      </w:r>
      <w:r w:rsidR="001F2FE9">
        <w:rPr>
          <w:rFonts w:ascii="Times New Roman" w:hAnsi="Times New Roman"/>
          <w:szCs w:val="24"/>
        </w:rPr>
        <w:t xml:space="preserve">visions of </w:t>
      </w:r>
      <w:r w:rsidR="008C2A5C">
        <w:rPr>
          <w:rFonts w:ascii="Times New Roman" w:hAnsi="Times New Roman"/>
          <w:szCs w:val="24"/>
        </w:rPr>
        <w:t xml:space="preserve">transnational activism and solidarity, and the instrumentalisation of ‘translation’ as a mode of gaining knowledge about ‘other cultures’ against </w:t>
      </w:r>
      <w:r w:rsidR="00F54CBA">
        <w:rPr>
          <w:rFonts w:ascii="Times New Roman" w:hAnsi="Times New Roman"/>
          <w:szCs w:val="24"/>
        </w:rPr>
        <w:t>the backdrop of multiculturalist</w:t>
      </w:r>
      <w:r w:rsidR="008C2A5C">
        <w:rPr>
          <w:rFonts w:ascii="Times New Roman" w:hAnsi="Times New Roman"/>
          <w:szCs w:val="24"/>
        </w:rPr>
        <w:t xml:space="preserve"> </w:t>
      </w:r>
      <w:r w:rsidR="00F54CBA">
        <w:rPr>
          <w:rFonts w:ascii="Times New Roman" w:hAnsi="Times New Roman"/>
          <w:szCs w:val="24"/>
        </w:rPr>
        <w:t>forms of governance and recognition</w:t>
      </w:r>
      <w:r w:rsidR="005F4E5C" w:rsidRPr="005475B6">
        <w:rPr>
          <w:rFonts w:ascii="Times New Roman" w:hAnsi="Times New Roman"/>
          <w:szCs w:val="24"/>
        </w:rPr>
        <w:t>.</w:t>
      </w:r>
      <w:r w:rsidR="00316224">
        <w:rPr>
          <w:rStyle w:val="FootnoteReference"/>
          <w:rFonts w:ascii="Times New Roman" w:hAnsi="Times New Roman"/>
          <w:szCs w:val="24"/>
        </w:rPr>
        <w:footnoteReference w:id="50"/>
      </w:r>
      <w:r w:rsidR="004765AF">
        <w:rPr>
          <w:rFonts w:ascii="Times New Roman" w:hAnsi="Times New Roman"/>
          <w:szCs w:val="24"/>
        </w:rPr>
        <w:t xml:space="preserve"> </w:t>
      </w:r>
      <w:r w:rsidR="001F4693" w:rsidRPr="0034338E">
        <w:rPr>
          <w:rFonts w:ascii="Times New Roman" w:hAnsi="Times New Roman"/>
          <w:szCs w:val="24"/>
        </w:rPr>
        <w:t>Of cou</w:t>
      </w:r>
      <w:r w:rsidR="0034338E">
        <w:rPr>
          <w:rFonts w:ascii="Times New Roman" w:hAnsi="Times New Roman"/>
          <w:szCs w:val="24"/>
        </w:rPr>
        <w:t>rse, these affective landscapes</w:t>
      </w:r>
      <w:r w:rsidR="001F4693" w:rsidRPr="0034338E">
        <w:rPr>
          <w:rFonts w:ascii="Times New Roman" w:hAnsi="Times New Roman"/>
          <w:szCs w:val="24"/>
        </w:rPr>
        <w:t xml:space="preserve"> are not </w:t>
      </w:r>
      <w:r w:rsidR="008C2A5C" w:rsidRPr="0034338E">
        <w:rPr>
          <w:rFonts w:ascii="Times New Roman" w:hAnsi="Times New Roman"/>
          <w:szCs w:val="24"/>
        </w:rPr>
        <w:t>separate</w:t>
      </w:r>
      <w:r w:rsidR="000B690F">
        <w:rPr>
          <w:rFonts w:ascii="Times New Roman" w:hAnsi="Times New Roman"/>
          <w:szCs w:val="24"/>
        </w:rPr>
        <w:t>,</w:t>
      </w:r>
      <w:r w:rsidR="00FB0739">
        <w:rPr>
          <w:rFonts w:ascii="Times New Roman" w:hAnsi="Times New Roman"/>
          <w:szCs w:val="24"/>
        </w:rPr>
        <w:t xml:space="preserve"> but rather intimately related.</w:t>
      </w:r>
      <w:r w:rsidR="004765AF">
        <w:rPr>
          <w:rFonts w:ascii="Times New Roman" w:hAnsi="Times New Roman"/>
          <w:szCs w:val="24"/>
        </w:rPr>
        <w:t xml:space="preserve"> </w:t>
      </w:r>
      <w:r w:rsidR="00FB0739">
        <w:rPr>
          <w:rFonts w:ascii="Times New Roman" w:hAnsi="Times New Roman"/>
          <w:szCs w:val="24"/>
        </w:rPr>
        <w:t>I</w:t>
      </w:r>
      <w:r w:rsidR="001F2FE9">
        <w:rPr>
          <w:rFonts w:ascii="Times New Roman" w:hAnsi="Times New Roman"/>
          <w:szCs w:val="24"/>
        </w:rPr>
        <w:t>n the heady atmosphere</w:t>
      </w:r>
      <w:r w:rsidR="005D5DFD">
        <w:rPr>
          <w:rFonts w:ascii="Times New Roman" w:hAnsi="Times New Roman"/>
          <w:szCs w:val="24"/>
        </w:rPr>
        <w:t>s</w:t>
      </w:r>
      <w:r w:rsidR="0034338E">
        <w:rPr>
          <w:rFonts w:ascii="Times New Roman" w:hAnsi="Times New Roman"/>
          <w:szCs w:val="24"/>
        </w:rPr>
        <w:t xml:space="preserve"> of ‘identity politics’ in which various scholarly and activist interventions were mobilising in the </w:t>
      </w:r>
      <w:r w:rsidR="00225B59">
        <w:rPr>
          <w:rFonts w:ascii="Times New Roman" w:hAnsi="Times New Roman"/>
          <w:szCs w:val="24"/>
        </w:rPr>
        <w:t xml:space="preserve">1980s and </w:t>
      </w:r>
      <w:r w:rsidR="0034338E">
        <w:rPr>
          <w:rFonts w:ascii="Times New Roman" w:hAnsi="Times New Roman"/>
          <w:szCs w:val="24"/>
        </w:rPr>
        <w:t xml:space="preserve">1990s, </w:t>
      </w:r>
      <w:r w:rsidR="008C2A5C" w:rsidRPr="0034338E">
        <w:rPr>
          <w:rFonts w:ascii="Times New Roman" w:hAnsi="Times New Roman"/>
          <w:szCs w:val="24"/>
        </w:rPr>
        <w:t>Sedgwick and Spivak</w:t>
      </w:r>
      <w:r w:rsidR="00DE5E30">
        <w:rPr>
          <w:rFonts w:ascii="Times New Roman" w:hAnsi="Times New Roman"/>
          <w:szCs w:val="24"/>
        </w:rPr>
        <w:t xml:space="preserve"> each</w:t>
      </w:r>
      <w:r w:rsidR="00225B59">
        <w:rPr>
          <w:rFonts w:ascii="Times New Roman" w:hAnsi="Times New Roman"/>
          <w:szCs w:val="24"/>
        </w:rPr>
        <w:t xml:space="preserve"> sought</w:t>
      </w:r>
      <w:r w:rsidR="00925B05">
        <w:rPr>
          <w:rFonts w:ascii="Times New Roman" w:hAnsi="Times New Roman"/>
          <w:szCs w:val="24"/>
        </w:rPr>
        <w:t>, in different ways,</w:t>
      </w:r>
      <w:r w:rsidR="00225B59">
        <w:rPr>
          <w:rFonts w:ascii="Times New Roman" w:hAnsi="Times New Roman"/>
          <w:szCs w:val="24"/>
        </w:rPr>
        <w:t xml:space="preserve"> to affirm the vitality of the complex political struggles that </w:t>
      </w:r>
      <w:r w:rsidR="00DE5E30">
        <w:rPr>
          <w:rFonts w:ascii="Times New Roman" w:hAnsi="Times New Roman"/>
          <w:szCs w:val="24"/>
        </w:rPr>
        <w:t xml:space="preserve">various </w:t>
      </w:r>
      <w:r w:rsidR="00FF63B0">
        <w:rPr>
          <w:rFonts w:ascii="Times New Roman" w:hAnsi="Times New Roman"/>
          <w:szCs w:val="24"/>
        </w:rPr>
        <w:t>enactments of ‘identity’ referenced</w:t>
      </w:r>
      <w:r w:rsidR="00225B59">
        <w:rPr>
          <w:rFonts w:ascii="Times New Roman" w:hAnsi="Times New Roman"/>
          <w:szCs w:val="24"/>
        </w:rPr>
        <w:t>, while simultaneously contesting the</w:t>
      </w:r>
      <w:r w:rsidR="00925B05">
        <w:rPr>
          <w:rFonts w:ascii="Times New Roman" w:hAnsi="Times New Roman"/>
          <w:szCs w:val="24"/>
        </w:rPr>
        <w:t xml:space="preserve"> </w:t>
      </w:r>
      <w:r w:rsidR="00225B59">
        <w:rPr>
          <w:rFonts w:ascii="Times New Roman" w:hAnsi="Times New Roman"/>
          <w:szCs w:val="24"/>
        </w:rPr>
        <w:t xml:space="preserve">congealing modes of capture on </w:t>
      </w:r>
      <w:r w:rsidR="00FF63B0">
        <w:rPr>
          <w:rFonts w:ascii="Times New Roman" w:hAnsi="Times New Roman"/>
          <w:szCs w:val="24"/>
        </w:rPr>
        <w:t>which identitarian strateg</w:t>
      </w:r>
      <w:r w:rsidR="00DE5E30">
        <w:rPr>
          <w:rFonts w:ascii="Times New Roman" w:hAnsi="Times New Roman"/>
          <w:szCs w:val="24"/>
        </w:rPr>
        <w:t>ies often</w:t>
      </w:r>
      <w:r w:rsidR="00556147">
        <w:rPr>
          <w:rFonts w:ascii="Times New Roman" w:hAnsi="Times New Roman"/>
          <w:szCs w:val="24"/>
        </w:rPr>
        <w:t xml:space="preserve"> turned</w:t>
      </w:r>
      <w:r w:rsidR="00225B59">
        <w:rPr>
          <w:rFonts w:ascii="Times New Roman" w:hAnsi="Times New Roman"/>
          <w:szCs w:val="24"/>
        </w:rPr>
        <w:t>.</w:t>
      </w:r>
      <w:r w:rsidR="004765AF">
        <w:rPr>
          <w:rFonts w:ascii="Times New Roman" w:hAnsi="Times New Roman"/>
          <w:szCs w:val="24"/>
        </w:rPr>
        <w:t xml:space="preserve"> </w:t>
      </w:r>
      <w:r w:rsidR="00FF63B0">
        <w:rPr>
          <w:rFonts w:ascii="Times New Roman" w:hAnsi="Times New Roman"/>
          <w:szCs w:val="24"/>
        </w:rPr>
        <w:t>Both authors turn</w:t>
      </w:r>
      <w:r w:rsidR="007D24DE">
        <w:rPr>
          <w:rFonts w:ascii="Times New Roman" w:hAnsi="Times New Roman"/>
          <w:szCs w:val="24"/>
        </w:rPr>
        <w:t>ed</w:t>
      </w:r>
      <w:r w:rsidR="005069F4">
        <w:rPr>
          <w:rFonts w:ascii="Times New Roman" w:hAnsi="Times New Roman"/>
          <w:szCs w:val="24"/>
        </w:rPr>
        <w:t xml:space="preserve"> to affect</w:t>
      </w:r>
      <w:r w:rsidR="00FF63B0">
        <w:rPr>
          <w:rFonts w:ascii="Times New Roman" w:hAnsi="Times New Roman"/>
          <w:szCs w:val="24"/>
        </w:rPr>
        <w:t xml:space="preserve"> as </w:t>
      </w:r>
      <w:r w:rsidR="005D5DFD">
        <w:rPr>
          <w:rFonts w:ascii="Times New Roman" w:hAnsi="Times New Roman"/>
          <w:szCs w:val="24"/>
        </w:rPr>
        <w:t xml:space="preserve">a </w:t>
      </w:r>
      <w:r w:rsidR="00AC32CD">
        <w:rPr>
          <w:rFonts w:ascii="Times New Roman" w:hAnsi="Times New Roman"/>
          <w:szCs w:val="24"/>
        </w:rPr>
        <w:t xml:space="preserve">means of renegotiating these tensions, </w:t>
      </w:r>
      <w:r w:rsidR="00DE5E30">
        <w:rPr>
          <w:rFonts w:ascii="Times New Roman" w:hAnsi="Times New Roman"/>
          <w:szCs w:val="24"/>
        </w:rPr>
        <w:t>open</w:t>
      </w:r>
      <w:r w:rsidR="00AC32CD">
        <w:rPr>
          <w:rFonts w:ascii="Times New Roman" w:hAnsi="Times New Roman"/>
          <w:szCs w:val="24"/>
        </w:rPr>
        <w:t>ing</w:t>
      </w:r>
      <w:r w:rsidR="00DE5E30">
        <w:rPr>
          <w:rFonts w:ascii="Times New Roman" w:hAnsi="Times New Roman"/>
          <w:szCs w:val="24"/>
        </w:rPr>
        <w:t xml:space="preserve"> up different ways of grappling </w:t>
      </w:r>
      <w:r w:rsidR="00560DE4">
        <w:rPr>
          <w:rFonts w:ascii="Times New Roman" w:hAnsi="Times New Roman"/>
          <w:szCs w:val="24"/>
        </w:rPr>
        <w:t xml:space="preserve">with </w:t>
      </w:r>
      <w:r w:rsidR="00DE5E30">
        <w:rPr>
          <w:rFonts w:ascii="Times New Roman" w:hAnsi="Times New Roman"/>
          <w:szCs w:val="24"/>
        </w:rPr>
        <w:t>the visceral workings of power</w:t>
      </w:r>
      <w:r w:rsidR="00556147">
        <w:rPr>
          <w:rFonts w:ascii="Times New Roman" w:hAnsi="Times New Roman"/>
          <w:szCs w:val="24"/>
        </w:rPr>
        <w:t xml:space="preserve"> through our engagements with texts</w:t>
      </w:r>
      <w:r w:rsidR="00DE5E30">
        <w:rPr>
          <w:rFonts w:ascii="Times New Roman" w:hAnsi="Times New Roman"/>
          <w:szCs w:val="24"/>
        </w:rPr>
        <w:t>.</w:t>
      </w:r>
      <w:r w:rsidR="004765AF">
        <w:rPr>
          <w:rFonts w:ascii="Times New Roman" w:hAnsi="Times New Roman"/>
          <w:szCs w:val="24"/>
        </w:rPr>
        <w:t xml:space="preserve"> </w:t>
      </w:r>
      <w:r w:rsidR="00DE5E30">
        <w:rPr>
          <w:rFonts w:ascii="Times New Roman" w:hAnsi="Times New Roman"/>
          <w:szCs w:val="24"/>
        </w:rPr>
        <w:t>Reading Sedgwick and Spivak t</w:t>
      </w:r>
      <w:r w:rsidR="00690C92">
        <w:rPr>
          <w:rFonts w:ascii="Times New Roman" w:hAnsi="Times New Roman"/>
          <w:szCs w:val="24"/>
        </w:rPr>
        <w:t xml:space="preserve">ogether, I am interested in </w:t>
      </w:r>
      <w:r w:rsidR="007D24DE">
        <w:rPr>
          <w:rFonts w:ascii="Times New Roman" w:hAnsi="Times New Roman"/>
          <w:szCs w:val="24"/>
        </w:rPr>
        <w:t xml:space="preserve">examining </w:t>
      </w:r>
      <w:r w:rsidR="00690C92">
        <w:rPr>
          <w:rFonts w:ascii="Times New Roman" w:hAnsi="Times New Roman"/>
          <w:szCs w:val="24"/>
        </w:rPr>
        <w:t xml:space="preserve">the resonances between reparation and translation as affective modes </w:t>
      </w:r>
      <w:r w:rsidR="00010AE3">
        <w:rPr>
          <w:rFonts w:ascii="Times New Roman" w:hAnsi="Times New Roman"/>
          <w:szCs w:val="24"/>
        </w:rPr>
        <w:t xml:space="preserve">of </w:t>
      </w:r>
      <w:r w:rsidR="00690C92">
        <w:rPr>
          <w:rFonts w:ascii="Times New Roman" w:hAnsi="Times New Roman"/>
          <w:szCs w:val="24"/>
        </w:rPr>
        <w:t xml:space="preserve">cultural analysis, and particularly in </w:t>
      </w:r>
      <w:r w:rsidR="005069F4">
        <w:rPr>
          <w:rFonts w:ascii="Times New Roman" w:hAnsi="Times New Roman"/>
          <w:szCs w:val="24"/>
        </w:rPr>
        <w:t xml:space="preserve">how </w:t>
      </w:r>
      <w:r w:rsidR="00AC32CD">
        <w:rPr>
          <w:rFonts w:ascii="Times New Roman" w:hAnsi="Times New Roman"/>
          <w:szCs w:val="24"/>
        </w:rPr>
        <w:t xml:space="preserve">exploring </w:t>
      </w:r>
      <w:r w:rsidR="00690C92">
        <w:rPr>
          <w:rFonts w:ascii="Times New Roman" w:hAnsi="Times New Roman"/>
          <w:szCs w:val="24"/>
        </w:rPr>
        <w:t xml:space="preserve">the sensorial possibilities of translation might enrich or </w:t>
      </w:r>
      <w:r w:rsidR="00F44F60">
        <w:rPr>
          <w:rFonts w:ascii="Times New Roman" w:hAnsi="Times New Roman"/>
          <w:szCs w:val="24"/>
        </w:rPr>
        <w:t xml:space="preserve">productively </w:t>
      </w:r>
      <w:r w:rsidR="00690C92">
        <w:rPr>
          <w:rFonts w:ascii="Times New Roman" w:hAnsi="Times New Roman"/>
          <w:szCs w:val="24"/>
        </w:rPr>
        <w:t>refigure contemporary debates regarding</w:t>
      </w:r>
      <w:r w:rsidR="00AC32CD">
        <w:rPr>
          <w:rFonts w:ascii="Times New Roman" w:hAnsi="Times New Roman"/>
          <w:szCs w:val="24"/>
        </w:rPr>
        <w:t xml:space="preserve"> the fate of textual interpretation in the wa</w:t>
      </w:r>
      <w:r w:rsidR="005C3362">
        <w:rPr>
          <w:rFonts w:ascii="Times New Roman" w:hAnsi="Times New Roman"/>
          <w:szCs w:val="24"/>
        </w:rPr>
        <w:t xml:space="preserve">ke of </w:t>
      </w:r>
      <w:r w:rsidR="00AC32CD">
        <w:rPr>
          <w:rFonts w:ascii="Times New Roman" w:hAnsi="Times New Roman"/>
          <w:szCs w:val="24"/>
        </w:rPr>
        <w:t>the ontological, affective and new materialist turns</w:t>
      </w:r>
      <w:r w:rsidR="00450102">
        <w:rPr>
          <w:rFonts w:ascii="Times New Roman" w:hAnsi="Times New Roman"/>
          <w:szCs w:val="24"/>
        </w:rPr>
        <w:t xml:space="preserve"> and the neoliberal university. </w:t>
      </w:r>
    </w:p>
    <w:p w14:paraId="4842C443" w14:textId="73F0BE83" w:rsidR="00D332F6" w:rsidRPr="005475B6" w:rsidRDefault="00CE5CF3" w:rsidP="009D75F2">
      <w:pPr>
        <w:pStyle w:val="FreeFormA"/>
        <w:ind w:firstLine="567"/>
        <w:rPr>
          <w:rFonts w:ascii="Times New Roman" w:hAnsi="Times New Roman"/>
          <w:szCs w:val="24"/>
        </w:rPr>
      </w:pPr>
      <w:r w:rsidRPr="009550EB">
        <w:rPr>
          <w:rFonts w:ascii="Times New Roman" w:hAnsi="Times New Roman"/>
          <w:szCs w:val="24"/>
        </w:rPr>
        <w:lastRenderedPageBreak/>
        <w:t xml:space="preserve">‘Translation’ is a concept </w:t>
      </w:r>
      <w:r>
        <w:rPr>
          <w:rFonts w:ascii="Times New Roman" w:hAnsi="Times New Roman"/>
          <w:szCs w:val="24"/>
        </w:rPr>
        <w:t>that has long been central to</w:t>
      </w:r>
      <w:r w:rsidRPr="009550EB">
        <w:rPr>
          <w:rFonts w:ascii="Times New Roman" w:hAnsi="Times New Roman"/>
          <w:szCs w:val="24"/>
        </w:rPr>
        <w:t xml:space="preserve"> Spivak’s</w:t>
      </w:r>
      <w:r>
        <w:rPr>
          <w:rFonts w:ascii="Times New Roman" w:hAnsi="Times New Roman"/>
          <w:szCs w:val="24"/>
        </w:rPr>
        <w:t xml:space="preserve"> writing</w:t>
      </w:r>
      <w:r w:rsidRPr="009550EB">
        <w:rPr>
          <w:rFonts w:ascii="Times New Roman" w:hAnsi="Times New Roman"/>
          <w:szCs w:val="24"/>
        </w:rPr>
        <w:t xml:space="preserve">, appearing throughout her </w:t>
      </w:r>
      <w:r w:rsidR="00DE1A6E">
        <w:rPr>
          <w:rFonts w:ascii="Times New Roman" w:hAnsi="Times New Roman"/>
          <w:szCs w:val="24"/>
        </w:rPr>
        <w:t>postcolonial feminist interventions</w:t>
      </w:r>
      <w:r>
        <w:rPr>
          <w:rFonts w:ascii="Times New Roman" w:hAnsi="Times New Roman"/>
          <w:szCs w:val="24"/>
        </w:rPr>
        <w:t xml:space="preserve"> </w:t>
      </w:r>
      <w:r w:rsidRPr="009550EB">
        <w:rPr>
          <w:rFonts w:ascii="Times New Roman" w:hAnsi="Times New Roman"/>
          <w:szCs w:val="24"/>
        </w:rPr>
        <w:t>in a variety of guises.</w:t>
      </w:r>
      <w:r>
        <w:rPr>
          <w:rFonts w:ascii="Times New Roman" w:hAnsi="Times New Roman"/>
          <w:szCs w:val="24"/>
        </w:rPr>
        <w:t xml:space="preserve"> Contesting international civil society’s call for translation as ‘a quick way to “know a culture”’</w:t>
      </w:r>
      <w:r w:rsidR="00316224">
        <w:rPr>
          <w:rStyle w:val="FootnoteReference"/>
          <w:rFonts w:ascii="Times New Roman" w:hAnsi="Times New Roman"/>
          <w:szCs w:val="24"/>
        </w:rPr>
        <w:footnoteReference w:id="51"/>
      </w:r>
      <w:r w:rsidRPr="00480D18">
        <w:rPr>
          <w:rFonts w:ascii="Times New Roman" w:hAnsi="Times New Roman"/>
          <w:szCs w:val="24"/>
        </w:rPr>
        <w:t xml:space="preserve">, </w:t>
      </w:r>
      <w:r w:rsidR="00E57FA8" w:rsidRPr="00480D18">
        <w:rPr>
          <w:rFonts w:ascii="Times New Roman" w:hAnsi="Times New Roman"/>
          <w:szCs w:val="24"/>
        </w:rPr>
        <w:t xml:space="preserve">her </w:t>
      </w:r>
      <w:r w:rsidR="00AC32CD">
        <w:rPr>
          <w:rFonts w:ascii="Times New Roman" w:hAnsi="Times New Roman"/>
          <w:szCs w:val="24"/>
        </w:rPr>
        <w:t xml:space="preserve">influential </w:t>
      </w:r>
      <w:r w:rsidR="00E57FA8" w:rsidRPr="00480D18">
        <w:rPr>
          <w:rFonts w:ascii="Times New Roman" w:hAnsi="Times New Roman"/>
          <w:szCs w:val="24"/>
        </w:rPr>
        <w:t xml:space="preserve">chapter </w:t>
      </w:r>
      <w:r w:rsidR="00316224">
        <w:rPr>
          <w:rFonts w:ascii="Times New Roman" w:hAnsi="Times New Roman"/>
          <w:szCs w:val="24"/>
        </w:rPr>
        <w:t xml:space="preserve">‘The Politics of Translation’ </w:t>
      </w:r>
      <w:r w:rsidRPr="00480D18">
        <w:rPr>
          <w:rFonts w:ascii="Times New Roman" w:hAnsi="Times New Roman"/>
          <w:szCs w:val="24"/>
        </w:rPr>
        <w:t xml:space="preserve">examines </w:t>
      </w:r>
      <w:r w:rsidR="00950B1C" w:rsidRPr="00480D18">
        <w:rPr>
          <w:rFonts w:ascii="Times New Roman" w:hAnsi="Times New Roman"/>
          <w:szCs w:val="24"/>
        </w:rPr>
        <w:t>its more</w:t>
      </w:r>
      <w:r w:rsidR="00950B1C">
        <w:rPr>
          <w:rFonts w:ascii="Times New Roman" w:hAnsi="Times New Roman"/>
          <w:szCs w:val="24"/>
        </w:rPr>
        <w:t xml:space="preserve"> </w:t>
      </w:r>
      <w:r>
        <w:rPr>
          <w:rFonts w:ascii="Times New Roman" w:hAnsi="Times New Roman"/>
          <w:szCs w:val="24"/>
        </w:rPr>
        <w:t xml:space="preserve">critical workings as </w:t>
      </w:r>
      <w:r w:rsidR="00560DE4">
        <w:rPr>
          <w:rFonts w:ascii="Times New Roman" w:hAnsi="Times New Roman"/>
          <w:szCs w:val="24"/>
        </w:rPr>
        <w:t xml:space="preserve">a </w:t>
      </w:r>
      <w:r w:rsidR="008E3347">
        <w:rPr>
          <w:rFonts w:ascii="Times New Roman" w:hAnsi="Times New Roman"/>
          <w:szCs w:val="24"/>
        </w:rPr>
        <w:t xml:space="preserve">transformative process </w:t>
      </w:r>
      <w:r>
        <w:rPr>
          <w:rFonts w:ascii="Times New Roman" w:hAnsi="Times New Roman"/>
          <w:szCs w:val="24"/>
        </w:rPr>
        <w:t>that is unavoidably both affective and political at the gendered intersection of neoliberalism and postcolonialit</w:t>
      </w:r>
      <w:r w:rsidR="005069F4">
        <w:rPr>
          <w:rFonts w:ascii="Times New Roman" w:hAnsi="Times New Roman"/>
          <w:szCs w:val="24"/>
        </w:rPr>
        <w:t>y.</w:t>
      </w:r>
      <w:r w:rsidR="004765AF">
        <w:rPr>
          <w:rFonts w:ascii="Times New Roman" w:hAnsi="Times New Roman"/>
          <w:szCs w:val="24"/>
        </w:rPr>
        <w:t xml:space="preserve"> </w:t>
      </w:r>
      <w:r w:rsidR="00E57FA8">
        <w:rPr>
          <w:rFonts w:ascii="Times New Roman" w:hAnsi="Times New Roman"/>
          <w:szCs w:val="24"/>
        </w:rPr>
        <w:t xml:space="preserve">The problem with </w:t>
      </w:r>
      <w:r w:rsidR="00186002">
        <w:rPr>
          <w:rFonts w:ascii="Times New Roman" w:hAnsi="Times New Roman"/>
          <w:szCs w:val="24"/>
        </w:rPr>
        <w:t xml:space="preserve">instrumental modes of </w:t>
      </w:r>
      <w:r w:rsidR="00E57FA8">
        <w:rPr>
          <w:rFonts w:ascii="Times New Roman" w:hAnsi="Times New Roman"/>
          <w:szCs w:val="24"/>
        </w:rPr>
        <w:t>tran</w:t>
      </w:r>
      <w:r w:rsidR="00186002">
        <w:rPr>
          <w:rFonts w:ascii="Times New Roman" w:hAnsi="Times New Roman"/>
          <w:szCs w:val="24"/>
        </w:rPr>
        <w:t>slation</w:t>
      </w:r>
      <w:r w:rsidR="00E57FA8">
        <w:rPr>
          <w:rFonts w:ascii="Times New Roman" w:hAnsi="Times New Roman"/>
          <w:szCs w:val="24"/>
        </w:rPr>
        <w:t>, Spivak suggests, is that they assume that</w:t>
      </w:r>
      <w:r w:rsidR="009D6D55">
        <w:rPr>
          <w:rFonts w:ascii="Times New Roman" w:hAnsi="Times New Roman"/>
          <w:szCs w:val="24"/>
        </w:rPr>
        <w:t xml:space="preserve"> translation</w:t>
      </w:r>
      <w:r w:rsidR="00186002">
        <w:rPr>
          <w:rFonts w:ascii="Times New Roman" w:hAnsi="Times New Roman"/>
          <w:szCs w:val="24"/>
        </w:rPr>
        <w:t xml:space="preserve"> might involve a simple transfer of ‘bodies of meaning’, a </w:t>
      </w:r>
      <w:r w:rsidR="00A00611">
        <w:rPr>
          <w:rFonts w:ascii="Times New Roman" w:hAnsi="Times New Roman"/>
          <w:szCs w:val="24"/>
        </w:rPr>
        <w:t xml:space="preserve">linguistic </w:t>
      </w:r>
      <w:r w:rsidR="00186002">
        <w:rPr>
          <w:rFonts w:ascii="Times New Roman" w:hAnsi="Times New Roman"/>
          <w:szCs w:val="24"/>
        </w:rPr>
        <w:t xml:space="preserve">move from one set of words and phrases to another, without attention </w:t>
      </w:r>
      <w:r w:rsidR="00950B1C">
        <w:rPr>
          <w:rFonts w:ascii="Times New Roman" w:hAnsi="Times New Roman"/>
          <w:szCs w:val="24"/>
        </w:rPr>
        <w:t xml:space="preserve">to ‘rhetoric’: </w:t>
      </w:r>
      <w:r w:rsidR="00893ABD">
        <w:rPr>
          <w:rFonts w:ascii="Times New Roman" w:hAnsi="Times New Roman"/>
          <w:szCs w:val="24"/>
        </w:rPr>
        <w:t>to that which exceeds the text</w:t>
      </w:r>
      <w:r w:rsidR="00950B1C">
        <w:rPr>
          <w:rFonts w:ascii="Times New Roman" w:hAnsi="Times New Roman"/>
          <w:szCs w:val="24"/>
        </w:rPr>
        <w:t>.</w:t>
      </w:r>
      <w:r w:rsidR="004765AF">
        <w:rPr>
          <w:rFonts w:ascii="Times New Roman" w:hAnsi="Times New Roman"/>
          <w:szCs w:val="24"/>
        </w:rPr>
        <w:t xml:space="preserve"> </w:t>
      </w:r>
      <w:r w:rsidR="009D6D55">
        <w:rPr>
          <w:rFonts w:ascii="Times New Roman" w:hAnsi="Times New Roman"/>
          <w:szCs w:val="24"/>
        </w:rPr>
        <w:t>In the absence of care for</w:t>
      </w:r>
      <w:r w:rsidR="00A00611">
        <w:rPr>
          <w:rFonts w:ascii="Times New Roman" w:hAnsi="Times New Roman"/>
          <w:szCs w:val="24"/>
        </w:rPr>
        <w:t xml:space="preserve"> </w:t>
      </w:r>
      <w:r w:rsidR="00950B1C">
        <w:rPr>
          <w:rFonts w:ascii="Times New Roman" w:hAnsi="Times New Roman"/>
          <w:szCs w:val="24"/>
        </w:rPr>
        <w:t xml:space="preserve">rhetoric, she suggests, </w:t>
      </w:r>
      <w:r w:rsidR="00954A30">
        <w:rPr>
          <w:rFonts w:ascii="Times New Roman" w:hAnsi="Times New Roman"/>
          <w:szCs w:val="24"/>
        </w:rPr>
        <w:t xml:space="preserve">intimate engagement with the </w:t>
      </w:r>
      <w:r w:rsidR="009D6D55" w:rsidRPr="009D6D55">
        <w:rPr>
          <w:rFonts w:ascii="Times New Roman" w:hAnsi="Times New Roman"/>
          <w:szCs w:val="24"/>
        </w:rPr>
        <w:t xml:space="preserve">transnational </w:t>
      </w:r>
      <w:r w:rsidR="00954A30" w:rsidRPr="009D6D55">
        <w:rPr>
          <w:rFonts w:ascii="Times New Roman" w:hAnsi="Times New Roman"/>
          <w:szCs w:val="24"/>
        </w:rPr>
        <w:t>affective workings of pow</w:t>
      </w:r>
      <w:r w:rsidR="009D6D55" w:rsidRPr="009D6D55">
        <w:rPr>
          <w:rFonts w:ascii="Times New Roman" w:hAnsi="Times New Roman"/>
          <w:szCs w:val="24"/>
        </w:rPr>
        <w:t xml:space="preserve">er and agency is impossible and it is likely that </w:t>
      </w:r>
      <w:r w:rsidR="009D6D55" w:rsidRPr="009D6D55">
        <w:rPr>
          <w:rFonts w:ascii="Times New Roman" w:hAnsi="Times New Roman"/>
        </w:rPr>
        <w:t>‘a specific neocolonialist construction of</w:t>
      </w:r>
      <w:r w:rsidR="00893ABD">
        <w:rPr>
          <w:rFonts w:ascii="Times New Roman" w:hAnsi="Times New Roman"/>
        </w:rPr>
        <w:t xml:space="preserve"> a non-Western scene is afoot’</w:t>
      </w:r>
      <w:r w:rsidR="009D6D55" w:rsidRPr="009D6D55">
        <w:rPr>
          <w:rFonts w:ascii="Times New Roman" w:hAnsi="Times New Roman"/>
        </w:rPr>
        <w:t>.</w:t>
      </w:r>
      <w:r w:rsidR="00DA4583">
        <w:rPr>
          <w:rStyle w:val="FootnoteReference"/>
          <w:rFonts w:ascii="Times New Roman" w:hAnsi="Times New Roman"/>
          <w:szCs w:val="24"/>
        </w:rPr>
        <w:footnoteReference w:id="52"/>
      </w:r>
      <w:r w:rsidR="004765AF">
        <w:rPr>
          <w:rFonts w:ascii="Times New Roman" w:hAnsi="Times New Roman"/>
          <w:szCs w:val="24"/>
        </w:rPr>
        <w:t xml:space="preserve"> </w:t>
      </w:r>
      <w:r w:rsidR="009D6D55">
        <w:rPr>
          <w:rFonts w:ascii="Times New Roman" w:hAnsi="Times New Roman"/>
          <w:szCs w:val="24"/>
        </w:rPr>
        <w:t>Int</w:t>
      </w:r>
      <w:r w:rsidR="006F6648">
        <w:rPr>
          <w:rFonts w:ascii="Times New Roman" w:hAnsi="Times New Roman"/>
          <w:szCs w:val="24"/>
        </w:rPr>
        <w:t>e</w:t>
      </w:r>
      <w:r w:rsidR="000B690F">
        <w:rPr>
          <w:rFonts w:ascii="Times New Roman" w:hAnsi="Times New Roman"/>
          <w:szCs w:val="24"/>
        </w:rPr>
        <w:t>re</w:t>
      </w:r>
      <w:r w:rsidR="006F6648">
        <w:rPr>
          <w:rFonts w:ascii="Times New Roman" w:hAnsi="Times New Roman"/>
          <w:szCs w:val="24"/>
        </w:rPr>
        <w:t>stingly,</w:t>
      </w:r>
      <w:r w:rsidR="00D1376B">
        <w:rPr>
          <w:rFonts w:ascii="Times New Roman" w:hAnsi="Times New Roman"/>
          <w:szCs w:val="24"/>
        </w:rPr>
        <w:t xml:space="preserve"> what Spivak</w:t>
      </w:r>
      <w:r w:rsidR="004D5A43">
        <w:rPr>
          <w:rFonts w:ascii="Times New Roman" w:hAnsi="Times New Roman"/>
          <w:szCs w:val="24"/>
        </w:rPr>
        <w:t xml:space="preserve"> argues is required of </w:t>
      </w:r>
      <w:r w:rsidR="001B3C37" w:rsidRPr="005475B6">
        <w:rPr>
          <w:rFonts w:ascii="Times New Roman" w:hAnsi="Times New Roman"/>
          <w:szCs w:val="24"/>
        </w:rPr>
        <w:t xml:space="preserve">‘a translation from a </w:t>
      </w:r>
      <w:r w:rsidR="004D5A43">
        <w:rPr>
          <w:rFonts w:ascii="Times New Roman" w:hAnsi="Times New Roman"/>
          <w:szCs w:val="24"/>
        </w:rPr>
        <w:t>non-European women’s text’ that</w:t>
      </w:r>
      <w:r w:rsidR="001B3C37" w:rsidRPr="005475B6">
        <w:rPr>
          <w:rFonts w:ascii="Times New Roman" w:hAnsi="Times New Roman"/>
          <w:szCs w:val="24"/>
        </w:rPr>
        <w:t xml:space="preserve"> does not simply</w:t>
      </w:r>
      <w:r w:rsidR="001539FB" w:rsidRPr="005475B6">
        <w:rPr>
          <w:rFonts w:ascii="Times New Roman" w:hAnsi="Times New Roman"/>
          <w:szCs w:val="24"/>
        </w:rPr>
        <w:t xml:space="preserve"> shore up neocolonialis</w:t>
      </w:r>
      <w:r w:rsidR="004D5A43">
        <w:rPr>
          <w:rFonts w:ascii="Times New Roman" w:hAnsi="Times New Roman"/>
          <w:szCs w:val="24"/>
        </w:rPr>
        <w:t>t structures and norms, is</w:t>
      </w:r>
      <w:r w:rsidR="001539FB" w:rsidRPr="005475B6">
        <w:rPr>
          <w:rFonts w:ascii="Times New Roman" w:hAnsi="Times New Roman"/>
          <w:szCs w:val="24"/>
        </w:rPr>
        <w:t xml:space="preserve"> </w:t>
      </w:r>
      <w:r w:rsidR="001539FB" w:rsidRPr="004D5A43">
        <w:rPr>
          <w:rFonts w:ascii="Times New Roman" w:hAnsi="Times New Roman"/>
          <w:i/>
          <w:szCs w:val="24"/>
        </w:rPr>
        <w:t>lov</w:t>
      </w:r>
      <w:r w:rsidR="001539FB" w:rsidRPr="005475B6">
        <w:rPr>
          <w:rFonts w:ascii="Times New Roman" w:hAnsi="Times New Roman"/>
          <w:szCs w:val="24"/>
        </w:rPr>
        <w:t>e – not as a romantic ideal, but in the form of a kind of affectiv</w:t>
      </w:r>
      <w:r w:rsidR="00D332F6" w:rsidRPr="005475B6">
        <w:rPr>
          <w:rFonts w:ascii="Times New Roman" w:hAnsi="Times New Roman"/>
          <w:szCs w:val="24"/>
        </w:rPr>
        <w:t>e surrender to the ‘rhetoricity</w:t>
      </w:r>
      <w:r w:rsidR="00893ABD">
        <w:rPr>
          <w:rFonts w:ascii="Times New Roman" w:hAnsi="Times New Roman"/>
          <w:szCs w:val="24"/>
        </w:rPr>
        <w:t xml:space="preserve"> of the original’</w:t>
      </w:r>
      <w:r w:rsidR="00893ABD">
        <w:rPr>
          <w:rStyle w:val="FootnoteReference"/>
          <w:rFonts w:ascii="Times New Roman" w:hAnsi="Times New Roman"/>
          <w:szCs w:val="24"/>
        </w:rPr>
        <w:footnoteReference w:id="53"/>
      </w:r>
      <w:r w:rsidR="004D5A43">
        <w:rPr>
          <w:rFonts w:ascii="Times New Roman" w:hAnsi="Times New Roman"/>
          <w:szCs w:val="24"/>
        </w:rPr>
        <w:t>:</w:t>
      </w:r>
    </w:p>
    <w:p w14:paraId="1D4B3F04" w14:textId="77777777" w:rsidR="00D332F6" w:rsidRPr="005475B6" w:rsidRDefault="00D332F6" w:rsidP="00F504EB">
      <w:pPr>
        <w:pStyle w:val="FreeFormA"/>
        <w:rPr>
          <w:rFonts w:ascii="Times New Roman" w:hAnsi="Times New Roman"/>
          <w:szCs w:val="24"/>
        </w:rPr>
      </w:pPr>
    </w:p>
    <w:p w14:paraId="447013E9" w14:textId="7D9B18B6" w:rsidR="00D332F6" w:rsidRPr="005475B6" w:rsidRDefault="00D332F6" w:rsidP="00F504E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567"/>
        <w:rPr>
          <w:rFonts w:ascii="Times New Roman" w:hAnsi="Times New Roman"/>
          <w:szCs w:val="24"/>
        </w:rPr>
      </w:pPr>
      <w:r w:rsidRPr="005475B6">
        <w:rPr>
          <w:rFonts w:ascii="Times New Roman" w:hAnsi="Times New Roman"/>
          <w:szCs w:val="24"/>
        </w:rPr>
        <w:t>[T]he translator must surrender to the text.</w:t>
      </w:r>
      <w:r w:rsidR="004765AF">
        <w:rPr>
          <w:rFonts w:ascii="Times New Roman" w:hAnsi="Times New Roman"/>
          <w:szCs w:val="24"/>
        </w:rPr>
        <w:t xml:space="preserve"> </w:t>
      </w:r>
      <w:r w:rsidRPr="005475B6">
        <w:rPr>
          <w:rFonts w:ascii="Times New Roman" w:hAnsi="Times New Roman"/>
          <w:szCs w:val="24"/>
        </w:rPr>
        <w:t>She must solicit the text to show the limits of its language, because that rhetorical aspect will point at the silence of the absolute fraying of language that the text wards off, in its special manner.</w:t>
      </w:r>
      <w:r w:rsidR="004765AF">
        <w:rPr>
          <w:rFonts w:ascii="Times New Roman" w:hAnsi="Times New Roman"/>
          <w:szCs w:val="24"/>
        </w:rPr>
        <w:t xml:space="preserve"> </w:t>
      </w:r>
      <w:r w:rsidRPr="005475B6">
        <w:rPr>
          <w:rFonts w:ascii="Times New Roman" w:hAnsi="Times New Roman"/>
          <w:szCs w:val="24"/>
        </w:rPr>
        <w:t xml:space="preserve">No amount of tough talk can get around the fact that translation is the most intimate act of reading. Unless the translator has earned the right to become and intimate reader, she cannot surrender to the text, cannot respond to the special call of the </w:t>
      </w:r>
      <w:r w:rsidR="00893ABD">
        <w:rPr>
          <w:rFonts w:ascii="Times New Roman" w:hAnsi="Times New Roman"/>
          <w:szCs w:val="24"/>
        </w:rPr>
        <w:t>text</w:t>
      </w:r>
      <w:r w:rsidRPr="005475B6">
        <w:rPr>
          <w:rFonts w:ascii="Times New Roman" w:hAnsi="Times New Roman"/>
          <w:szCs w:val="24"/>
        </w:rPr>
        <w:t>.</w:t>
      </w:r>
      <w:r w:rsidR="00893ABD">
        <w:rPr>
          <w:rStyle w:val="FootnoteReference"/>
          <w:rFonts w:ascii="Times New Roman" w:hAnsi="Times New Roman"/>
          <w:szCs w:val="24"/>
        </w:rPr>
        <w:footnoteReference w:id="54"/>
      </w:r>
      <w:r w:rsidRPr="005475B6">
        <w:rPr>
          <w:rFonts w:ascii="Times New Roman" w:hAnsi="Times New Roman"/>
          <w:szCs w:val="24"/>
        </w:rPr>
        <w:t xml:space="preserve"> </w:t>
      </w:r>
    </w:p>
    <w:p w14:paraId="4D15B273" w14:textId="45A5966E" w:rsidR="00FB0739" w:rsidRDefault="001539FB" w:rsidP="00F504EB">
      <w:pPr>
        <w:pStyle w:val="FreeFormA"/>
        <w:rPr>
          <w:rFonts w:ascii="Times New Roman" w:hAnsi="Times New Roman"/>
          <w:szCs w:val="24"/>
        </w:rPr>
      </w:pPr>
      <w:r w:rsidRPr="005475B6">
        <w:rPr>
          <w:rFonts w:ascii="Times New Roman" w:hAnsi="Times New Roman"/>
          <w:szCs w:val="24"/>
        </w:rPr>
        <w:t xml:space="preserve"> </w:t>
      </w:r>
    </w:p>
    <w:p w14:paraId="07EE3DA5" w14:textId="243472A8" w:rsidR="008F4503" w:rsidRDefault="00FB0739" w:rsidP="00F504EB">
      <w:r>
        <w:t xml:space="preserve">Without this kind of love – which seems </w:t>
      </w:r>
      <w:r w:rsidR="00286D86">
        <w:t>to refer both to ‘patient epistemological care</w:t>
      </w:r>
      <w:r w:rsidR="00C447E9">
        <w:t>’</w:t>
      </w:r>
      <w:r w:rsidR="00893ABD">
        <w:rPr>
          <w:rStyle w:val="FootnoteReference"/>
        </w:rPr>
        <w:footnoteReference w:id="55"/>
      </w:r>
      <w:r>
        <w:t xml:space="preserve"> on the part</w:t>
      </w:r>
      <w:r w:rsidR="00893ABD">
        <w:t xml:space="preserve"> of the translator</w:t>
      </w:r>
      <w:r w:rsidR="00286D86">
        <w:t xml:space="preserve"> and a particular form of</w:t>
      </w:r>
      <w:r>
        <w:t xml:space="preserve"> affective resonance</w:t>
      </w:r>
      <w:r w:rsidR="00286D86">
        <w:t xml:space="preserve"> </w:t>
      </w:r>
      <w:r>
        <w:t>that might exist between texts</w:t>
      </w:r>
      <w:r w:rsidR="00C447E9">
        <w:t xml:space="preserve"> – the sensuality of textuality </w:t>
      </w:r>
      <w:r w:rsidR="009D6D55">
        <w:t>is evacuated.</w:t>
      </w:r>
      <w:r w:rsidR="004765AF">
        <w:t xml:space="preserve"> </w:t>
      </w:r>
      <w:r w:rsidR="00010AE3" w:rsidRPr="00F44F60">
        <w:t>It is</w:t>
      </w:r>
      <w:r w:rsidR="006F6648">
        <w:t xml:space="preserve"> notable</w:t>
      </w:r>
      <w:r w:rsidR="00AC32CD">
        <w:t xml:space="preserve"> then, that</w:t>
      </w:r>
      <w:r w:rsidR="00010AE3" w:rsidRPr="00F44F60">
        <w:t xml:space="preserve"> in the mid 1990s, both Sedgwick and Spivak invoke</w:t>
      </w:r>
      <w:r w:rsidR="00DF49AB" w:rsidRPr="00F44F60">
        <w:t xml:space="preserve"> </w:t>
      </w:r>
      <w:r w:rsidR="00010AE3" w:rsidRPr="00F44F60">
        <w:t xml:space="preserve">‘love’ as what </w:t>
      </w:r>
      <w:r w:rsidR="00FE1E4B">
        <w:t xml:space="preserve">is </w:t>
      </w:r>
      <w:r w:rsidR="00010AE3" w:rsidRPr="00F44F60">
        <w:t xml:space="preserve">vital to, but often missing from, </w:t>
      </w:r>
      <w:r w:rsidR="00336688">
        <w:t xml:space="preserve">interpretive </w:t>
      </w:r>
      <w:r w:rsidR="00DF49AB" w:rsidRPr="00F44F60">
        <w:t xml:space="preserve">practices </w:t>
      </w:r>
      <w:r w:rsidR="00F44F60" w:rsidRPr="00F44F60">
        <w:t>within critical fields (queer, feminist and postcolonial studies) that</w:t>
      </w:r>
      <w:r w:rsidR="00DF49AB" w:rsidRPr="00F44F60">
        <w:t xml:space="preserve"> emerged in part out of scholarly recognition of histories of oppression, violence and silencing</w:t>
      </w:r>
      <w:r w:rsidR="009D6D55">
        <w:t>.</w:t>
      </w:r>
      <w:r w:rsidR="004765AF">
        <w:t xml:space="preserve"> </w:t>
      </w:r>
      <w:r w:rsidR="00FF04B1" w:rsidRPr="003D2DC9">
        <w:t>L</w:t>
      </w:r>
      <w:r w:rsidR="00DF49AB" w:rsidRPr="003D2DC9">
        <w:t>ove</w:t>
      </w:r>
      <w:r w:rsidR="00FF04B1" w:rsidRPr="003D2DC9">
        <w:t xml:space="preserve">, </w:t>
      </w:r>
      <w:r w:rsidR="005D5932">
        <w:t>for Spivak</w:t>
      </w:r>
      <w:r w:rsidR="00336688" w:rsidRPr="003D2DC9">
        <w:t xml:space="preserve">, </w:t>
      </w:r>
      <w:r w:rsidR="00FF04B1" w:rsidRPr="003D2DC9">
        <w:t>however,</w:t>
      </w:r>
      <w:r w:rsidR="00DF49AB" w:rsidRPr="003D2DC9">
        <w:t xml:space="preserve"> </w:t>
      </w:r>
      <w:r w:rsidR="00FF04B1" w:rsidRPr="003D2DC9">
        <w:t>appears to work</w:t>
      </w:r>
      <w:r w:rsidR="00DF49AB" w:rsidRPr="003D2DC9">
        <w:t xml:space="preserve"> somewhat differently</w:t>
      </w:r>
      <w:r w:rsidR="005D5932">
        <w:t xml:space="preserve"> than it does for Sedgwick</w:t>
      </w:r>
      <w:r w:rsidR="00F44F60" w:rsidRPr="003D2DC9">
        <w:t>:</w:t>
      </w:r>
      <w:r w:rsidR="003D2DC9">
        <w:t xml:space="preserve"> </w:t>
      </w:r>
      <w:r w:rsidR="008F4503">
        <w:t>If, in a Klenian framework, love emerges through acts of reparation which serve in psychoanalytic terms as a defence mechanism, the</w:t>
      </w:r>
      <w:r w:rsidR="00C447E9" w:rsidRPr="003D2DC9">
        <w:t xml:space="preserve"> love that Spivak describes as necessary to the ethical working</w:t>
      </w:r>
      <w:r w:rsidR="003D2DC9" w:rsidRPr="003D2DC9">
        <w:t>s</w:t>
      </w:r>
      <w:r w:rsidR="00C447E9" w:rsidRPr="003D2DC9">
        <w:t xml:space="preserve"> of translation </w:t>
      </w:r>
      <w:r w:rsidR="00DF49AB" w:rsidRPr="003D2DC9">
        <w:t xml:space="preserve">is </w:t>
      </w:r>
      <w:r w:rsidR="00C447E9" w:rsidRPr="003D2DC9">
        <w:t xml:space="preserve">associated less with the desire for affective </w:t>
      </w:r>
      <w:r w:rsidR="00C447E9" w:rsidRPr="003D2DC9">
        <w:rPr>
          <w:i/>
        </w:rPr>
        <w:t>repair</w:t>
      </w:r>
      <w:r w:rsidR="00C447E9" w:rsidRPr="003D2DC9">
        <w:t xml:space="preserve"> than it is with affective </w:t>
      </w:r>
      <w:r w:rsidR="00C447E9" w:rsidRPr="003D2DC9">
        <w:rPr>
          <w:i/>
        </w:rPr>
        <w:t>surrender</w:t>
      </w:r>
      <w:r w:rsidR="00C447E9" w:rsidRPr="003D2DC9">
        <w:t xml:space="preserve">, a yielding to the text and its particular rhetorical call – a call which goes beyond language, and beyond cognition – </w:t>
      </w:r>
      <w:r w:rsidR="00DF49AB" w:rsidRPr="003D2DC9">
        <w:t xml:space="preserve">and </w:t>
      </w:r>
      <w:r w:rsidR="00F44F60" w:rsidRPr="003D2DC9">
        <w:t>yet</w:t>
      </w:r>
      <w:r w:rsidR="00C447E9" w:rsidRPr="003D2DC9">
        <w:t xml:space="preserve"> </w:t>
      </w:r>
      <w:r w:rsidR="003D2DC9">
        <w:t>may</w:t>
      </w:r>
      <w:r w:rsidR="00DF49AB" w:rsidRPr="003D2DC9">
        <w:t xml:space="preserve"> </w:t>
      </w:r>
      <w:r w:rsidR="00C447E9" w:rsidRPr="003D2DC9">
        <w:t>still</w:t>
      </w:r>
      <w:r w:rsidR="00F44F60" w:rsidRPr="003D2DC9">
        <w:t>,</w:t>
      </w:r>
      <w:r w:rsidR="00C447E9" w:rsidRPr="003D2DC9">
        <w:t xml:space="preserve"> perhaps</w:t>
      </w:r>
      <w:r w:rsidR="00F44F60" w:rsidRPr="003D2DC9">
        <w:t xml:space="preserve">, </w:t>
      </w:r>
      <w:r w:rsidR="003D2DC9">
        <w:t xml:space="preserve">be </w:t>
      </w:r>
      <w:r w:rsidR="00F44F60" w:rsidRPr="003D2DC9">
        <w:t>sensible</w:t>
      </w:r>
      <w:r w:rsidR="00C447E9" w:rsidRPr="003D2DC9">
        <w:t>.</w:t>
      </w:r>
      <w:r w:rsidR="00C447E9" w:rsidRPr="00C447E9">
        <w:t xml:space="preserve"> </w:t>
      </w:r>
    </w:p>
    <w:p w14:paraId="0A41FD84" w14:textId="5BDBF0C0" w:rsidR="00AC32CD" w:rsidRPr="00AC32CD" w:rsidRDefault="006F6648" w:rsidP="009D75F2">
      <w:pPr>
        <w:pStyle w:val="FootnoteText"/>
        <w:ind w:firstLine="720"/>
        <w:rPr>
          <w:lang w:val="en-US"/>
        </w:rPr>
      </w:pPr>
      <w:r>
        <w:t>F</w:t>
      </w:r>
      <w:r w:rsidRPr="005475B6">
        <w:t>rom the perspective of the affective, ontological and new materialist frameworks referenced at the beginning of this article</w:t>
      </w:r>
      <w:r>
        <w:t>,</w:t>
      </w:r>
      <w:r w:rsidRPr="005475B6">
        <w:t xml:space="preserve"> Spivak’s focus on </w:t>
      </w:r>
      <w:r w:rsidRPr="005475B6">
        <w:rPr>
          <w:i/>
        </w:rPr>
        <w:t>linguistic</w:t>
      </w:r>
      <w:r w:rsidRPr="005475B6">
        <w:t xml:space="preserve"> translation </w:t>
      </w:r>
      <w:r>
        <w:t xml:space="preserve">might </w:t>
      </w:r>
      <w:r w:rsidRPr="005475B6">
        <w:t>be interpreted as limited by its reliance on discursive paradigms</w:t>
      </w:r>
      <w:r>
        <w:t>.</w:t>
      </w:r>
      <w:r w:rsidR="004765AF">
        <w:t xml:space="preserve"> </w:t>
      </w:r>
      <w:r>
        <w:t>Her</w:t>
      </w:r>
      <w:r w:rsidRPr="005475B6">
        <w:t xml:space="preserve"> intention</w:t>
      </w:r>
      <w:r>
        <w:t>, however,</w:t>
      </w:r>
      <w:r w:rsidRPr="005475B6">
        <w:t xml:space="preserve"> is precisely to illustrate how</w:t>
      </w:r>
      <w:r>
        <w:t>, in</w:t>
      </w:r>
      <w:r w:rsidRPr="005475B6">
        <w:t xml:space="preserve"> its </w:t>
      </w:r>
      <w:r>
        <w:t xml:space="preserve">affective </w:t>
      </w:r>
      <w:r w:rsidRPr="005475B6">
        <w:t xml:space="preserve">attention to rhetoric, </w:t>
      </w:r>
      <w:r>
        <w:t xml:space="preserve">translation </w:t>
      </w:r>
      <w:r w:rsidRPr="005475B6">
        <w:t xml:space="preserve">necessarily </w:t>
      </w:r>
      <w:r w:rsidRPr="00934242">
        <w:rPr>
          <w:i/>
        </w:rPr>
        <w:t>exceeds</w:t>
      </w:r>
      <w:r w:rsidRPr="005475B6">
        <w:t xml:space="preserve"> language and any notion of a closed discursive or psychic system.</w:t>
      </w:r>
      <w:r w:rsidR="004765AF">
        <w:t xml:space="preserve"> </w:t>
      </w:r>
      <w:r w:rsidRPr="005475B6">
        <w:t xml:space="preserve">To attend to the rhetoricity of a text, she suggests, </w:t>
      </w:r>
      <w:r w:rsidRPr="00934242">
        <w:t xml:space="preserve">is to engage not </w:t>
      </w:r>
      <w:r w:rsidRPr="00934242">
        <w:lastRenderedPageBreak/>
        <w:t>only with its particular mood (indicated in part by its pauses and silences) and the gendered, classed, racialised and sexuali</w:t>
      </w:r>
      <w:r>
        <w:t>sed</w:t>
      </w:r>
      <w:r w:rsidRPr="00934242">
        <w:t xml:space="preserve"> significance of such </w:t>
      </w:r>
      <w:r>
        <w:t xml:space="preserve">sensorial </w:t>
      </w:r>
      <w:r w:rsidRPr="00934242">
        <w:t>tonalities, but</w:t>
      </w:r>
      <w:r w:rsidRPr="005475B6">
        <w:t xml:space="preserve"> also with ‘chance’, with ‘sub-individual force-fields of being which click into place in different situations, swerve from straight or tr</w:t>
      </w:r>
      <w:r w:rsidR="00893ABD">
        <w:t>ue line of language-in-though’</w:t>
      </w:r>
      <w:r w:rsidRPr="005475B6">
        <w:t>.</w:t>
      </w:r>
      <w:r w:rsidR="004765AF">
        <w:t xml:space="preserve"> </w:t>
      </w:r>
      <w:r w:rsidRPr="005475B6">
        <w:t>As such, ‘rhetoric points at the possibility of randomness, of contingency as such, dissemination, the falling apart of language, the possibility that things might not always be semiotically organized’.</w:t>
      </w:r>
      <w:r w:rsidR="004765AF">
        <w:t xml:space="preserve"> </w:t>
      </w:r>
      <w:r w:rsidRPr="005475B6">
        <w:t>Thus, in exploring the politics of translation, Spivak argues that language is precisely ‘not everything.</w:t>
      </w:r>
      <w:r w:rsidR="004765AF">
        <w:t xml:space="preserve"> </w:t>
      </w:r>
      <w:r w:rsidRPr="005475B6">
        <w:t>It is only a vital clue of where the self loses its bou</w:t>
      </w:r>
      <w:r>
        <w:t>ndaries’.</w:t>
      </w:r>
      <w:r w:rsidR="00DA4583" w:rsidRPr="00DA4583">
        <w:rPr>
          <w:rStyle w:val="FootnoteReference"/>
        </w:rPr>
        <w:t xml:space="preserve"> </w:t>
      </w:r>
      <w:r w:rsidR="00DA4583">
        <w:rPr>
          <w:rStyle w:val="FootnoteReference"/>
        </w:rPr>
        <w:footnoteReference w:id="56"/>
      </w:r>
      <w:r w:rsidR="004765AF">
        <w:t xml:space="preserve"> </w:t>
      </w:r>
      <w:r>
        <w:t xml:space="preserve">Like Spivak’s </w:t>
      </w:r>
      <w:r w:rsidRPr="005475B6">
        <w:t>transl</w:t>
      </w:r>
      <w:r>
        <w:t>ation, Sedgwick’s reparation</w:t>
      </w:r>
      <w:r w:rsidRPr="005475B6">
        <w:t xml:space="preserve"> ‘assumes that the line between words and things or between linguistic and non-linguistic phenomena is endlessly changing, permeable, and entirely unsusceptible t</w:t>
      </w:r>
      <w:r w:rsidR="00893ABD">
        <w:t>o any definitive articulation’</w:t>
      </w:r>
      <w:r w:rsidRPr="005475B6">
        <w:t>.</w:t>
      </w:r>
      <w:r w:rsidR="00893ABD">
        <w:rPr>
          <w:rStyle w:val="FootnoteReference"/>
        </w:rPr>
        <w:footnoteReference w:id="57"/>
      </w:r>
      <w:r w:rsidR="004765AF">
        <w:t xml:space="preserve"> </w:t>
      </w:r>
      <w:r w:rsidRPr="00DF49AB">
        <w:t>And for both theorists, it would seem, a key mode of getting at this productive interplay between linguistic and non-linguistic phenomena is through attention to textual mood, atmosphere</w:t>
      </w:r>
      <w:r>
        <w:t>, or</w:t>
      </w:r>
      <w:r w:rsidRPr="00DF49AB">
        <w:t xml:space="preserve"> what they </w:t>
      </w:r>
      <w:r>
        <w:t xml:space="preserve">each </w:t>
      </w:r>
      <w:r w:rsidRPr="00DF49AB">
        <w:t>refer to as the ‘weather’ of a text.</w:t>
      </w:r>
      <w:r w:rsidR="004765AF">
        <w:t xml:space="preserve"> </w:t>
      </w:r>
    </w:p>
    <w:p w14:paraId="36AAAB66" w14:textId="77777777" w:rsidR="00D95469" w:rsidRDefault="00D95469" w:rsidP="00F504EB">
      <w:pPr>
        <w:pStyle w:val="FreeFormA"/>
        <w:rPr>
          <w:rFonts w:ascii="Times New Roman" w:hAnsi="Times New Roman"/>
          <w:b/>
          <w:szCs w:val="24"/>
        </w:rPr>
      </w:pPr>
    </w:p>
    <w:p w14:paraId="18154143" w14:textId="02756D54" w:rsidR="009D75F2" w:rsidRPr="009D75F2" w:rsidRDefault="009D75F2" w:rsidP="00F504EB">
      <w:pPr>
        <w:pStyle w:val="FreeFormA"/>
        <w:rPr>
          <w:rFonts w:ascii="Times New Roman" w:hAnsi="Times New Roman"/>
          <w:szCs w:val="24"/>
        </w:rPr>
      </w:pPr>
      <w:r w:rsidRPr="009D75F2">
        <w:rPr>
          <w:rFonts w:ascii="Times New Roman" w:hAnsi="Times New Roman"/>
          <w:szCs w:val="24"/>
        </w:rPr>
        <w:t>INHABITING THE DOUBLE BIND</w:t>
      </w:r>
    </w:p>
    <w:p w14:paraId="21DB9EA1" w14:textId="77777777" w:rsidR="00D230D4" w:rsidRPr="00D230D4" w:rsidRDefault="00D230D4" w:rsidP="00F504EB">
      <w:pPr>
        <w:pStyle w:val="FreeFormA"/>
        <w:rPr>
          <w:rFonts w:ascii="Times New Roman" w:hAnsi="Times New Roman"/>
          <w:b/>
          <w:szCs w:val="24"/>
        </w:rPr>
      </w:pPr>
    </w:p>
    <w:p w14:paraId="77CCE424" w14:textId="5E29A4F2" w:rsidR="007F5AF0" w:rsidRPr="005475B6" w:rsidRDefault="00AF48CD" w:rsidP="00F504EB">
      <w:pPr>
        <w:pStyle w:val="FreeFormA"/>
        <w:rPr>
          <w:rFonts w:ascii="Times New Roman" w:hAnsi="Times New Roman"/>
          <w:szCs w:val="24"/>
        </w:rPr>
      </w:pPr>
      <w:r w:rsidRPr="005475B6">
        <w:rPr>
          <w:rFonts w:ascii="Times New Roman" w:hAnsi="Times New Roman"/>
          <w:szCs w:val="24"/>
        </w:rPr>
        <w:t>I</w:t>
      </w:r>
      <w:r w:rsidR="00425C3F" w:rsidRPr="005475B6">
        <w:rPr>
          <w:rFonts w:ascii="Times New Roman" w:hAnsi="Times New Roman"/>
          <w:szCs w:val="24"/>
        </w:rPr>
        <w:t>f Spivak returns repeatedly</w:t>
      </w:r>
      <w:r w:rsidRPr="005475B6">
        <w:rPr>
          <w:rFonts w:ascii="Times New Roman" w:hAnsi="Times New Roman"/>
          <w:szCs w:val="24"/>
        </w:rPr>
        <w:t xml:space="preserve"> to the theme of ‘translation’ in her writi</w:t>
      </w:r>
      <w:r w:rsidR="000037A4" w:rsidRPr="005475B6">
        <w:rPr>
          <w:rFonts w:ascii="Times New Roman" w:hAnsi="Times New Roman"/>
          <w:szCs w:val="24"/>
        </w:rPr>
        <w:t xml:space="preserve">ng, it is because, for her, its </w:t>
      </w:r>
      <w:r w:rsidRPr="005475B6">
        <w:rPr>
          <w:rFonts w:ascii="Times New Roman" w:hAnsi="Times New Roman"/>
          <w:szCs w:val="24"/>
        </w:rPr>
        <w:t>lessons have ‘</w:t>
      </w:r>
      <w:r w:rsidR="00893ABD">
        <w:rPr>
          <w:rFonts w:ascii="Times New Roman" w:hAnsi="Times New Roman"/>
          <w:szCs w:val="24"/>
        </w:rPr>
        <w:t>larger political implications’</w:t>
      </w:r>
      <w:r w:rsidR="000037A4" w:rsidRPr="005475B6">
        <w:rPr>
          <w:rFonts w:ascii="Times New Roman" w:hAnsi="Times New Roman"/>
          <w:szCs w:val="24"/>
        </w:rPr>
        <w:t>.</w:t>
      </w:r>
      <w:r w:rsidR="00893ABD">
        <w:rPr>
          <w:rStyle w:val="FootnoteReference"/>
          <w:rFonts w:ascii="Times New Roman" w:hAnsi="Times New Roman"/>
          <w:szCs w:val="24"/>
        </w:rPr>
        <w:footnoteReference w:id="58"/>
      </w:r>
      <w:r w:rsidR="004765AF">
        <w:rPr>
          <w:rFonts w:ascii="Times New Roman" w:hAnsi="Times New Roman"/>
          <w:szCs w:val="24"/>
        </w:rPr>
        <w:t xml:space="preserve"> </w:t>
      </w:r>
      <w:r w:rsidR="000037A4" w:rsidRPr="005475B6">
        <w:rPr>
          <w:rFonts w:ascii="Times New Roman" w:hAnsi="Times New Roman"/>
          <w:szCs w:val="24"/>
        </w:rPr>
        <w:t xml:space="preserve">We might say that, as </w:t>
      </w:r>
      <w:r w:rsidR="006F6648">
        <w:rPr>
          <w:rFonts w:ascii="Times New Roman" w:hAnsi="Times New Roman"/>
          <w:szCs w:val="24"/>
        </w:rPr>
        <w:t xml:space="preserve">a </w:t>
      </w:r>
      <w:r w:rsidR="000037A4" w:rsidRPr="005475B6">
        <w:rPr>
          <w:rFonts w:ascii="Times New Roman" w:hAnsi="Times New Roman"/>
          <w:szCs w:val="24"/>
        </w:rPr>
        <w:t xml:space="preserve">mode of </w:t>
      </w:r>
      <w:r w:rsidR="00E24C6B" w:rsidRPr="005475B6">
        <w:rPr>
          <w:rFonts w:ascii="Times New Roman" w:hAnsi="Times New Roman"/>
          <w:szCs w:val="24"/>
        </w:rPr>
        <w:t>close reading</w:t>
      </w:r>
      <w:r w:rsidR="008744A0">
        <w:rPr>
          <w:rFonts w:ascii="Times New Roman" w:hAnsi="Times New Roman"/>
          <w:szCs w:val="24"/>
        </w:rPr>
        <w:t xml:space="preserve"> concerned wit</w:t>
      </w:r>
      <w:r w:rsidR="003D2DC9">
        <w:rPr>
          <w:rFonts w:ascii="Times New Roman" w:hAnsi="Times New Roman"/>
          <w:szCs w:val="24"/>
        </w:rPr>
        <w:t xml:space="preserve">h </w:t>
      </w:r>
      <w:r w:rsidR="006F6648">
        <w:rPr>
          <w:rFonts w:ascii="Times New Roman" w:hAnsi="Times New Roman"/>
          <w:szCs w:val="24"/>
        </w:rPr>
        <w:t>language’s sensuousness</w:t>
      </w:r>
      <w:r w:rsidR="003D2DC9">
        <w:rPr>
          <w:rFonts w:ascii="Times New Roman" w:hAnsi="Times New Roman"/>
          <w:szCs w:val="24"/>
        </w:rPr>
        <w:t xml:space="preserve"> – with </w:t>
      </w:r>
      <w:r w:rsidR="00A4712D">
        <w:rPr>
          <w:rFonts w:ascii="Times New Roman" w:hAnsi="Times New Roman"/>
          <w:szCs w:val="24"/>
        </w:rPr>
        <w:t xml:space="preserve">the affective quality of that which exceeds discursive systems of meaning and regulation - </w:t>
      </w:r>
      <w:r w:rsidR="000037A4" w:rsidRPr="005475B6">
        <w:rPr>
          <w:rFonts w:ascii="Times New Roman" w:hAnsi="Times New Roman"/>
          <w:szCs w:val="24"/>
        </w:rPr>
        <w:t xml:space="preserve">translation offers one </w:t>
      </w:r>
      <w:r w:rsidR="000037A4" w:rsidRPr="005475B6">
        <w:rPr>
          <w:rFonts w:ascii="Times New Roman" w:hAnsi="Times New Roman"/>
          <w:color w:val="auto"/>
          <w:szCs w:val="24"/>
        </w:rPr>
        <w:t>important</w:t>
      </w:r>
      <w:r w:rsidR="000037A4" w:rsidRPr="005475B6">
        <w:rPr>
          <w:rFonts w:ascii="Times New Roman" w:hAnsi="Times New Roman"/>
          <w:szCs w:val="24"/>
        </w:rPr>
        <w:t xml:space="preserve"> critical </w:t>
      </w:r>
      <w:r w:rsidR="00E24C6B" w:rsidRPr="005475B6">
        <w:rPr>
          <w:rFonts w:ascii="Times New Roman" w:hAnsi="Times New Roman"/>
          <w:szCs w:val="24"/>
        </w:rPr>
        <w:t xml:space="preserve">and pedagogical </w:t>
      </w:r>
      <w:r w:rsidR="000037A4" w:rsidRPr="005475B6">
        <w:rPr>
          <w:rFonts w:ascii="Times New Roman" w:hAnsi="Times New Roman"/>
          <w:szCs w:val="24"/>
        </w:rPr>
        <w:t>approach to negotiating the multiple and overlapping ‘double binds</w:t>
      </w:r>
      <w:r w:rsidR="00DF49AB">
        <w:rPr>
          <w:rFonts w:ascii="Times New Roman" w:hAnsi="Times New Roman"/>
          <w:szCs w:val="24"/>
        </w:rPr>
        <w:t xml:space="preserve">’ that face us </w:t>
      </w:r>
      <w:r w:rsidR="001E46ED">
        <w:rPr>
          <w:rFonts w:ascii="Times New Roman" w:hAnsi="Times New Roman"/>
          <w:szCs w:val="24"/>
        </w:rPr>
        <w:t xml:space="preserve">in </w:t>
      </w:r>
      <w:r w:rsidR="00DF49AB">
        <w:rPr>
          <w:rFonts w:ascii="Times New Roman" w:hAnsi="Times New Roman"/>
          <w:szCs w:val="24"/>
        </w:rPr>
        <w:t>the midst of late liberalism</w:t>
      </w:r>
      <w:r w:rsidR="000037A4" w:rsidRPr="005475B6">
        <w:rPr>
          <w:rFonts w:ascii="Times New Roman" w:hAnsi="Times New Roman"/>
          <w:szCs w:val="24"/>
        </w:rPr>
        <w:t>.</w:t>
      </w:r>
      <w:r w:rsidR="004765AF">
        <w:rPr>
          <w:rFonts w:ascii="Times New Roman" w:hAnsi="Times New Roman"/>
          <w:szCs w:val="24"/>
        </w:rPr>
        <w:t xml:space="preserve"> </w:t>
      </w:r>
      <w:r w:rsidR="00AB6C3A" w:rsidRPr="00BC4AED">
        <w:rPr>
          <w:rFonts w:ascii="Times New Roman" w:hAnsi="Times New Roman"/>
          <w:szCs w:val="24"/>
        </w:rPr>
        <w:t xml:space="preserve">At the intersection of psychology and </w:t>
      </w:r>
      <w:r w:rsidR="006309D5" w:rsidRPr="00BC4AED">
        <w:rPr>
          <w:rFonts w:ascii="Times New Roman" w:hAnsi="Times New Roman"/>
          <w:szCs w:val="24"/>
        </w:rPr>
        <w:t>communications theory, a double bind is understood as</w:t>
      </w:r>
      <w:r w:rsidR="00AB6C3A" w:rsidRPr="00BC4AED">
        <w:rPr>
          <w:rFonts w:ascii="Times New Roman" w:hAnsi="Times New Roman"/>
          <w:szCs w:val="24"/>
        </w:rPr>
        <w:t xml:space="preserve"> </w:t>
      </w:r>
      <w:r w:rsidR="00D95469">
        <w:rPr>
          <w:rFonts w:ascii="Times New Roman" w:hAnsi="Times New Roman"/>
          <w:szCs w:val="24"/>
        </w:rPr>
        <w:t>the</w:t>
      </w:r>
      <w:r w:rsidR="00BC4AED" w:rsidRPr="00BC4AED">
        <w:rPr>
          <w:rFonts w:ascii="Times New Roman" w:hAnsi="Times New Roman"/>
          <w:szCs w:val="24"/>
        </w:rPr>
        <w:t xml:space="preserve"> emotionally distressing</w:t>
      </w:r>
      <w:r w:rsidR="00D95469">
        <w:rPr>
          <w:rFonts w:ascii="Times New Roman" w:hAnsi="Times New Roman"/>
          <w:szCs w:val="24"/>
        </w:rPr>
        <w:t xml:space="preserve"> experience of being in, without the possibility of exiting, a</w:t>
      </w:r>
      <w:r w:rsidR="00BC4AED" w:rsidRPr="00BC4AED">
        <w:rPr>
          <w:rFonts w:ascii="Times New Roman" w:hAnsi="Times New Roman"/>
          <w:szCs w:val="24"/>
        </w:rPr>
        <w:t xml:space="preserve"> </w:t>
      </w:r>
      <w:r w:rsidR="00D95469">
        <w:rPr>
          <w:rFonts w:ascii="Times New Roman" w:hAnsi="Times New Roman"/>
          <w:szCs w:val="24"/>
        </w:rPr>
        <w:t>‘</w:t>
      </w:r>
      <w:r w:rsidR="00BC4AED" w:rsidRPr="00BC4AED">
        <w:rPr>
          <w:rFonts w:ascii="Times" w:eastAsiaTheme="minorEastAsia" w:hAnsi="Times" w:cs="Times"/>
          <w:szCs w:val="24"/>
        </w:rPr>
        <w:t>communicational matrix, in which messages contradict each other’</w:t>
      </w:r>
      <w:r w:rsidR="00D95469">
        <w:rPr>
          <w:rFonts w:ascii="Times" w:eastAsiaTheme="minorEastAsia" w:hAnsi="Times" w:cs="Times"/>
          <w:szCs w:val="24"/>
        </w:rPr>
        <w:t>, so that an effective response to one message equates to a failed response to the other.</w:t>
      </w:r>
      <w:r w:rsidR="007D1EBE" w:rsidRPr="00D95469">
        <w:rPr>
          <w:rStyle w:val="FootnoteReference"/>
          <w:rFonts w:ascii="Times New Roman" w:eastAsiaTheme="minorEastAsia" w:hAnsi="Times New Roman"/>
          <w:color w:val="auto"/>
          <w:szCs w:val="24"/>
        </w:rPr>
        <w:footnoteReference w:id="59"/>
      </w:r>
      <w:r w:rsidR="004765AF">
        <w:rPr>
          <w:rFonts w:ascii="Times" w:eastAsiaTheme="minorEastAsia" w:hAnsi="Times" w:cs="Times"/>
          <w:szCs w:val="24"/>
        </w:rPr>
        <w:t xml:space="preserve"> </w:t>
      </w:r>
      <w:r w:rsidR="006309D5" w:rsidRPr="005475B6">
        <w:rPr>
          <w:rFonts w:ascii="Times New Roman" w:hAnsi="Times New Roman"/>
          <w:szCs w:val="24"/>
        </w:rPr>
        <w:t>For Spivak, the concept</w:t>
      </w:r>
      <w:r w:rsidR="009829A6" w:rsidRPr="005475B6">
        <w:rPr>
          <w:rFonts w:ascii="Times New Roman" w:hAnsi="Times New Roman"/>
          <w:szCs w:val="24"/>
        </w:rPr>
        <w:t xml:space="preserve"> of the double bind </w:t>
      </w:r>
      <w:r w:rsidR="006D0A4C">
        <w:rPr>
          <w:rFonts w:ascii="Times New Roman" w:hAnsi="Times New Roman"/>
          <w:szCs w:val="24"/>
        </w:rPr>
        <w:t xml:space="preserve">addresses </w:t>
      </w:r>
      <w:r w:rsidR="009829A6" w:rsidRPr="005475B6">
        <w:rPr>
          <w:rFonts w:ascii="Times New Roman" w:hAnsi="Times New Roman"/>
          <w:szCs w:val="24"/>
        </w:rPr>
        <w:t xml:space="preserve">the real </w:t>
      </w:r>
      <w:r w:rsidR="008744A0">
        <w:rPr>
          <w:rFonts w:ascii="Times New Roman" w:hAnsi="Times New Roman"/>
          <w:szCs w:val="24"/>
        </w:rPr>
        <w:t xml:space="preserve">affective </w:t>
      </w:r>
      <w:r w:rsidR="00A4712D">
        <w:rPr>
          <w:rFonts w:ascii="Times New Roman" w:hAnsi="Times New Roman"/>
          <w:szCs w:val="24"/>
        </w:rPr>
        <w:t>contradiction</w:t>
      </w:r>
      <w:r w:rsidR="009829A6" w:rsidRPr="005475B6">
        <w:rPr>
          <w:rFonts w:ascii="Times New Roman" w:hAnsi="Times New Roman"/>
          <w:szCs w:val="24"/>
        </w:rPr>
        <w:t xml:space="preserve">, ambivalence </w:t>
      </w:r>
      <w:r w:rsidR="006309D5" w:rsidRPr="005475B6">
        <w:rPr>
          <w:rFonts w:ascii="Times New Roman" w:hAnsi="Times New Roman"/>
          <w:szCs w:val="24"/>
        </w:rPr>
        <w:t xml:space="preserve">and </w:t>
      </w:r>
      <w:r w:rsidR="00084360" w:rsidRPr="005475B6">
        <w:rPr>
          <w:rFonts w:ascii="Times New Roman" w:hAnsi="Times New Roman"/>
          <w:szCs w:val="24"/>
        </w:rPr>
        <w:t>strife differently located subjects</w:t>
      </w:r>
      <w:r w:rsidR="009829A6" w:rsidRPr="005475B6">
        <w:rPr>
          <w:rFonts w:ascii="Times New Roman" w:hAnsi="Times New Roman"/>
          <w:szCs w:val="24"/>
        </w:rPr>
        <w:t xml:space="preserve"> face</w:t>
      </w:r>
      <w:r w:rsidR="006309D5" w:rsidRPr="005475B6">
        <w:rPr>
          <w:rFonts w:ascii="Times New Roman" w:hAnsi="Times New Roman"/>
          <w:szCs w:val="24"/>
        </w:rPr>
        <w:t xml:space="preserve"> in </w:t>
      </w:r>
      <w:r w:rsidR="00DF49AB">
        <w:rPr>
          <w:rFonts w:ascii="Times New Roman" w:hAnsi="Times New Roman"/>
          <w:szCs w:val="24"/>
        </w:rPr>
        <w:t>negotiating</w:t>
      </w:r>
      <w:r w:rsidR="009829A6" w:rsidRPr="005475B6">
        <w:rPr>
          <w:rFonts w:ascii="Times New Roman" w:hAnsi="Times New Roman"/>
          <w:szCs w:val="24"/>
        </w:rPr>
        <w:t xml:space="preserve"> </w:t>
      </w:r>
      <w:r w:rsidR="008744A0">
        <w:rPr>
          <w:rFonts w:ascii="Times New Roman" w:hAnsi="Times New Roman"/>
          <w:szCs w:val="24"/>
        </w:rPr>
        <w:t xml:space="preserve">complex </w:t>
      </w:r>
      <w:r w:rsidR="009829A6" w:rsidRPr="005475B6">
        <w:rPr>
          <w:rFonts w:ascii="Times New Roman" w:hAnsi="Times New Roman"/>
          <w:szCs w:val="24"/>
        </w:rPr>
        <w:t>power structures</w:t>
      </w:r>
      <w:r w:rsidR="0006143C">
        <w:rPr>
          <w:rFonts w:ascii="Times New Roman" w:hAnsi="Times New Roman"/>
          <w:szCs w:val="24"/>
        </w:rPr>
        <w:t xml:space="preserve"> and relations in pursuit of</w:t>
      </w:r>
      <w:r w:rsidR="009829A6" w:rsidRPr="005475B6">
        <w:rPr>
          <w:rFonts w:ascii="Times New Roman" w:hAnsi="Times New Roman"/>
          <w:szCs w:val="24"/>
        </w:rPr>
        <w:t xml:space="preserve"> </w:t>
      </w:r>
      <w:r w:rsidR="00A4712D">
        <w:rPr>
          <w:rFonts w:ascii="Times New Roman" w:hAnsi="Times New Roman"/>
          <w:szCs w:val="24"/>
        </w:rPr>
        <w:t>both everyday survival and various collective</w:t>
      </w:r>
      <w:r w:rsidR="009829A6" w:rsidRPr="005475B6">
        <w:rPr>
          <w:rFonts w:ascii="Times New Roman" w:hAnsi="Times New Roman"/>
          <w:szCs w:val="24"/>
        </w:rPr>
        <w:t xml:space="preserve"> projects of</w:t>
      </w:r>
      <w:r w:rsidR="006309D5" w:rsidRPr="005475B6">
        <w:rPr>
          <w:rFonts w:ascii="Times New Roman" w:hAnsi="Times New Roman"/>
          <w:szCs w:val="24"/>
        </w:rPr>
        <w:t xml:space="preserve"> social justice in the </w:t>
      </w:r>
      <w:r w:rsidR="0006143C">
        <w:rPr>
          <w:rFonts w:ascii="Times New Roman" w:hAnsi="Times New Roman"/>
          <w:szCs w:val="24"/>
        </w:rPr>
        <w:t>midst the ‘bipolari</w:t>
      </w:r>
      <w:r w:rsidR="003A68DA">
        <w:rPr>
          <w:rFonts w:ascii="Times New Roman" w:hAnsi="Times New Roman"/>
          <w:szCs w:val="24"/>
        </w:rPr>
        <w:t xml:space="preserve">ty’ </w:t>
      </w:r>
      <w:r w:rsidR="005F4B0F">
        <w:rPr>
          <w:rFonts w:ascii="Times New Roman" w:hAnsi="Times New Roman"/>
          <w:szCs w:val="24"/>
        </w:rPr>
        <w:t>of liberalism and</w:t>
      </w:r>
      <w:r w:rsidR="003A68DA">
        <w:rPr>
          <w:rFonts w:ascii="Times New Roman" w:hAnsi="Times New Roman"/>
          <w:szCs w:val="24"/>
        </w:rPr>
        <w:t xml:space="preserve"> transnational capitalism</w:t>
      </w:r>
      <w:r w:rsidR="00071FBE">
        <w:rPr>
          <w:rFonts w:ascii="Times New Roman" w:hAnsi="Times New Roman"/>
          <w:szCs w:val="24"/>
        </w:rPr>
        <w:t xml:space="preserve"> - </w:t>
      </w:r>
      <w:r w:rsidR="00071FBE" w:rsidRPr="00071FBE">
        <w:rPr>
          <w:rFonts w:ascii="Times New Roman" w:hAnsi="Times New Roman"/>
          <w:szCs w:val="24"/>
        </w:rPr>
        <w:t>whether they be in the form of neoliberalism’s dictate that we embrace freedom through submission to market logics, the ‘simple and forbidding’ contradictions of gender identity, or cultural criticism’s (paranoid?) rule that ‘when you look for something you find it’.</w:t>
      </w:r>
      <w:r w:rsidR="00071FBE" w:rsidRPr="00071FBE">
        <w:rPr>
          <w:rStyle w:val="FootnoteReference"/>
          <w:rFonts w:ascii="Times New Roman" w:hAnsi="Times New Roman"/>
          <w:szCs w:val="24"/>
        </w:rPr>
        <w:footnoteReference w:id="60"/>
      </w:r>
      <w:r w:rsidR="004765AF">
        <w:rPr>
          <w:rFonts w:ascii="Times New Roman" w:hAnsi="Times New Roman"/>
          <w:szCs w:val="24"/>
        </w:rPr>
        <w:t xml:space="preserve"> </w:t>
      </w:r>
      <w:r w:rsidR="00A4712D">
        <w:rPr>
          <w:rFonts w:ascii="Times New Roman" w:hAnsi="Times New Roman"/>
          <w:szCs w:val="24"/>
        </w:rPr>
        <w:t xml:space="preserve"> </w:t>
      </w:r>
      <w:r w:rsidR="00516584">
        <w:rPr>
          <w:rFonts w:ascii="Times New Roman" w:hAnsi="Times New Roman"/>
          <w:szCs w:val="24"/>
        </w:rPr>
        <w:t>A</w:t>
      </w:r>
      <w:r w:rsidR="0063078C">
        <w:rPr>
          <w:rFonts w:ascii="Times New Roman" w:hAnsi="Times New Roman"/>
          <w:szCs w:val="24"/>
        </w:rPr>
        <w:t xml:space="preserve">cross these different realms, </w:t>
      </w:r>
      <w:r w:rsidR="00516584">
        <w:rPr>
          <w:rFonts w:ascii="Times New Roman" w:hAnsi="Times New Roman"/>
          <w:szCs w:val="24"/>
        </w:rPr>
        <w:t xml:space="preserve">Spivak argues, </w:t>
      </w:r>
      <w:r w:rsidR="006309D5" w:rsidRPr="005475B6">
        <w:rPr>
          <w:rFonts w:ascii="Times New Roman" w:hAnsi="Times New Roman"/>
          <w:szCs w:val="24"/>
        </w:rPr>
        <w:t xml:space="preserve">our </w:t>
      </w:r>
      <w:r w:rsidR="00FF04B1">
        <w:rPr>
          <w:rFonts w:ascii="Times New Roman" w:hAnsi="Times New Roman"/>
          <w:szCs w:val="24"/>
        </w:rPr>
        <w:t xml:space="preserve">primary </w:t>
      </w:r>
      <w:r w:rsidR="006309D5" w:rsidRPr="005475B6">
        <w:rPr>
          <w:rFonts w:ascii="Times New Roman" w:hAnsi="Times New Roman"/>
          <w:szCs w:val="24"/>
        </w:rPr>
        <w:t xml:space="preserve">tendency is to </w:t>
      </w:r>
      <w:r w:rsidR="006309D5" w:rsidRPr="005475B6">
        <w:rPr>
          <w:rFonts w:ascii="Times New Roman" w:hAnsi="Times New Roman"/>
          <w:i/>
          <w:szCs w:val="24"/>
        </w:rPr>
        <w:t>deny</w:t>
      </w:r>
      <w:r w:rsidR="006309D5" w:rsidRPr="005475B6">
        <w:rPr>
          <w:rFonts w:ascii="Times New Roman" w:hAnsi="Times New Roman"/>
          <w:szCs w:val="24"/>
        </w:rPr>
        <w:t xml:space="preserve"> the double bind, ‘even through we are adroitly managing it in practice’</w:t>
      </w:r>
      <w:r w:rsidR="00893ABD">
        <w:rPr>
          <w:rStyle w:val="FootnoteReference"/>
          <w:rFonts w:ascii="Times New Roman" w:hAnsi="Times New Roman"/>
          <w:szCs w:val="24"/>
        </w:rPr>
        <w:footnoteReference w:id="61"/>
      </w:r>
      <w:r w:rsidR="00A611E0" w:rsidRPr="005475B6">
        <w:rPr>
          <w:rFonts w:ascii="Times New Roman" w:hAnsi="Times New Roman"/>
          <w:szCs w:val="24"/>
        </w:rPr>
        <w:t>, or, conversely, to think that we can somehow ‘</w:t>
      </w:r>
      <w:r w:rsidR="00A611E0" w:rsidRPr="005475B6">
        <w:rPr>
          <w:rFonts w:ascii="Times New Roman" w:hAnsi="Times New Roman"/>
          <w:i/>
          <w:szCs w:val="24"/>
        </w:rPr>
        <w:t>resolve</w:t>
      </w:r>
      <w:r w:rsidR="00893ABD">
        <w:rPr>
          <w:rFonts w:ascii="Times New Roman" w:hAnsi="Times New Roman"/>
          <w:szCs w:val="24"/>
        </w:rPr>
        <w:t xml:space="preserve"> double binds by playing them’</w:t>
      </w:r>
      <w:r w:rsidR="00A611E0" w:rsidRPr="005475B6">
        <w:rPr>
          <w:rFonts w:ascii="Times New Roman" w:hAnsi="Times New Roman"/>
          <w:szCs w:val="24"/>
        </w:rPr>
        <w:t>.</w:t>
      </w:r>
      <w:r w:rsidR="00893ABD">
        <w:rPr>
          <w:rStyle w:val="FootnoteReference"/>
          <w:rFonts w:ascii="Times New Roman" w:hAnsi="Times New Roman"/>
          <w:szCs w:val="24"/>
        </w:rPr>
        <w:footnoteReference w:id="62"/>
      </w:r>
      <w:r w:rsidR="004765AF">
        <w:rPr>
          <w:rFonts w:ascii="Times New Roman" w:hAnsi="Times New Roman"/>
          <w:szCs w:val="24"/>
        </w:rPr>
        <w:t xml:space="preserve"> </w:t>
      </w:r>
      <w:r w:rsidR="00084360" w:rsidRPr="00071FBE">
        <w:rPr>
          <w:rFonts w:ascii="Times New Roman" w:hAnsi="Times New Roman"/>
          <w:szCs w:val="24"/>
        </w:rPr>
        <w:t xml:space="preserve">The troubled </w:t>
      </w:r>
      <w:r w:rsidR="00947071" w:rsidRPr="00071FBE">
        <w:rPr>
          <w:rFonts w:ascii="Times New Roman" w:hAnsi="Times New Roman"/>
          <w:szCs w:val="24"/>
        </w:rPr>
        <w:t>fate of ‘strategic essentialism’</w:t>
      </w:r>
      <w:r w:rsidR="00084360" w:rsidRPr="00071FBE">
        <w:rPr>
          <w:rFonts w:ascii="Times New Roman" w:hAnsi="Times New Roman"/>
          <w:szCs w:val="24"/>
        </w:rPr>
        <w:t>, she suggests, stands out as an exemplary case of the limi</w:t>
      </w:r>
      <w:r w:rsidR="004B3D68" w:rsidRPr="00071FBE">
        <w:rPr>
          <w:rFonts w:ascii="Times New Roman" w:hAnsi="Times New Roman"/>
          <w:szCs w:val="24"/>
        </w:rPr>
        <w:t xml:space="preserve">tations of the latter strategy: </w:t>
      </w:r>
      <w:r w:rsidR="00084360" w:rsidRPr="00071FBE">
        <w:rPr>
          <w:rFonts w:ascii="Times New Roman" w:hAnsi="Times New Roman"/>
          <w:szCs w:val="24"/>
        </w:rPr>
        <w:t xml:space="preserve">an </w:t>
      </w:r>
      <w:r w:rsidR="00A611E0" w:rsidRPr="00071FBE">
        <w:rPr>
          <w:rFonts w:ascii="Times New Roman" w:hAnsi="Times New Roman"/>
          <w:szCs w:val="24"/>
        </w:rPr>
        <w:t xml:space="preserve">attempt to play </w:t>
      </w:r>
      <w:r w:rsidR="004B3D68" w:rsidRPr="00071FBE">
        <w:rPr>
          <w:rFonts w:ascii="Times New Roman" w:hAnsi="Times New Roman"/>
          <w:szCs w:val="24"/>
        </w:rPr>
        <w:t xml:space="preserve">the </w:t>
      </w:r>
      <w:r w:rsidR="00A611E0" w:rsidRPr="00071FBE">
        <w:rPr>
          <w:rFonts w:ascii="Times New Roman" w:hAnsi="Times New Roman"/>
          <w:szCs w:val="24"/>
        </w:rPr>
        <w:t>double bind</w:t>
      </w:r>
      <w:r w:rsidR="004B3D68" w:rsidRPr="00071FBE">
        <w:rPr>
          <w:rFonts w:ascii="Times New Roman" w:hAnsi="Times New Roman"/>
          <w:szCs w:val="24"/>
        </w:rPr>
        <w:t xml:space="preserve"> of identity</w:t>
      </w:r>
      <w:r w:rsidR="0063078C" w:rsidRPr="00071FBE">
        <w:rPr>
          <w:rFonts w:ascii="Times New Roman" w:hAnsi="Times New Roman"/>
          <w:szCs w:val="24"/>
        </w:rPr>
        <w:t xml:space="preserve"> that becomes damagingly </w:t>
      </w:r>
      <w:r w:rsidR="005F4B0F" w:rsidRPr="00071FBE">
        <w:rPr>
          <w:rFonts w:ascii="Times New Roman" w:hAnsi="Times New Roman"/>
          <w:szCs w:val="24"/>
        </w:rPr>
        <w:t xml:space="preserve">normalised and </w:t>
      </w:r>
      <w:r w:rsidR="0063078C" w:rsidRPr="00071FBE">
        <w:rPr>
          <w:rFonts w:ascii="Times New Roman" w:hAnsi="Times New Roman"/>
          <w:szCs w:val="24"/>
        </w:rPr>
        <w:t>congealed</w:t>
      </w:r>
      <w:r w:rsidR="00A611E0" w:rsidRPr="00071FBE">
        <w:rPr>
          <w:rFonts w:ascii="Times New Roman" w:hAnsi="Times New Roman"/>
          <w:szCs w:val="24"/>
        </w:rPr>
        <w:t>.</w:t>
      </w:r>
      <w:r w:rsidR="004765AF">
        <w:rPr>
          <w:rFonts w:ascii="Times New Roman" w:hAnsi="Times New Roman"/>
          <w:szCs w:val="24"/>
        </w:rPr>
        <w:t xml:space="preserve"> </w:t>
      </w:r>
      <w:r w:rsidR="002079AE" w:rsidRPr="00071FBE">
        <w:rPr>
          <w:rFonts w:ascii="Times New Roman" w:hAnsi="Times New Roman"/>
          <w:szCs w:val="24"/>
        </w:rPr>
        <w:t xml:space="preserve">As I will discuss further below, ‘translation’ for Spivak names the many </w:t>
      </w:r>
      <w:r w:rsidR="002079AE" w:rsidRPr="00071FBE">
        <w:rPr>
          <w:rFonts w:ascii="Times New Roman" w:hAnsi="Times New Roman"/>
          <w:szCs w:val="24"/>
        </w:rPr>
        <w:lastRenderedPageBreak/>
        <w:t>ways in which</w:t>
      </w:r>
      <w:r w:rsidR="002079AE" w:rsidRPr="004171C1">
        <w:rPr>
          <w:rFonts w:ascii="Times New Roman" w:hAnsi="Times New Roman"/>
          <w:szCs w:val="24"/>
        </w:rPr>
        <w:t xml:space="preserve"> we must negotiate the</w:t>
      </w:r>
      <w:r w:rsidR="004171C1" w:rsidRPr="004171C1">
        <w:rPr>
          <w:rFonts w:ascii="Times New Roman" w:hAnsi="Times New Roman"/>
          <w:szCs w:val="24"/>
        </w:rPr>
        <w:t xml:space="preserve"> double bind over and over again,</w:t>
      </w:r>
      <w:r w:rsidR="002079AE" w:rsidRPr="004171C1">
        <w:rPr>
          <w:rFonts w:ascii="Times New Roman" w:hAnsi="Times New Roman"/>
          <w:szCs w:val="24"/>
        </w:rPr>
        <w:t xml:space="preserve"> but </w:t>
      </w:r>
      <w:r w:rsidR="004171C1" w:rsidRPr="004171C1">
        <w:rPr>
          <w:rFonts w:ascii="Times New Roman" w:hAnsi="Times New Roman"/>
          <w:szCs w:val="24"/>
        </w:rPr>
        <w:t xml:space="preserve">it </w:t>
      </w:r>
      <w:r w:rsidR="002079AE" w:rsidRPr="004171C1">
        <w:rPr>
          <w:rFonts w:ascii="Times New Roman" w:hAnsi="Times New Roman"/>
          <w:szCs w:val="24"/>
        </w:rPr>
        <w:t>also</w:t>
      </w:r>
      <w:r w:rsidR="004171C1" w:rsidRPr="004171C1">
        <w:rPr>
          <w:rFonts w:ascii="Times New Roman" w:hAnsi="Times New Roman"/>
          <w:szCs w:val="24"/>
        </w:rPr>
        <w:t xml:space="preserve"> refers to</w:t>
      </w:r>
      <w:r w:rsidR="002079AE" w:rsidRPr="004171C1">
        <w:rPr>
          <w:rFonts w:ascii="Times New Roman" w:hAnsi="Times New Roman"/>
          <w:szCs w:val="24"/>
        </w:rPr>
        <w:t xml:space="preserve"> a </w:t>
      </w:r>
      <w:r w:rsidR="004171C1" w:rsidRPr="004171C1">
        <w:rPr>
          <w:rFonts w:ascii="Times New Roman" w:hAnsi="Times New Roman"/>
          <w:szCs w:val="24"/>
        </w:rPr>
        <w:t xml:space="preserve">discursive-material </w:t>
      </w:r>
      <w:r w:rsidR="002079AE" w:rsidRPr="004171C1">
        <w:rPr>
          <w:rFonts w:ascii="Times New Roman" w:hAnsi="Times New Roman"/>
          <w:szCs w:val="24"/>
        </w:rPr>
        <w:t>process th</w:t>
      </w:r>
      <w:r w:rsidR="004171C1" w:rsidRPr="004171C1">
        <w:rPr>
          <w:rFonts w:ascii="Times New Roman" w:hAnsi="Times New Roman"/>
          <w:szCs w:val="24"/>
        </w:rPr>
        <w:t>rough which we might be trained to inhabit contradictory instructions in more imaginativ</w:t>
      </w:r>
      <w:r w:rsidR="004171C1">
        <w:rPr>
          <w:rFonts w:ascii="Times New Roman" w:hAnsi="Times New Roman"/>
          <w:szCs w:val="24"/>
        </w:rPr>
        <w:t>e and potentially ethical ways,</w:t>
      </w:r>
      <w:r w:rsidR="004171C1" w:rsidRPr="004171C1">
        <w:rPr>
          <w:rFonts w:ascii="Times New Roman" w:hAnsi="Times New Roman"/>
          <w:szCs w:val="24"/>
        </w:rPr>
        <w:t xml:space="preserve"> to cultivate</w:t>
      </w:r>
      <w:r w:rsidR="005408B0">
        <w:rPr>
          <w:rFonts w:ascii="Times New Roman" w:hAnsi="Times New Roman"/>
          <w:szCs w:val="24"/>
        </w:rPr>
        <w:t xml:space="preserve"> what she</w:t>
      </w:r>
      <w:r w:rsidR="004171C1" w:rsidRPr="004171C1">
        <w:rPr>
          <w:rFonts w:ascii="Times New Roman" w:hAnsi="Times New Roman"/>
          <w:szCs w:val="24"/>
        </w:rPr>
        <w:t xml:space="preserve"> calls ‘ethical reflexes’. </w:t>
      </w:r>
    </w:p>
    <w:p w14:paraId="574FE584" w14:textId="0956B14E" w:rsidR="00107A3A" w:rsidRPr="00B949AB" w:rsidRDefault="00546547" w:rsidP="009D75F2">
      <w:pPr>
        <w:ind w:firstLine="720"/>
      </w:pPr>
      <w:r w:rsidRPr="005475B6">
        <w:t xml:space="preserve">Drawing on Spivak’s conceptual </w:t>
      </w:r>
      <w:r w:rsidR="004D1D20" w:rsidRPr="005475B6">
        <w:t>language, we could consider</w:t>
      </w:r>
      <w:r w:rsidR="005761D9" w:rsidRPr="005475B6">
        <w:t xml:space="preserve"> how Sedg</w:t>
      </w:r>
      <w:r w:rsidRPr="005475B6">
        <w:t xml:space="preserve">wick’s translation of </w:t>
      </w:r>
      <w:r w:rsidR="004D1D20" w:rsidRPr="005475B6">
        <w:t xml:space="preserve">the </w:t>
      </w:r>
      <w:r w:rsidRPr="005475B6">
        <w:t>Kle</w:t>
      </w:r>
      <w:r w:rsidR="00B33817">
        <w:t>i</w:t>
      </w:r>
      <w:r w:rsidRPr="005475B6">
        <w:t xml:space="preserve">nian </w:t>
      </w:r>
      <w:r w:rsidR="004B3D68">
        <w:t>notion of ‘</w:t>
      </w:r>
      <w:r w:rsidRPr="005475B6">
        <w:t>pos</w:t>
      </w:r>
      <w:r w:rsidR="004D1D20" w:rsidRPr="005475B6">
        <w:t>i</w:t>
      </w:r>
      <w:r w:rsidRPr="005475B6">
        <w:t>tions</w:t>
      </w:r>
      <w:r w:rsidR="004B3D68">
        <w:t>’</w:t>
      </w:r>
      <w:r w:rsidRPr="005475B6">
        <w:t xml:space="preserve"> into</w:t>
      </w:r>
      <w:r w:rsidR="004D1D20" w:rsidRPr="005475B6">
        <w:t xml:space="preserve"> the realm of</w:t>
      </w:r>
      <w:r w:rsidRPr="005475B6">
        <w:t xml:space="preserve"> cultural theory offers its own kind of double bind</w:t>
      </w:r>
      <w:r w:rsidR="004D1D20" w:rsidRPr="005475B6">
        <w:t>.</w:t>
      </w:r>
      <w:r w:rsidR="004765AF">
        <w:t xml:space="preserve"> </w:t>
      </w:r>
      <w:r w:rsidR="00280F74" w:rsidRPr="005475B6">
        <w:t>To sta</w:t>
      </w:r>
      <w:r w:rsidR="00AB27F6" w:rsidRPr="005475B6">
        <w:t>r</w:t>
      </w:r>
      <w:r w:rsidR="00280F74" w:rsidRPr="005475B6">
        <w:t xml:space="preserve">t, </w:t>
      </w:r>
      <w:r w:rsidR="004D1D20" w:rsidRPr="005475B6">
        <w:t>Sedgwick describes th</w:t>
      </w:r>
      <w:r w:rsidR="00280F74" w:rsidRPr="005475B6">
        <w:t>e hermeneutics of suspicion as itself constituting a</w:t>
      </w:r>
      <w:r w:rsidR="004D1D20" w:rsidRPr="005475B6">
        <w:t xml:space="preserve"> double bind i</w:t>
      </w:r>
      <w:r w:rsidR="00545347" w:rsidRPr="005475B6">
        <w:t xml:space="preserve">n that, while its imperative is to attain maximum critical force, the very injunction to </w:t>
      </w:r>
      <w:r w:rsidR="00545347" w:rsidRPr="005475B6">
        <w:rPr>
          <w:i/>
        </w:rPr>
        <w:t>always</w:t>
      </w:r>
      <w:r w:rsidR="00545347" w:rsidRPr="005475B6">
        <w:t xml:space="preserve"> be suspicious (‘you can never be paranoid enough’) </w:t>
      </w:r>
      <w:r w:rsidR="00A72ADC" w:rsidRPr="005475B6">
        <w:t xml:space="preserve">ironically reduces criticality </w:t>
      </w:r>
      <w:r w:rsidR="00545347" w:rsidRPr="005475B6">
        <w:t>and responsiveness</w:t>
      </w:r>
      <w:r w:rsidR="00A72ADC" w:rsidRPr="005475B6">
        <w:t xml:space="preserve"> to unpredictability and change</w:t>
      </w:r>
      <w:r w:rsidR="00545347" w:rsidRPr="005475B6">
        <w:t xml:space="preserve"> by legislating paranoia as an a pr</w:t>
      </w:r>
      <w:r w:rsidR="00743967">
        <w:t>iori requirement.</w:t>
      </w:r>
      <w:r w:rsidR="004765AF">
        <w:t xml:space="preserve"> </w:t>
      </w:r>
      <w:r w:rsidR="00280F74" w:rsidRPr="005475B6">
        <w:t>However, if paranoid reading is itself caught within a double bind, the problems it presents cannot then, following Spivak’s logic, be ‘</w:t>
      </w:r>
      <w:r w:rsidR="00280F74" w:rsidRPr="005475B6">
        <w:rPr>
          <w:i/>
        </w:rPr>
        <w:t>resolved</w:t>
      </w:r>
      <w:r w:rsidR="00280F74" w:rsidRPr="005475B6">
        <w:t xml:space="preserve">’ by figuring it </w:t>
      </w:r>
      <w:r w:rsidR="00A21C62" w:rsidRPr="005475B6">
        <w:t xml:space="preserve">in </w:t>
      </w:r>
      <w:r w:rsidR="00280F74" w:rsidRPr="005475B6">
        <w:t>oppositional relation to r</w:t>
      </w:r>
      <w:r w:rsidR="00A611E0" w:rsidRPr="005475B6">
        <w:t xml:space="preserve">eparative reading </w:t>
      </w:r>
      <w:r w:rsidR="00A21C62" w:rsidRPr="005475B6">
        <w:t>and invoking</w:t>
      </w:r>
      <w:r w:rsidR="00280F74" w:rsidRPr="005475B6">
        <w:t xml:space="preserve"> reparat</w:t>
      </w:r>
      <w:r w:rsidR="00AB27F6" w:rsidRPr="005475B6">
        <w:t>ion a</w:t>
      </w:r>
      <w:r w:rsidR="00A611E0" w:rsidRPr="005475B6">
        <w:t>s a preferred alternative</w:t>
      </w:r>
      <w:r w:rsidR="00AB27F6" w:rsidRPr="005475B6">
        <w:t>.</w:t>
      </w:r>
      <w:r w:rsidR="004765AF">
        <w:t xml:space="preserve"> </w:t>
      </w:r>
      <w:r w:rsidR="00CC789A" w:rsidRPr="005475B6">
        <w:t>W</w:t>
      </w:r>
      <w:r w:rsidR="00903375" w:rsidRPr="005475B6">
        <w:t>hen reparation is mobilised explicitl</w:t>
      </w:r>
      <w:r w:rsidR="00B80872" w:rsidRPr="005475B6">
        <w:t>y or</w:t>
      </w:r>
      <w:r w:rsidR="00903375" w:rsidRPr="005475B6">
        <w:t xml:space="preserve"> implicitly as </w:t>
      </w:r>
      <w:r w:rsidR="00A21C62" w:rsidRPr="005475B6">
        <w:t xml:space="preserve">mode of critical engagement that can </w:t>
      </w:r>
      <w:r w:rsidR="00B80872" w:rsidRPr="005475B6">
        <w:t xml:space="preserve">avoid </w:t>
      </w:r>
      <w:r w:rsidR="00A21C62" w:rsidRPr="005475B6">
        <w:t>(</w:t>
      </w:r>
      <w:r w:rsidR="00B80872" w:rsidRPr="005475B6">
        <w:t xml:space="preserve">or </w:t>
      </w:r>
      <w:r w:rsidR="00903375" w:rsidRPr="005475B6">
        <w:t>repair</w:t>
      </w:r>
      <w:r w:rsidR="00CC789A" w:rsidRPr="005475B6">
        <w:t>) paranoia</w:t>
      </w:r>
      <w:r w:rsidR="00A21C62" w:rsidRPr="005475B6">
        <w:t xml:space="preserve"> we can lose sight of </w:t>
      </w:r>
      <w:r w:rsidR="00A21C62" w:rsidRPr="00F809A2">
        <w:t>the real affective ambivalence an</w:t>
      </w:r>
      <w:r w:rsidR="00A611E0" w:rsidRPr="00F809A2">
        <w:t>d complexity at the core of cultural theory’s</w:t>
      </w:r>
      <w:r w:rsidR="00A21C62" w:rsidRPr="00F809A2">
        <w:t xml:space="preserve"> double bind</w:t>
      </w:r>
      <w:r w:rsidR="00C02E6C" w:rsidRPr="00F809A2">
        <w:t xml:space="preserve">: </w:t>
      </w:r>
      <w:r w:rsidR="001E46ED">
        <w:t>t</w:t>
      </w:r>
      <w:r w:rsidR="00C02E6C" w:rsidRPr="00107A3A">
        <w:t>hat is, the</w:t>
      </w:r>
      <w:r w:rsidR="00F809A2" w:rsidRPr="00107A3A">
        <w:t xml:space="preserve"> seemingly competing</w:t>
      </w:r>
      <w:r w:rsidR="005F4B0F" w:rsidRPr="00107A3A">
        <w:t xml:space="preserve"> desire</w:t>
      </w:r>
      <w:r w:rsidR="00F809A2" w:rsidRPr="00107A3A">
        <w:t>s</w:t>
      </w:r>
      <w:r w:rsidR="00C02E6C" w:rsidRPr="00107A3A">
        <w:t xml:space="preserve"> to produce cultural an</w:t>
      </w:r>
      <w:r w:rsidR="004928AF" w:rsidRPr="00107A3A">
        <w:t>alysis that is attentive to</w:t>
      </w:r>
      <w:r w:rsidR="00C02E6C" w:rsidRPr="00107A3A">
        <w:t xml:space="preserve"> </w:t>
      </w:r>
      <w:r w:rsidR="004928AF" w:rsidRPr="00107A3A">
        <w:t>structural workings of power, violence and oppression and yet not circular,</w:t>
      </w:r>
      <w:r w:rsidR="0022668B" w:rsidRPr="00107A3A">
        <w:t xml:space="preserve"> self-perpetuating, </w:t>
      </w:r>
      <w:r w:rsidR="005F4B0F" w:rsidRPr="00107A3A">
        <w:t xml:space="preserve">and </w:t>
      </w:r>
      <w:r w:rsidR="00F809A2" w:rsidRPr="00107A3A">
        <w:t>inert to change;</w:t>
      </w:r>
      <w:r w:rsidR="0022668B" w:rsidRPr="00107A3A">
        <w:t xml:space="preserve"> </w:t>
      </w:r>
      <w:r w:rsidR="00F809A2" w:rsidRPr="00107A3A">
        <w:t>t</w:t>
      </w:r>
      <w:r w:rsidR="00107A3A" w:rsidRPr="00107A3A">
        <w:t>o provide</w:t>
      </w:r>
      <w:r w:rsidR="0022668B" w:rsidRPr="00107A3A">
        <w:t xml:space="preserve"> an account that addresses intellectual expectations of incisiveness, criticality, and evidence without evacuating </w:t>
      </w:r>
      <w:r w:rsidR="004928AF" w:rsidRPr="00107A3A">
        <w:t>contradiction, uncertainty</w:t>
      </w:r>
      <w:r w:rsidR="00107A3A">
        <w:t>,</w:t>
      </w:r>
      <w:r w:rsidR="00107A3A" w:rsidRPr="00107A3A">
        <w:t xml:space="preserve"> and mixed feelings; to offer a narrative that addresses how </w:t>
      </w:r>
      <w:r w:rsidR="00107A3A">
        <w:t xml:space="preserve">our </w:t>
      </w:r>
      <w:r w:rsidR="00107A3A" w:rsidRPr="00107A3A">
        <w:t>work is always ‘psycholog</w:t>
      </w:r>
      <w:r w:rsidR="00893ABD">
        <w:t>ically, affectively motivated’</w:t>
      </w:r>
      <w:r w:rsidR="006373E5">
        <w:rPr>
          <w:rStyle w:val="FootnoteReference"/>
        </w:rPr>
        <w:footnoteReference w:id="63"/>
      </w:r>
      <w:r w:rsidR="00107A3A" w:rsidRPr="00107A3A">
        <w:t xml:space="preserve">, but also extends beyond </w:t>
      </w:r>
      <w:r w:rsidR="00107A3A">
        <w:t xml:space="preserve">our own </w:t>
      </w:r>
      <w:r w:rsidR="00107A3A" w:rsidRPr="00107A3A">
        <w:t>psychic investments and defenses to pursue ‘an ethical scholarship that demonstrates the kind of relationality that our politically inspired</w:t>
      </w:r>
      <w:r w:rsidR="006373E5">
        <w:t xml:space="preserve"> criticality wants to promote’</w:t>
      </w:r>
      <w:r w:rsidR="00107A3A" w:rsidRPr="00107A3A">
        <w:t>.</w:t>
      </w:r>
      <w:r w:rsidR="006373E5">
        <w:rPr>
          <w:rStyle w:val="FootnoteReference"/>
        </w:rPr>
        <w:footnoteReference w:id="64"/>
      </w:r>
      <w:r w:rsidR="004765AF">
        <w:t xml:space="preserve"> </w:t>
      </w:r>
      <w:r w:rsidR="00107A3A" w:rsidRPr="00B949AB">
        <w:t xml:space="preserve"> </w:t>
      </w:r>
    </w:p>
    <w:p w14:paraId="358C9A93" w14:textId="28AE2C26" w:rsidR="00A9416C" w:rsidRPr="00A54C6E" w:rsidRDefault="00A611E0" w:rsidP="009D75F2">
      <w:pPr>
        <w:pStyle w:val="FootnoteText"/>
        <w:ind w:firstLine="720"/>
        <w:rPr>
          <w:lang w:val="en-US"/>
        </w:rPr>
      </w:pPr>
      <w:r w:rsidRPr="00A54C6E">
        <w:t>Sedgwi</w:t>
      </w:r>
      <w:r w:rsidR="0022668B" w:rsidRPr="00A54C6E">
        <w:t>ck was certainly attuned to the</w:t>
      </w:r>
      <w:r w:rsidRPr="00A54C6E">
        <w:t xml:space="preserve"> risk</w:t>
      </w:r>
      <w:r w:rsidR="00DF744F" w:rsidRPr="00A54C6E">
        <w:t xml:space="preserve"> of </w:t>
      </w:r>
      <w:r w:rsidR="00A54C6E" w:rsidRPr="00A54C6E">
        <w:t xml:space="preserve">severing reparation from paranoia to figure it as epistemological </w:t>
      </w:r>
      <w:r w:rsidR="00DF744F" w:rsidRPr="00A54C6E">
        <w:t>‘solution’</w:t>
      </w:r>
      <w:r w:rsidRPr="00A54C6E">
        <w:t>.</w:t>
      </w:r>
      <w:r w:rsidR="004765AF">
        <w:t xml:space="preserve"> </w:t>
      </w:r>
      <w:r w:rsidR="001E7CFB" w:rsidRPr="00A54C6E">
        <w:t xml:space="preserve">While </w:t>
      </w:r>
      <w:r w:rsidRPr="00A54C6E">
        <w:t>highlighting the affirmative possibilities</w:t>
      </w:r>
      <w:r w:rsidR="001E7CFB" w:rsidRPr="00A54C6E">
        <w:t xml:space="preserve"> of reparation was ne</w:t>
      </w:r>
      <w:r w:rsidRPr="00A54C6E">
        <w:t>cessary precisely because its status was so maligned</w:t>
      </w:r>
      <w:r w:rsidR="001E7CFB" w:rsidRPr="00A54C6E">
        <w:t xml:space="preserve"> in face of </w:t>
      </w:r>
      <w:r w:rsidRPr="00A54C6E">
        <w:t xml:space="preserve">the </w:t>
      </w:r>
      <w:r w:rsidR="001E7CFB" w:rsidRPr="00A54C6E">
        <w:t xml:space="preserve">dominance of </w:t>
      </w:r>
      <w:r w:rsidRPr="00A54C6E">
        <w:t xml:space="preserve">the hermeneutics of suspicion, </w:t>
      </w:r>
      <w:r w:rsidR="0022184C" w:rsidRPr="00A54C6E">
        <w:t xml:space="preserve">it bears repeating that </w:t>
      </w:r>
      <w:r w:rsidR="00CC789A" w:rsidRPr="00A54C6E">
        <w:t>Sedgwick was</w:t>
      </w:r>
      <w:r w:rsidR="001E7CFB" w:rsidRPr="00A54C6E">
        <w:t xml:space="preserve"> actually most interested </w:t>
      </w:r>
      <w:r w:rsidR="00FE1E4B">
        <w:t xml:space="preserve">in </w:t>
      </w:r>
      <w:r w:rsidR="001E7CFB" w:rsidRPr="00A54C6E">
        <w:t xml:space="preserve">tracing the </w:t>
      </w:r>
      <w:r w:rsidR="00F725A6" w:rsidRPr="00A54C6E">
        <w:rPr>
          <w:i/>
        </w:rPr>
        <w:t>relationality</w:t>
      </w:r>
      <w:r w:rsidR="00F725A6" w:rsidRPr="00A54C6E">
        <w:t xml:space="preserve"> </w:t>
      </w:r>
      <w:r w:rsidR="001E7CFB" w:rsidRPr="00A54C6E">
        <w:t>of paranoia and r</w:t>
      </w:r>
      <w:r w:rsidR="00A21C62" w:rsidRPr="00A54C6E">
        <w:t>eparation in cultural analysis:</w:t>
      </w:r>
      <w:r w:rsidR="001E7CFB" w:rsidRPr="00A54C6E">
        <w:t xml:space="preserve"> ‘in doing justice to the powerful reparative practices that, I am convinced, infuse self-avowedly paranoid critical projects, as well as in the paranoid exigencies that are so often necessary for nonp</w:t>
      </w:r>
      <w:r w:rsidR="006373E5">
        <w:t>aranoid knowing and utterance’</w:t>
      </w:r>
      <w:r w:rsidR="001E7CFB" w:rsidRPr="00A54C6E">
        <w:t>.</w:t>
      </w:r>
      <w:r w:rsidR="006373E5">
        <w:rPr>
          <w:rStyle w:val="FootnoteReference"/>
        </w:rPr>
        <w:footnoteReference w:id="65"/>
      </w:r>
      <w:r w:rsidR="004765AF">
        <w:t xml:space="preserve"> </w:t>
      </w:r>
      <w:r w:rsidR="00743967" w:rsidRPr="00A54C6E">
        <w:t>In this vein</w:t>
      </w:r>
      <w:r w:rsidR="00352F7E" w:rsidRPr="00A54C6E">
        <w:t xml:space="preserve">, it is notable </w:t>
      </w:r>
      <w:r w:rsidR="006A0FB6" w:rsidRPr="00A54C6E">
        <w:t xml:space="preserve">that although Sedgwick argues forcefully for dislodging paranoid reading from its dominant position in cultural theory, her much cited chapter nonetheless </w:t>
      </w:r>
      <w:r w:rsidR="0041305A" w:rsidRPr="00A54C6E">
        <w:t xml:space="preserve">arguably </w:t>
      </w:r>
      <w:r w:rsidR="00560DE4">
        <w:t>engages</w:t>
      </w:r>
      <w:r w:rsidR="006A0FB6" w:rsidRPr="00A54C6E">
        <w:t xml:space="preserve"> </w:t>
      </w:r>
      <w:r w:rsidR="006A0FB6" w:rsidRPr="00A54C6E">
        <w:rPr>
          <w:i/>
        </w:rPr>
        <w:t>its own</w:t>
      </w:r>
      <w:r w:rsidR="006A0FB6" w:rsidRPr="00A54C6E">
        <w:t xml:space="preserve"> hermeneutics of suspicion – that is, it offers a detailed typology that allows one to </w:t>
      </w:r>
      <w:r w:rsidR="006A0FB6" w:rsidRPr="00A54C6E">
        <w:rPr>
          <w:i/>
        </w:rPr>
        <w:t>diagnose</w:t>
      </w:r>
      <w:r w:rsidR="006A0FB6" w:rsidRPr="00A54C6E">
        <w:t xml:space="preserve"> paranoid critique at work, but provides comparatively little explicit thoughts regarding what reparation might look like in practice</w:t>
      </w:r>
      <w:r w:rsidR="0041305A" w:rsidRPr="00A54C6E">
        <w:t>.</w:t>
      </w:r>
      <w:r w:rsidR="004765AF">
        <w:t xml:space="preserve"> </w:t>
      </w:r>
      <w:r w:rsidR="0041305A" w:rsidRPr="00A54C6E">
        <w:t xml:space="preserve">From this perspective, Sedgwick’s text not only instructs us to view paranoia and reparation as constitutively connected, but also </w:t>
      </w:r>
      <w:r w:rsidR="0041305A" w:rsidRPr="00A54C6E">
        <w:rPr>
          <w:i/>
        </w:rPr>
        <w:t>performs</w:t>
      </w:r>
      <w:r w:rsidR="0041305A" w:rsidRPr="00A54C6E">
        <w:t xml:space="preserve"> this inextricability.</w:t>
      </w:r>
      <w:r w:rsidR="00560DE4">
        <w:rPr>
          <w:rStyle w:val="FootnoteReference"/>
        </w:rPr>
        <w:footnoteReference w:id="66"/>
      </w:r>
      <w:r w:rsidR="004765AF">
        <w:t xml:space="preserve"> </w:t>
      </w:r>
      <w:r w:rsidR="005D5932">
        <w:t>F</w:t>
      </w:r>
      <w:r w:rsidR="004171C1" w:rsidRPr="00A54C6E">
        <w:t>or Sedgwick, as for Klein,</w:t>
      </w:r>
      <w:r w:rsidR="005D5932">
        <w:t xml:space="preserve"> then,</w:t>
      </w:r>
      <w:r w:rsidR="004171C1" w:rsidRPr="00A54C6E">
        <w:t xml:space="preserve"> reparation is only</w:t>
      </w:r>
      <w:r w:rsidR="006373E5">
        <w:t xml:space="preserve"> possible through its continual</w:t>
      </w:r>
      <w:r w:rsidR="005C69A7" w:rsidRPr="00A54C6E">
        <w:t xml:space="preserve"> interaction with paranoia and vice versa.</w:t>
      </w:r>
      <w:r w:rsidR="004765AF">
        <w:t xml:space="preserve"> </w:t>
      </w:r>
      <w:r w:rsidR="003B151F" w:rsidRPr="00A54C6E">
        <w:t xml:space="preserve">Moreover, for both authors it is clear that </w:t>
      </w:r>
      <w:r w:rsidR="00A4613D" w:rsidRPr="00A54C6E">
        <w:t xml:space="preserve">reparation is never a </w:t>
      </w:r>
      <w:r w:rsidR="003B151F" w:rsidRPr="00A54C6E">
        <w:t xml:space="preserve">secure state or </w:t>
      </w:r>
      <w:r w:rsidR="00A4613D" w:rsidRPr="00A54C6E">
        <w:t>f</w:t>
      </w:r>
      <w:r w:rsidR="00AB09A7" w:rsidRPr="00A54C6E">
        <w:t>inal</w:t>
      </w:r>
      <w:r w:rsidR="003B151F" w:rsidRPr="00A54C6E">
        <w:t xml:space="preserve"> destination</w:t>
      </w:r>
      <w:r w:rsidR="00AB09A7" w:rsidRPr="00A54C6E">
        <w:t xml:space="preserve">, but rather </w:t>
      </w:r>
      <w:r w:rsidR="00A4613D" w:rsidRPr="00A54C6E">
        <w:t>‘an anxiety-mitigating achievement that the infant or adult only sometimes, and then only br</w:t>
      </w:r>
      <w:r w:rsidR="006373E5">
        <w:t>iefly, succeeds in inhabiting’</w:t>
      </w:r>
      <w:r w:rsidR="00A4613D" w:rsidRPr="00A54C6E">
        <w:t>.</w:t>
      </w:r>
      <w:r w:rsidR="006373E5">
        <w:rPr>
          <w:rStyle w:val="FootnoteReference"/>
        </w:rPr>
        <w:footnoteReference w:id="67"/>
      </w:r>
      <w:r w:rsidR="004765AF">
        <w:t xml:space="preserve"> </w:t>
      </w:r>
      <w:r w:rsidR="0022184C" w:rsidRPr="00A54C6E">
        <w:t>Just as love always exists in conjunct</w:t>
      </w:r>
      <w:r w:rsidR="006373E5">
        <w:t xml:space="preserve">ion with ‘aggressive </w:t>
      </w:r>
      <w:r w:rsidR="006373E5">
        <w:lastRenderedPageBreak/>
        <w:t>impulses’</w:t>
      </w:r>
      <w:r w:rsidR="006373E5">
        <w:rPr>
          <w:rStyle w:val="FootnoteReference"/>
        </w:rPr>
        <w:footnoteReference w:id="68"/>
      </w:r>
      <w:r w:rsidR="0022184C" w:rsidRPr="00A54C6E">
        <w:t>, reparation and paranoia remain ambivalently bound to one another in an on</w:t>
      </w:r>
      <w:r w:rsidR="006373E5">
        <w:t>-</w:t>
      </w:r>
      <w:r w:rsidR="0022184C" w:rsidRPr="00A54C6E">
        <w:t xml:space="preserve">going process of generative interaction. </w:t>
      </w:r>
    </w:p>
    <w:p w14:paraId="439EECCC" w14:textId="3DCDFBC8" w:rsidR="003F2CC7" w:rsidRDefault="004535E9" w:rsidP="009D75F2">
      <w:pPr>
        <w:pStyle w:val="FreeFormA"/>
        <w:ind w:firstLine="720"/>
        <w:rPr>
          <w:rFonts w:ascii="Times New Roman" w:hAnsi="Times New Roman"/>
          <w:szCs w:val="24"/>
        </w:rPr>
      </w:pPr>
      <w:r w:rsidRPr="00996E53">
        <w:rPr>
          <w:rFonts w:ascii="Times New Roman" w:hAnsi="Times New Roman"/>
          <w:szCs w:val="24"/>
        </w:rPr>
        <w:t>If cultural critique is itself a double bind</w:t>
      </w:r>
      <w:r w:rsidR="00DF744F">
        <w:rPr>
          <w:rFonts w:ascii="Times New Roman" w:hAnsi="Times New Roman"/>
          <w:szCs w:val="24"/>
        </w:rPr>
        <w:t>,</w:t>
      </w:r>
      <w:r w:rsidRPr="00996E53">
        <w:rPr>
          <w:rFonts w:ascii="Times New Roman" w:hAnsi="Times New Roman"/>
          <w:szCs w:val="24"/>
        </w:rPr>
        <w:t xml:space="preserve"> </w:t>
      </w:r>
      <w:r w:rsidR="00DF744F">
        <w:rPr>
          <w:rFonts w:ascii="Times New Roman" w:hAnsi="Times New Roman"/>
          <w:szCs w:val="24"/>
        </w:rPr>
        <w:t xml:space="preserve">I want to argue, </w:t>
      </w:r>
      <w:r w:rsidRPr="00996E53">
        <w:rPr>
          <w:rFonts w:ascii="Times New Roman" w:hAnsi="Times New Roman"/>
          <w:szCs w:val="24"/>
        </w:rPr>
        <w:t xml:space="preserve">we need to think further about what it might mean to really </w:t>
      </w:r>
      <w:r w:rsidRPr="00996E53">
        <w:rPr>
          <w:rFonts w:ascii="Times New Roman" w:hAnsi="Times New Roman"/>
          <w:i/>
          <w:szCs w:val="24"/>
        </w:rPr>
        <w:t>inhabit</w:t>
      </w:r>
      <w:r w:rsidRPr="00996E53">
        <w:rPr>
          <w:rFonts w:ascii="Times New Roman" w:hAnsi="Times New Roman"/>
          <w:szCs w:val="24"/>
        </w:rPr>
        <w:t xml:space="preserve"> its affective ambivalence in our research and analysis - to move towards</w:t>
      </w:r>
      <w:r w:rsidRPr="004535E9">
        <w:rPr>
          <w:rFonts w:ascii="Times New Roman" w:hAnsi="Times New Roman"/>
          <w:szCs w:val="24"/>
        </w:rPr>
        <w:t xml:space="preserve"> ‘learning </w:t>
      </w:r>
      <w:r w:rsidRPr="004535E9">
        <w:rPr>
          <w:rFonts w:ascii="Times New Roman" w:hAnsi="Times New Roman"/>
          <w:i/>
          <w:szCs w:val="24"/>
        </w:rPr>
        <w:t>of</w:t>
      </w:r>
      <w:r w:rsidRPr="004535E9">
        <w:rPr>
          <w:rFonts w:ascii="Times New Roman" w:hAnsi="Times New Roman"/>
          <w:szCs w:val="24"/>
        </w:rPr>
        <w:t xml:space="preserve"> the double bind – not just learning </w:t>
      </w:r>
      <w:r w:rsidRPr="004535E9">
        <w:rPr>
          <w:rFonts w:ascii="Times New Roman" w:hAnsi="Times New Roman"/>
          <w:i/>
          <w:szCs w:val="24"/>
        </w:rPr>
        <w:t>about</w:t>
      </w:r>
      <w:r w:rsidR="006373E5">
        <w:rPr>
          <w:rFonts w:ascii="Times New Roman" w:hAnsi="Times New Roman"/>
          <w:szCs w:val="24"/>
        </w:rPr>
        <w:t xml:space="preserve"> it’</w:t>
      </w:r>
      <w:r>
        <w:rPr>
          <w:rFonts w:ascii="Times New Roman" w:hAnsi="Times New Roman"/>
          <w:szCs w:val="24"/>
        </w:rPr>
        <w:t>.</w:t>
      </w:r>
      <w:r w:rsidR="006373E5">
        <w:rPr>
          <w:rStyle w:val="FootnoteReference"/>
          <w:rFonts w:ascii="Times New Roman" w:hAnsi="Times New Roman"/>
          <w:szCs w:val="24"/>
        </w:rPr>
        <w:footnoteReference w:id="69"/>
      </w:r>
      <w:r w:rsidR="004765AF">
        <w:rPr>
          <w:rFonts w:ascii="Times New Roman" w:hAnsi="Times New Roman"/>
          <w:szCs w:val="24"/>
        </w:rPr>
        <w:t xml:space="preserve"> </w:t>
      </w:r>
      <w:r>
        <w:rPr>
          <w:rFonts w:ascii="Times New Roman" w:hAnsi="Times New Roman"/>
          <w:szCs w:val="24"/>
        </w:rPr>
        <w:t>For Spivak,</w:t>
      </w:r>
      <w:r w:rsidRPr="005475B6">
        <w:rPr>
          <w:rFonts w:ascii="Times New Roman" w:hAnsi="Times New Roman"/>
          <w:szCs w:val="24"/>
        </w:rPr>
        <w:t xml:space="preserve"> inhabiting the double bind can be described most simply as</w:t>
      </w:r>
      <w:r>
        <w:rPr>
          <w:rFonts w:ascii="Times New Roman" w:hAnsi="Times New Roman"/>
          <w:szCs w:val="24"/>
        </w:rPr>
        <w:t xml:space="preserve"> the process</w:t>
      </w:r>
      <w:r w:rsidRPr="005475B6">
        <w:rPr>
          <w:rFonts w:ascii="Times New Roman" w:hAnsi="Times New Roman"/>
          <w:szCs w:val="24"/>
        </w:rPr>
        <w:t xml:space="preserve"> of ‘learning to live with contradictory instructions’</w:t>
      </w:r>
      <w:r w:rsidR="00071FBE" w:rsidRPr="00071FBE">
        <w:rPr>
          <w:rFonts w:ascii="Times New Roman" w:hAnsi="Times New Roman"/>
          <w:szCs w:val="24"/>
        </w:rPr>
        <w:t>.</w:t>
      </w:r>
      <w:r w:rsidR="004765AF">
        <w:rPr>
          <w:rFonts w:ascii="Times New Roman" w:hAnsi="Times New Roman"/>
          <w:szCs w:val="24"/>
        </w:rPr>
        <w:t xml:space="preserve"> </w:t>
      </w:r>
      <w:r w:rsidRPr="00071FBE">
        <w:rPr>
          <w:rFonts w:ascii="Times New Roman" w:hAnsi="Times New Roman"/>
          <w:szCs w:val="24"/>
        </w:rPr>
        <w:t>This does not mean, of course, that we must simply accept or resign ourselves to neoliberal rationality</w:t>
      </w:r>
      <w:r w:rsidR="002817C5" w:rsidRPr="00071FBE">
        <w:rPr>
          <w:rFonts w:ascii="Times New Roman" w:hAnsi="Times New Roman"/>
          <w:szCs w:val="24"/>
        </w:rPr>
        <w:t xml:space="preserve"> or hegemonic gender norms</w:t>
      </w:r>
      <w:r w:rsidRPr="00071FBE">
        <w:rPr>
          <w:rFonts w:ascii="Times New Roman" w:hAnsi="Times New Roman"/>
          <w:szCs w:val="24"/>
        </w:rPr>
        <w:t xml:space="preserve"> any more than it means that the dominance of a hermeneutics of suspicion should remain unquestioned.</w:t>
      </w:r>
      <w:r w:rsidR="004765AF">
        <w:rPr>
          <w:rFonts w:ascii="Times New Roman" w:hAnsi="Times New Roman"/>
          <w:szCs w:val="24"/>
        </w:rPr>
        <w:t xml:space="preserve"> </w:t>
      </w:r>
      <w:r w:rsidRPr="00071FBE">
        <w:rPr>
          <w:rFonts w:ascii="Times New Roman" w:hAnsi="Times New Roman"/>
          <w:szCs w:val="24"/>
        </w:rPr>
        <w:t>Rather, I want to suggest, it compels us to continue exploring what it might mean, not just to ‘know’</w:t>
      </w:r>
      <w:r w:rsidRPr="005475B6">
        <w:rPr>
          <w:rFonts w:ascii="Times New Roman" w:hAnsi="Times New Roman"/>
          <w:szCs w:val="24"/>
        </w:rPr>
        <w:t xml:space="preserve">, ‘describe’ or ‘account for’, but also to </w:t>
      </w:r>
      <w:r w:rsidRPr="005475B6">
        <w:rPr>
          <w:rFonts w:ascii="Times New Roman" w:hAnsi="Times New Roman"/>
          <w:i/>
          <w:szCs w:val="24"/>
        </w:rPr>
        <w:t>viscerally inhabit</w:t>
      </w:r>
      <w:r w:rsidRPr="005475B6">
        <w:rPr>
          <w:rFonts w:ascii="Times New Roman" w:hAnsi="Times New Roman"/>
          <w:szCs w:val="24"/>
        </w:rPr>
        <w:t xml:space="preserve"> – to register, feel, sit with, learn, relate to, respond to and be affected by - the </w:t>
      </w:r>
      <w:r w:rsidR="00560DE4">
        <w:rPr>
          <w:rFonts w:ascii="Times New Roman" w:hAnsi="Times New Roman"/>
          <w:szCs w:val="24"/>
        </w:rPr>
        <w:t>emotional</w:t>
      </w:r>
      <w:r w:rsidRPr="005475B6">
        <w:rPr>
          <w:rFonts w:ascii="Times New Roman" w:hAnsi="Times New Roman"/>
          <w:szCs w:val="24"/>
        </w:rPr>
        <w:t xml:space="preserve">, psychic and political complexity of the multiple double binds </w:t>
      </w:r>
      <w:r>
        <w:rPr>
          <w:rFonts w:ascii="Times New Roman" w:hAnsi="Times New Roman"/>
          <w:szCs w:val="24"/>
        </w:rPr>
        <w:t xml:space="preserve">we encounter in both </w:t>
      </w:r>
      <w:r w:rsidRPr="005475B6">
        <w:rPr>
          <w:rFonts w:ascii="Times New Roman" w:hAnsi="Times New Roman"/>
          <w:szCs w:val="24"/>
        </w:rPr>
        <w:t>daily life and critical scholarship.</w:t>
      </w:r>
      <w:r w:rsidR="004765AF">
        <w:rPr>
          <w:rFonts w:ascii="Times New Roman" w:hAnsi="Times New Roman"/>
          <w:szCs w:val="24"/>
        </w:rPr>
        <w:t xml:space="preserve"> </w:t>
      </w:r>
      <w:r w:rsidRPr="002817C5">
        <w:rPr>
          <w:rFonts w:ascii="Times New Roman" w:hAnsi="Times New Roman"/>
          <w:szCs w:val="24"/>
        </w:rPr>
        <w:t xml:space="preserve">This process of inhabitation suggests an affective, material, bodily mode of ‘relating to’ </w:t>
      </w:r>
      <w:r w:rsidR="00A54C6E">
        <w:rPr>
          <w:rFonts w:ascii="Times New Roman" w:hAnsi="Times New Roman"/>
          <w:szCs w:val="24"/>
        </w:rPr>
        <w:t xml:space="preserve">akin to what </w:t>
      </w:r>
      <w:r w:rsidRPr="002817C5">
        <w:rPr>
          <w:rFonts w:ascii="Times New Roman" w:hAnsi="Times New Roman"/>
          <w:szCs w:val="24"/>
        </w:rPr>
        <w:t xml:space="preserve">Spivak refers to as love as affective surrender – a surrender that opens oneself out to ways of </w:t>
      </w:r>
      <w:r w:rsidR="002817C5" w:rsidRPr="002817C5">
        <w:rPr>
          <w:rFonts w:ascii="Times New Roman" w:hAnsi="Times New Roman"/>
          <w:szCs w:val="24"/>
        </w:rPr>
        <w:t>knowing and feeling that do not</w:t>
      </w:r>
      <w:r w:rsidRPr="002817C5">
        <w:rPr>
          <w:rFonts w:ascii="Times New Roman" w:hAnsi="Times New Roman"/>
          <w:szCs w:val="24"/>
        </w:rPr>
        <w:t xml:space="preserve"> simply confirm what one thinks one already knows.</w:t>
      </w:r>
      <w:r w:rsidR="004765AF">
        <w:rPr>
          <w:rFonts w:ascii="Times New Roman" w:hAnsi="Times New Roman"/>
          <w:szCs w:val="24"/>
        </w:rPr>
        <w:t xml:space="preserve"> </w:t>
      </w:r>
      <w:r w:rsidRPr="002817C5">
        <w:rPr>
          <w:rFonts w:ascii="Times New Roman" w:hAnsi="Times New Roman"/>
          <w:szCs w:val="24"/>
        </w:rPr>
        <w:t xml:space="preserve">It </w:t>
      </w:r>
      <w:r w:rsidR="00A54C6E">
        <w:rPr>
          <w:rFonts w:ascii="Times New Roman" w:hAnsi="Times New Roman"/>
          <w:szCs w:val="24"/>
        </w:rPr>
        <w:t xml:space="preserve">also calls for </w:t>
      </w:r>
      <w:r w:rsidR="00560DE4">
        <w:rPr>
          <w:rFonts w:ascii="Times New Roman" w:hAnsi="Times New Roman"/>
          <w:szCs w:val="24"/>
        </w:rPr>
        <w:t>a reparative</w:t>
      </w:r>
      <w:r w:rsidR="00DB5465">
        <w:rPr>
          <w:rFonts w:ascii="Times New Roman" w:hAnsi="Times New Roman"/>
          <w:szCs w:val="24"/>
        </w:rPr>
        <w:t xml:space="preserve"> need to work towards</w:t>
      </w:r>
      <w:r w:rsidR="00560DE4">
        <w:rPr>
          <w:rFonts w:ascii="Times New Roman" w:hAnsi="Times New Roman"/>
          <w:szCs w:val="24"/>
        </w:rPr>
        <w:t xml:space="preserve"> </w:t>
      </w:r>
      <w:r w:rsidRPr="005475B6">
        <w:rPr>
          <w:rFonts w:ascii="Times New Roman" w:hAnsi="Times New Roman"/>
          <w:szCs w:val="24"/>
        </w:rPr>
        <w:t xml:space="preserve">‘the simple, foundational, authentically very difficult understanding that good and bad tend to </w:t>
      </w:r>
      <w:r w:rsidR="006373E5">
        <w:rPr>
          <w:rFonts w:ascii="Times New Roman" w:hAnsi="Times New Roman"/>
          <w:szCs w:val="24"/>
        </w:rPr>
        <w:t>be inseparable at every level’</w:t>
      </w:r>
      <w:r w:rsidRPr="005475B6">
        <w:rPr>
          <w:rFonts w:ascii="Times New Roman" w:hAnsi="Times New Roman"/>
          <w:szCs w:val="24"/>
        </w:rPr>
        <w:t>.</w:t>
      </w:r>
      <w:r w:rsidR="006373E5">
        <w:rPr>
          <w:rStyle w:val="FootnoteReference"/>
          <w:rFonts w:ascii="Times New Roman" w:hAnsi="Times New Roman"/>
          <w:szCs w:val="24"/>
        </w:rPr>
        <w:footnoteReference w:id="70"/>
      </w:r>
      <w:r w:rsidR="004765AF">
        <w:rPr>
          <w:rFonts w:ascii="Times New Roman" w:hAnsi="Times New Roman"/>
          <w:szCs w:val="24"/>
        </w:rPr>
        <w:t xml:space="preserve"> </w:t>
      </w:r>
    </w:p>
    <w:p w14:paraId="39EFCB22" w14:textId="0E158B19" w:rsidR="00CA69B3" w:rsidRDefault="00FB1EC7" w:rsidP="009D75F2">
      <w:pPr>
        <w:pStyle w:val="FootnoteText"/>
        <w:ind w:firstLine="720"/>
      </w:pPr>
      <w:r w:rsidRPr="003F0CED">
        <w:t xml:space="preserve">For Spivak, this is precisely what </w:t>
      </w:r>
      <w:r w:rsidRPr="003F0CED">
        <w:rPr>
          <w:i/>
        </w:rPr>
        <w:t>translation</w:t>
      </w:r>
      <w:r w:rsidRPr="003F0CED">
        <w:t>, as an affective modality of</w:t>
      </w:r>
      <w:r w:rsidR="001E1998" w:rsidRPr="003F0CED">
        <w:t xml:space="preserve"> cultural interpretation</w:t>
      </w:r>
      <w:r w:rsidRPr="003F0CED">
        <w:t>, prepares us for: it neither denies nor attempt</w:t>
      </w:r>
      <w:r w:rsidR="005F4B0F" w:rsidRPr="003F0CED">
        <w:t>s</w:t>
      </w:r>
      <w:r w:rsidRPr="003F0CED">
        <w:t xml:space="preserve"> to resolve the double bind, but rather trains us to </w:t>
      </w:r>
      <w:r w:rsidRPr="003F0CED">
        <w:rPr>
          <w:i/>
        </w:rPr>
        <w:t>inhabit</w:t>
      </w:r>
      <w:r w:rsidRPr="003F0CED">
        <w:t xml:space="preserve"> the ambivalence of contradictory instructions, to discover the ethics of responding to everyday injunctions that are b</w:t>
      </w:r>
      <w:r w:rsidR="006373E5" w:rsidRPr="003F0CED">
        <w:t>oth ‘necessary but impossible’</w:t>
      </w:r>
      <w:r w:rsidRPr="003F0CED">
        <w:t>.</w:t>
      </w:r>
      <w:r w:rsidR="006373E5" w:rsidRPr="003F0CED">
        <w:rPr>
          <w:rStyle w:val="FootnoteReference"/>
        </w:rPr>
        <w:footnoteReference w:id="71"/>
      </w:r>
      <w:r w:rsidR="004765AF">
        <w:t xml:space="preserve"> </w:t>
      </w:r>
      <w:r w:rsidR="00476A58" w:rsidRPr="003F0CED">
        <w:t>I</w:t>
      </w:r>
      <w:r w:rsidRPr="003F0CED">
        <w:t>n the realm of literary translation</w:t>
      </w:r>
      <w:r w:rsidR="00DB5465" w:rsidRPr="003F0CED">
        <w:t>,</w:t>
      </w:r>
      <w:r w:rsidRPr="003F0CED">
        <w:t xml:space="preserve"> for example, </w:t>
      </w:r>
      <w:r w:rsidR="00476A58" w:rsidRPr="003F0CED">
        <w:t xml:space="preserve">translation asks us </w:t>
      </w:r>
      <w:r w:rsidR="004171C1" w:rsidRPr="003F0CED">
        <w:t>to respond both creatively</w:t>
      </w:r>
      <w:r w:rsidRPr="003F0CED">
        <w:t xml:space="preserve"> and critically to the call to demonstrate faithfulness to an ‘original’, to </w:t>
      </w:r>
      <w:r w:rsidR="00DF744F" w:rsidRPr="003F0CED">
        <w:t>produce an ‘accurate’ reading or an</w:t>
      </w:r>
      <w:r w:rsidRPr="003F0CED">
        <w:t xml:space="preserve"> ‘equivalent’ account, when one knows that these</w:t>
      </w:r>
      <w:r w:rsidR="00202EA7" w:rsidRPr="003F0CED">
        <w:t xml:space="preserve"> tasks are impossible, that the</w:t>
      </w:r>
      <w:r w:rsidRPr="003F0CED">
        <w:t>r</w:t>
      </w:r>
      <w:r w:rsidR="00202EA7" w:rsidRPr="003F0CED">
        <w:t>e</w:t>
      </w:r>
      <w:r w:rsidRPr="003F0CED">
        <w:t xml:space="preserve"> exist neither ‘original’ texts nor </w:t>
      </w:r>
      <w:r w:rsidR="00B92061" w:rsidRPr="003F0CED">
        <w:t xml:space="preserve">perfect </w:t>
      </w:r>
      <w:r w:rsidR="00DF744F" w:rsidRPr="003F0CED">
        <w:t>equivalences between texts.</w:t>
      </w:r>
      <w:r w:rsidR="004765AF">
        <w:t xml:space="preserve"> </w:t>
      </w:r>
      <w:r w:rsidR="00977136" w:rsidRPr="003F0CED">
        <w:t xml:space="preserve">From this perspective, </w:t>
      </w:r>
      <w:r w:rsidR="00E511AF" w:rsidRPr="003F0CED">
        <w:t xml:space="preserve">we might say that </w:t>
      </w:r>
      <w:r w:rsidR="00977136" w:rsidRPr="003F0CED">
        <w:t xml:space="preserve">translation </w:t>
      </w:r>
      <w:r w:rsidR="00E511AF" w:rsidRPr="003F0CED">
        <w:t>as an ethical practice occurs only when ‘we are faithful to the perpetual newness of</w:t>
      </w:r>
      <w:r w:rsidR="00DB5465" w:rsidRPr="003F0CED">
        <w:t xml:space="preserve"> the self, the other, the world</w:t>
      </w:r>
      <w:r w:rsidR="006373E5" w:rsidRPr="003F0CED">
        <w:t>’</w:t>
      </w:r>
      <w:r w:rsidR="00E511AF" w:rsidRPr="003F0CED">
        <w:rPr>
          <w:rFonts w:ascii="Times" w:eastAsia="ヒラギノ角ゴ Pro W3" w:hAnsi="Times"/>
          <w:lang w:val="en-US"/>
        </w:rPr>
        <w:t>.</w:t>
      </w:r>
      <w:r w:rsidR="006373E5" w:rsidRPr="003F0CED">
        <w:rPr>
          <w:rStyle w:val="FootnoteReference"/>
          <w:rFonts w:ascii="Times" w:eastAsia="ヒラギノ角ゴ Pro W3" w:hAnsi="Times"/>
          <w:lang w:val="en-US"/>
        </w:rPr>
        <w:footnoteReference w:id="72"/>
      </w:r>
      <w:r w:rsidR="004765AF">
        <w:rPr>
          <w:rFonts w:ascii="Times" w:eastAsia="ヒラギノ角ゴ Pro W3" w:hAnsi="Times"/>
          <w:lang w:val="en-US"/>
        </w:rPr>
        <w:t xml:space="preserve"> </w:t>
      </w:r>
      <w:r w:rsidR="00DF744F" w:rsidRPr="003F0CED">
        <w:t>Beyond linguistic or litera</w:t>
      </w:r>
      <w:r w:rsidR="00CA69B3" w:rsidRPr="003F0CED">
        <w:t>ry practices, Spivak understands translation as a wider affective mode of inha</w:t>
      </w:r>
      <w:r w:rsidR="005F4B0F" w:rsidRPr="003F0CED">
        <w:t>bitation and ‘relating to’ that</w:t>
      </w:r>
      <w:r w:rsidR="00CA69B3" w:rsidRPr="003F0CED">
        <w:t xml:space="preserve"> calls forth the imagination and the senses and teaches ‘the </w:t>
      </w:r>
      <w:r w:rsidR="00542669" w:rsidRPr="003F0CED">
        <w:t>subj</w:t>
      </w:r>
      <w:r w:rsidR="006373E5" w:rsidRPr="003F0CED">
        <w:t>ect to play’ and ‘to discover’</w:t>
      </w:r>
      <w:r w:rsidR="00CA69B3" w:rsidRPr="003F0CED">
        <w:t>.</w:t>
      </w:r>
      <w:r w:rsidR="004765AF">
        <w:t xml:space="preserve"> </w:t>
      </w:r>
      <w:r w:rsidR="00CA69B3" w:rsidRPr="003F0CED">
        <w:t>Translation is hence</w:t>
      </w:r>
      <w:r w:rsidR="00542669" w:rsidRPr="003F0CED">
        <w:t xml:space="preserve"> a ‘description of re</w:t>
      </w:r>
      <w:r w:rsidR="005F4B0F" w:rsidRPr="003F0CED">
        <w:t>ading in its most robust sense’.</w:t>
      </w:r>
      <w:r w:rsidR="004765AF">
        <w:t xml:space="preserve"> </w:t>
      </w:r>
      <w:r w:rsidR="005F4B0F" w:rsidRPr="003F0CED">
        <w:t>It is</w:t>
      </w:r>
      <w:r w:rsidR="00CA69B3" w:rsidRPr="003F0CED">
        <w:t xml:space="preserve"> ‘the irreducible element of an aesthetic education’ through which we might learn and feel the double bind in all its ambivalence and complexity.</w:t>
      </w:r>
      <w:r w:rsidR="006373E5" w:rsidRPr="003F0CED">
        <w:rPr>
          <w:rStyle w:val="FootnoteReference"/>
        </w:rPr>
        <w:footnoteReference w:id="73"/>
      </w:r>
      <w:r w:rsidR="00CA69B3">
        <w:t xml:space="preserve"> </w:t>
      </w:r>
    </w:p>
    <w:p w14:paraId="429AD2F1" w14:textId="55E3BD1E" w:rsidR="00071FBE" w:rsidRDefault="00996E53" w:rsidP="009D75F2">
      <w:pPr>
        <w:pStyle w:val="FreeFormB"/>
        <w:ind w:firstLine="720"/>
        <w:rPr>
          <w:sz w:val="24"/>
          <w:szCs w:val="24"/>
        </w:rPr>
      </w:pPr>
      <w:r w:rsidRPr="00D85C6D">
        <w:rPr>
          <w:sz w:val="24"/>
          <w:szCs w:val="24"/>
        </w:rPr>
        <w:t xml:space="preserve">In considering further what this process of inhabiting the double bind might entail in the realm of cultural studies, it </w:t>
      </w:r>
      <w:r w:rsidR="002D0E29">
        <w:rPr>
          <w:sz w:val="24"/>
          <w:szCs w:val="24"/>
        </w:rPr>
        <w:t xml:space="preserve">is </w:t>
      </w:r>
      <w:r w:rsidRPr="00D85C6D">
        <w:rPr>
          <w:sz w:val="24"/>
          <w:szCs w:val="24"/>
        </w:rPr>
        <w:t>helpful to return to thinking about mood.</w:t>
      </w:r>
      <w:r w:rsidR="004765AF">
        <w:rPr>
          <w:sz w:val="24"/>
          <w:szCs w:val="24"/>
        </w:rPr>
        <w:t xml:space="preserve"> </w:t>
      </w:r>
      <w:r w:rsidRPr="00D85C6D">
        <w:rPr>
          <w:sz w:val="24"/>
          <w:szCs w:val="24"/>
        </w:rPr>
        <w:t xml:space="preserve">If Sedgwick describes paranoia and reparation as inherently relational psychic-epistemological positions, the idea of </w:t>
      </w:r>
      <w:r w:rsidRPr="00D85C6D">
        <w:rPr>
          <w:i/>
          <w:sz w:val="24"/>
          <w:szCs w:val="24"/>
        </w:rPr>
        <w:t>affective relationality</w:t>
      </w:r>
      <w:r w:rsidRPr="00D85C6D">
        <w:rPr>
          <w:sz w:val="24"/>
          <w:szCs w:val="24"/>
        </w:rPr>
        <w:t xml:space="preserve"> is also ce</w:t>
      </w:r>
      <w:r w:rsidR="00DB5465">
        <w:rPr>
          <w:sz w:val="24"/>
          <w:szCs w:val="24"/>
        </w:rPr>
        <w:t>ntral to critical analyses of</w:t>
      </w:r>
      <w:r w:rsidRPr="00D85C6D">
        <w:rPr>
          <w:sz w:val="24"/>
          <w:szCs w:val="24"/>
        </w:rPr>
        <w:t xml:space="preserve"> mood.</w:t>
      </w:r>
      <w:r w:rsidR="004765AF">
        <w:rPr>
          <w:sz w:val="24"/>
          <w:szCs w:val="24"/>
        </w:rPr>
        <w:t xml:space="preserve"> </w:t>
      </w:r>
      <w:r w:rsidRPr="00D85C6D">
        <w:rPr>
          <w:sz w:val="24"/>
          <w:szCs w:val="24"/>
        </w:rPr>
        <w:t>For Felski</w:t>
      </w:r>
      <w:r w:rsidR="006D097C" w:rsidRPr="00D85C6D">
        <w:rPr>
          <w:sz w:val="24"/>
          <w:szCs w:val="24"/>
        </w:rPr>
        <w:t xml:space="preserve"> and Fraiman</w:t>
      </w:r>
      <w:r w:rsidRPr="00D85C6D">
        <w:rPr>
          <w:sz w:val="24"/>
          <w:szCs w:val="24"/>
        </w:rPr>
        <w:t>, moods ‘are often shared, collective, and social, shaping our experience</w:t>
      </w:r>
      <w:r w:rsidR="00D85C6D">
        <w:rPr>
          <w:sz w:val="24"/>
          <w:szCs w:val="24"/>
        </w:rPr>
        <w:t xml:space="preserve"> of being</w:t>
      </w:r>
      <w:r w:rsidR="006373E5">
        <w:rPr>
          <w:sz w:val="24"/>
          <w:szCs w:val="24"/>
        </w:rPr>
        <w:t xml:space="preserve"> with others’</w:t>
      </w:r>
      <w:r w:rsidR="00D85C6D" w:rsidRPr="00D85C6D">
        <w:rPr>
          <w:sz w:val="24"/>
          <w:szCs w:val="24"/>
        </w:rPr>
        <w:t>.</w:t>
      </w:r>
      <w:r w:rsidR="004765AF">
        <w:rPr>
          <w:sz w:val="24"/>
          <w:szCs w:val="24"/>
        </w:rPr>
        <w:t xml:space="preserve"> </w:t>
      </w:r>
      <w:r w:rsidR="00D85C6D" w:rsidRPr="00D85C6D">
        <w:rPr>
          <w:sz w:val="24"/>
          <w:szCs w:val="24"/>
        </w:rPr>
        <w:t xml:space="preserve">They are </w:t>
      </w:r>
      <w:r w:rsidRPr="00D85C6D">
        <w:rPr>
          <w:sz w:val="24"/>
          <w:szCs w:val="24"/>
        </w:rPr>
        <w:t xml:space="preserve">‘shaped by broader </w:t>
      </w:r>
      <w:r w:rsidRPr="00D85C6D">
        <w:rPr>
          <w:sz w:val="24"/>
          <w:szCs w:val="24"/>
        </w:rPr>
        <w:lastRenderedPageBreak/>
        <w:t>social currents and by the linguistic and cultural wo</w:t>
      </w:r>
      <w:r w:rsidR="006373E5">
        <w:rPr>
          <w:sz w:val="24"/>
          <w:szCs w:val="24"/>
        </w:rPr>
        <w:t>rld into which they are thrown’</w:t>
      </w:r>
      <w:r w:rsidRPr="00D85C6D">
        <w:rPr>
          <w:sz w:val="24"/>
          <w:szCs w:val="24"/>
        </w:rPr>
        <w:t>.</w:t>
      </w:r>
      <w:r w:rsidR="005C2FD7">
        <w:rPr>
          <w:rStyle w:val="FootnoteReference"/>
          <w:sz w:val="24"/>
          <w:szCs w:val="24"/>
        </w:rPr>
        <w:footnoteReference w:id="74"/>
      </w:r>
      <w:r w:rsidR="005C2FD7">
        <w:rPr>
          <w:sz w:val="24"/>
          <w:szCs w:val="24"/>
        </w:rPr>
        <w:t xml:space="preserve"> </w:t>
      </w:r>
      <w:r w:rsidRPr="00D85C6D">
        <w:rPr>
          <w:sz w:val="24"/>
          <w:szCs w:val="24"/>
        </w:rPr>
        <w:t>As such, although moods often feel very personal, they are not simply ‘inside’ subjects but rather involve ‘a blurring between</w:t>
      </w:r>
      <w:r w:rsidR="006373E5">
        <w:rPr>
          <w:sz w:val="24"/>
          <w:szCs w:val="24"/>
        </w:rPr>
        <w:t xml:space="preserve"> individual and public affect’</w:t>
      </w:r>
      <w:r w:rsidRPr="00D85C6D">
        <w:rPr>
          <w:sz w:val="24"/>
          <w:szCs w:val="24"/>
        </w:rPr>
        <w:t>.</w:t>
      </w:r>
      <w:r w:rsidR="006373E5">
        <w:rPr>
          <w:rStyle w:val="FootnoteReference"/>
          <w:sz w:val="24"/>
          <w:szCs w:val="24"/>
        </w:rPr>
        <w:footnoteReference w:id="75"/>
      </w:r>
      <w:r w:rsidR="004765AF">
        <w:rPr>
          <w:sz w:val="24"/>
          <w:szCs w:val="24"/>
        </w:rPr>
        <w:t xml:space="preserve"> </w:t>
      </w:r>
      <w:r w:rsidRPr="00D85C6D">
        <w:rPr>
          <w:sz w:val="24"/>
          <w:szCs w:val="24"/>
        </w:rPr>
        <w:t>Moods are therefore simultaneously personal and impersonal: they are both ‘with us’ and before and after us, inhabiting but also exceeding relations of human subjectivity.</w:t>
      </w:r>
      <w:r w:rsidR="004765AF">
        <w:rPr>
          <w:sz w:val="24"/>
          <w:szCs w:val="24"/>
        </w:rPr>
        <w:t xml:space="preserve"> </w:t>
      </w:r>
      <w:r w:rsidRPr="00D85C6D">
        <w:rPr>
          <w:sz w:val="24"/>
          <w:szCs w:val="24"/>
        </w:rPr>
        <w:t>Importantly, given the multiple relationalities through which m</w:t>
      </w:r>
      <w:r w:rsidR="00CA69B3" w:rsidRPr="00D85C6D">
        <w:rPr>
          <w:sz w:val="24"/>
          <w:szCs w:val="24"/>
        </w:rPr>
        <w:t>oods arise, congeal, circulate,</w:t>
      </w:r>
      <w:r w:rsidRPr="00D85C6D">
        <w:rPr>
          <w:sz w:val="24"/>
          <w:szCs w:val="24"/>
        </w:rPr>
        <w:t xml:space="preserve"> shift</w:t>
      </w:r>
      <w:r w:rsidR="00B33817">
        <w:rPr>
          <w:sz w:val="24"/>
          <w:szCs w:val="24"/>
        </w:rPr>
        <w:t xml:space="preserve"> and dissi</w:t>
      </w:r>
      <w:r w:rsidR="00CA69B3" w:rsidRPr="00D85C6D">
        <w:rPr>
          <w:sz w:val="24"/>
          <w:szCs w:val="24"/>
        </w:rPr>
        <w:t>pate</w:t>
      </w:r>
      <w:r w:rsidRPr="00D85C6D">
        <w:rPr>
          <w:sz w:val="24"/>
          <w:szCs w:val="24"/>
        </w:rPr>
        <w:t>, they can never be fully subject to our control or agency.</w:t>
      </w:r>
      <w:r w:rsidR="004765AF">
        <w:rPr>
          <w:sz w:val="24"/>
          <w:szCs w:val="24"/>
        </w:rPr>
        <w:t xml:space="preserve"> </w:t>
      </w:r>
      <w:r w:rsidRPr="00D85C6D">
        <w:rPr>
          <w:sz w:val="24"/>
          <w:szCs w:val="24"/>
        </w:rPr>
        <w:t xml:space="preserve">In </w:t>
      </w:r>
      <w:r w:rsidR="00D85C6D" w:rsidRPr="00D85C6D">
        <w:rPr>
          <w:sz w:val="24"/>
          <w:szCs w:val="24"/>
        </w:rPr>
        <w:t xml:space="preserve">Jonathan </w:t>
      </w:r>
      <w:r w:rsidRPr="00D85C6D">
        <w:rPr>
          <w:sz w:val="24"/>
          <w:szCs w:val="24"/>
        </w:rPr>
        <w:t xml:space="preserve">Flatley’s reading, for example, although we do exert some ‘agency in relation to our affects and affective experiences’, moods ‘may not be </w:t>
      </w:r>
      <w:r w:rsidRPr="00D85C6D">
        <w:rPr>
          <w:i/>
          <w:sz w:val="24"/>
          <w:szCs w:val="24"/>
        </w:rPr>
        <w:t>directly</w:t>
      </w:r>
      <w:r w:rsidRPr="00D85C6D">
        <w:rPr>
          <w:sz w:val="24"/>
          <w:szCs w:val="24"/>
        </w:rPr>
        <w:t xml:space="preserve"> subject to intentions – I cannot, after all, simply </w:t>
      </w:r>
      <w:r w:rsidRPr="00D85C6D">
        <w:rPr>
          <w:i/>
          <w:sz w:val="24"/>
          <w:szCs w:val="24"/>
        </w:rPr>
        <w:t>decide</w:t>
      </w:r>
      <w:r w:rsidRPr="00D85C6D">
        <w:rPr>
          <w:sz w:val="24"/>
          <w:szCs w:val="24"/>
        </w:rPr>
        <w:t xml:space="preserve"> not to be depressed or anxious anymo</w:t>
      </w:r>
      <w:r w:rsidR="006373E5">
        <w:rPr>
          <w:sz w:val="24"/>
          <w:szCs w:val="24"/>
        </w:rPr>
        <w:t>re (I wish!)’</w:t>
      </w:r>
      <w:r w:rsidRPr="00D85C6D">
        <w:rPr>
          <w:sz w:val="24"/>
          <w:szCs w:val="24"/>
        </w:rPr>
        <w:t>.</w:t>
      </w:r>
      <w:r w:rsidR="006373E5">
        <w:rPr>
          <w:rStyle w:val="FootnoteReference"/>
          <w:sz w:val="24"/>
          <w:szCs w:val="24"/>
        </w:rPr>
        <w:footnoteReference w:id="76"/>
      </w:r>
      <w:r w:rsidR="004765AF">
        <w:rPr>
          <w:sz w:val="24"/>
          <w:szCs w:val="24"/>
        </w:rPr>
        <w:t xml:space="preserve"> </w:t>
      </w:r>
      <w:r w:rsidRPr="00D85C6D">
        <w:rPr>
          <w:sz w:val="24"/>
          <w:szCs w:val="24"/>
        </w:rPr>
        <w:t>Or as Svendsen puts it, ‘we cannot simply choose how to relate to the world, because m</w:t>
      </w:r>
      <w:r w:rsidR="006373E5">
        <w:rPr>
          <w:sz w:val="24"/>
          <w:szCs w:val="24"/>
        </w:rPr>
        <w:t>oods cannot be changed at will’</w:t>
      </w:r>
      <w:r w:rsidRPr="00D85C6D">
        <w:rPr>
          <w:sz w:val="24"/>
          <w:szCs w:val="24"/>
        </w:rPr>
        <w:t>.</w:t>
      </w:r>
      <w:r w:rsidR="006373E5">
        <w:rPr>
          <w:rStyle w:val="FootnoteReference"/>
          <w:sz w:val="24"/>
          <w:szCs w:val="24"/>
        </w:rPr>
        <w:footnoteReference w:id="77"/>
      </w:r>
      <w:r w:rsidR="004765AF">
        <w:rPr>
          <w:sz w:val="24"/>
          <w:szCs w:val="24"/>
        </w:rPr>
        <w:t xml:space="preserve"> </w:t>
      </w:r>
      <w:r w:rsidRPr="00D85C6D">
        <w:rPr>
          <w:sz w:val="24"/>
          <w:szCs w:val="24"/>
        </w:rPr>
        <w:t>This understanding of moods is consistent with the Klenian notion of positions, which are conceived as both pre- and post-conscious.</w:t>
      </w:r>
      <w:r w:rsidR="004765AF">
        <w:rPr>
          <w:sz w:val="24"/>
          <w:szCs w:val="24"/>
        </w:rPr>
        <w:t xml:space="preserve"> </w:t>
      </w:r>
      <w:r w:rsidRPr="00D85C6D">
        <w:rPr>
          <w:sz w:val="24"/>
          <w:szCs w:val="24"/>
        </w:rPr>
        <w:t xml:space="preserve">Reparation, for Klein, is a process we will have passed through, rather than an active process we intentionally orchestrate. </w:t>
      </w:r>
    </w:p>
    <w:p w14:paraId="60BB0AC4" w14:textId="1D95A33C" w:rsidR="00996E53" w:rsidRDefault="00996E53" w:rsidP="009D75F2">
      <w:pPr>
        <w:pStyle w:val="FreeFormB"/>
        <w:ind w:firstLine="720"/>
        <w:rPr>
          <w:sz w:val="24"/>
          <w:szCs w:val="24"/>
        </w:rPr>
      </w:pPr>
      <w:r w:rsidRPr="00D85C6D">
        <w:rPr>
          <w:sz w:val="24"/>
          <w:szCs w:val="24"/>
        </w:rPr>
        <w:t>From this perspective, contrary to what might be signal</w:t>
      </w:r>
      <w:r w:rsidR="00A900B0">
        <w:rPr>
          <w:sz w:val="24"/>
          <w:szCs w:val="24"/>
        </w:rPr>
        <w:t>l</w:t>
      </w:r>
      <w:r w:rsidRPr="00D85C6D">
        <w:rPr>
          <w:sz w:val="24"/>
          <w:szCs w:val="24"/>
        </w:rPr>
        <w:t xml:space="preserve">ed by the emergence of a reparative ‘turn’ in cultural studies, the ‘mood work’ that cultural theory requires is not (and cannot) simply be a matter of </w:t>
      </w:r>
      <w:r w:rsidRPr="00D85C6D">
        <w:rPr>
          <w:i/>
          <w:sz w:val="24"/>
          <w:szCs w:val="24"/>
        </w:rPr>
        <w:t xml:space="preserve">deciding </w:t>
      </w:r>
      <w:r w:rsidRPr="00D85C6D">
        <w:rPr>
          <w:sz w:val="24"/>
          <w:szCs w:val="24"/>
        </w:rPr>
        <w:t>what kind of ‘mood’ or ‘position’ we wish to adopt or mobilise in our orientations towards</w:t>
      </w:r>
      <w:r w:rsidR="00D85C6D">
        <w:rPr>
          <w:sz w:val="24"/>
          <w:szCs w:val="24"/>
        </w:rPr>
        <w:t xml:space="preserve"> others, including our texts.</w:t>
      </w:r>
      <w:r w:rsidR="004765AF">
        <w:rPr>
          <w:sz w:val="24"/>
          <w:szCs w:val="24"/>
        </w:rPr>
        <w:t xml:space="preserve"> </w:t>
      </w:r>
      <w:r w:rsidRPr="00D85C6D">
        <w:rPr>
          <w:sz w:val="24"/>
          <w:szCs w:val="24"/>
        </w:rPr>
        <w:t xml:space="preserve">Rather, I want to argue, we need to </w:t>
      </w:r>
      <w:r w:rsidRPr="00D85C6D">
        <w:rPr>
          <w:i/>
          <w:sz w:val="24"/>
          <w:szCs w:val="24"/>
        </w:rPr>
        <w:t>inhabit</w:t>
      </w:r>
      <w:r w:rsidR="00DB5465">
        <w:rPr>
          <w:sz w:val="24"/>
          <w:szCs w:val="24"/>
        </w:rPr>
        <w:t xml:space="preserve"> moods as a means to understand their</w:t>
      </w:r>
      <w:r w:rsidR="00C61CC2">
        <w:rPr>
          <w:sz w:val="24"/>
          <w:szCs w:val="24"/>
        </w:rPr>
        <w:t xml:space="preserve"> ambivalence as well as their</w:t>
      </w:r>
      <w:r w:rsidR="00DB5465">
        <w:rPr>
          <w:sz w:val="24"/>
          <w:szCs w:val="24"/>
        </w:rPr>
        <w:t xml:space="preserve"> discursive-material power.</w:t>
      </w:r>
      <w:r w:rsidR="004765AF">
        <w:rPr>
          <w:sz w:val="24"/>
          <w:szCs w:val="24"/>
        </w:rPr>
        <w:t xml:space="preserve"> </w:t>
      </w:r>
      <w:r w:rsidRPr="00D85C6D">
        <w:rPr>
          <w:sz w:val="24"/>
          <w:szCs w:val="24"/>
        </w:rPr>
        <w:t xml:space="preserve">We might begin to do this, for example, by paying further attention to </w:t>
      </w:r>
      <w:r w:rsidR="00CA69B3" w:rsidRPr="00D85C6D">
        <w:rPr>
          <w:sz w:val="24"/>
          <w:szCs w:val="24"/>
        </w:rPr>
        <w:t xml:space="preserve">the moods we are </w:t>
      </w:r>
      <w:r w:rsidRPr="00D85C6D">
        <w:rPr>
          <w:sz w:val="24"/>
          <w:szCs w:val="24"/>
        </w:rPr>
        <w:t>‘in’ when we re</w:t>
      </w:r>
      <w:r w:rsidR="00CA69B3" w:rsidRPr="00D85C6D">
        <w:rPr>
          <w:sz w:val="24"/>
          <w:szCs w:val="24"/>
        </w:rPr>
        <w:t>ad and write and the nature of</w:t>
      </w:r>
      <w:r w:rsidR="00C61CC2">
        <w:rPr>
          <w:sz w:val="24"/>
          <w:szCs w:val="24"/>
        </w:rPr>
        <w:t xml:space="preserve"> the mixed feelings they involve</w:t>
      </w:r>
      <w:r w:rsidR="00CA69B3" w:rsidRPr="00D85C6D">
        <w:rPr>
          <w:sz w:val="24"/>
          <w:szCs w:val="24"/>
        </w:rPr>
        <w:t xml:space="preserve">, to how ‘our’ moods might </w:t>
      </w:r>
      <w:r w:rsidR="00DB5465">
        <w:rPr>
          <w:sz w:val="24"/>
          <w:szCs w:val="24"/>
        </w:rPr>
        <w:t>relate to both</w:t>
      </w:r>
      <w:r w:rsidRPr="00D85C6D">
        <w:rPr>
          <w:sz w:val="24"/>
          <w:szCs w:val="24"/>
        </w:rPr>
        <w:t xml:space="preserve"> psycho-social investments and wider intellectual, cultural and political atmospheres, and </w:t>
      </w:r>
      <w:r w:rsidR="00CA69B3" w:rsidRPr="00D85C6D">
        <w:rPr>
          <w:sz w:val="24"/>
          <w:szCs w:val="24"/>
        </w:rPr>
        <w:t xml:space="preserve">what this affective complexity </w:t>
      </w:r>
      <w:r w:rsidRPr="00D85C6D">
        <w:rPr>
          <w:sz w:val="24"/>
          <w:szCs w:val="24"/>
        </w:rPr>
        <w:t>might mean for the knowledge we produce.</w:t>
      </w:r>
      <w:r w:rsidR="004765AF">
        <w:rPr>
          <w:sz w:val="24"/>
          <w:szCs w:val="24"/>
        </w:rPr>
        <w:t xml:space="preserve"> </w:t>
      </w:r>
      <w:r w:rsidRPr="00D85C6D">
        <w:rPr>
          <w:sz w:val="24"/>
          <w:szCs w:val="24"/>
        </w:rPr>
        <w:t>We could ask what ‘our’ moods do to ‘us’ and what we do to them, how we grapple with different moods or vacillate between them, how our moods bind us to or differentiate us from others across space and time, and how we may be attuned to or alienated from the moods of our texts.</w:t>
      </w:r>
      <w:r w:rsidR="004765AF">
        <w:rPr>
          <w:sz w:val="24"/>
          <w:szCs w:val="24"/>
        </w:rPr>
        <w:t xml:space="preserve"> </w:t>
      </w:r>
      <w:r w:rsidRPr="00D85C6D">
        <w:rPr>
          <w:sz w:val="24"/>
          <w:szCs w:val="24"/>
        </w:rPr>
        <w:t>We might consider moreover, whether further attention to the affective relations among ‘human’ and ‘textual’ moods might enable different ways of thinking through the visceral, diffuse and ambivalent workings of knowledge, power and transformation at this current conjuncture.</w:t>
      </w:r>
      <w:r w:rsidRPr="00996E53">
        <w:t xml:space="preserve"> </w:t>
      </w:r>
    </w:p>
    <w:p w14:paraId="5DFAD01B" w14:textId="5DDCB6A8" w:rsidR="00415368" w:rsidRPr="00415368" w:rsidRDefault="00565702" w:rsidP="009D75F2">
      <w:pPr>
        <w:pStyle w:val="FreeFormA"/>
        <w:ind w:firstLine="720"/>
        <w:rPr>
          <w:rFonts w:ascii="Times New Roman" w:hAnsi="Times New Roman"/>
        </w:rPr>
      </w:pPr>
      <w:r>
        <w:rPr>
          <w:rFonts w:ascii="Times New Roman" w:hAnsi="Times New Roman"/>
        </w:rPr>
        <w:t>For b</w:t>
      </w:r>
      <w:r w:rsidR="00450102">
        <w:rPr>
          <w:rFonts w:ascii="Times New Roman" w:hAnsi="Times New Roman"/>
        </w:rPr>
        <w:t>oth Sedgwick and</w:t>
      </w:r>
      <w:r w:rsidR="00F371A9">
        <w:rPr>
          <w:rFonts w:ascii="Times New Roman" w:hAnsi="Times New Roman"/>
        </w:rPr>
        <w:t xml:space="preserve"> Spivak, </w:t>
      </w:r>
      <w:r w:rsidR="00CF17B3">
        <w:rPr>
          <w:rFonts w:ascii="Times New Roman" w:hAnsi="Times New Roman"/>
        </w:rPr>
        <w:t xml:space="preserve">like scholars of mood, </w:t>
      </w:r>
      <w:r w:rsidR="00F371A9">
        <w:rPr>
          <w:rFonts w:ascii="Times New Roman" w:hAnsi="Times New Roman"/>
        </w:rPr>
        <w:t>I want to</w:t>
      </w:r>
      <w:r>
        <w:rPr>
          <w:rFonts w:ascii="Times New Roman" w:hAnsi="Times New Roman"/>
        </w:rPr>
        <w:t xml:space="preserve"> suggest, </w:t>
      </w:r>
      <w:r w:rsidR="003F2CC7" w:rsidRPr="00512310">
        <w:rPr>
          <w:rFonts w:ascii="Times New Roman" w:hAnsi="Times New Roman"/>
        </w:rPr>
        <w:t xml:space="preserve">this </w:t>
      </w:r>
      <w:r w:rsidR="003F2CC7" w:rsidRPr="00854D64">
        <w:rPr>
          <w:rFonts w:ascii="Times New Roman" w:hAnsi="Times New Roman"/>
        </w:rPr>
        <w:t xml:space="preserve">tarrying with </w:t>
      </w:r>
      <w:r w:rsidR="00DB5465">
        <w:rPr>
          <w:rFonts w:ascii="Times New Roman" w:hAnsi="Times New Roman"/>
        </w:rPr>
        <w:t xml:space="preserve">affective ambivalence </w:t>
      </w:r>
      <w:r w:rsidR="003F2CC7" w:rsidRPr="00854D64">
        <w:rPr>
          <w:rFonts w:ascii="Times New Roman" w:hAnsi="Times New Roman"/>
        </w:rPr>
        <w:t>remains a</w:t>
      </w:r>
      <w:r>
        <w:rPr>
          <w:rFonts w:ascii="Times New Roman" w:hAnsi="Times New Roman"/>
        </w:rPr>
        <w:t xml:space="preserve"> key and inescapable</w:t>
      </w:r>
      <w:r w:rsidR="003F2CC7" w:rsidRPr="00854D64">
        <w:rPr>
          <w:rFonts w:ascii="Times New Roman" w:hAnsi="Times New Roman"/>
        </w:rPr>
        <w:t xml:space="preserve"> project of cultural theory.</w:t>
      </w:r>
      <w:r w:rsidR="004765AF">
        <w:rPr>
          <w:rFonts w:ascii="Times New Roman" w:hAnsi="Times New Roman"/>
        </w:rPr>
        <w:t xml:space="preserve"> </w:t>
      </w:r>
      <w:r w:rsidR="00661560">
        <w:rPr>
          <w:rFonts w:ascii="Times New Roman" w:hAnsi="Times New Roman"/>
        </w:rPr>
        <w:t xml:space="preserve">My discussion </w:t>
      </w:r>
      <w:r w:rsidR="00E53AC9">
        <w:rPr>
          <w:rFonts w:ascii="Times New Roman" w:hAnsi="Times New Roman"/>
        </w:rPr>
        <w:t xml:space="preserve">in this article </w:t>
      </w:r>
      <w:r w:rsidR="00661560">
        <w:rPr>
          <w:rFonts w:ascii="Times New Roman" w:hAnsi="Times New Roman"/>
        </w:rPr>
        <w:t xml:space="preserve">has sought to identify some key theoretical-political modes </w:t>
      </w:r>
      <w:r w:rsidR="00E53AC9">
        <w:rPr>
          <w:rFonts w:ascii="Times New Roman" w:hAnsi="Times New Roman"/>
        </w:rPr>
        <w:t xml:space="preserve">through </w:t>
      </w:r>
      <w:r w:rsidR="00B81DCB">
        <w:rPr>
          <w:rFonts w:ascii="Times New Roman" w:hAnsi="Times New Roman"/>
        </w:rPr>
        <w:t>which this project can be/is being pursued, and specifically</w:t>
      </w:r>
      <w:r w:rsidR="00E94076">
        <w:rPr>
          <w:rFonts w:ascii="Times New Roman" w:hAnsi="Times New Roman"/>
        </w:rPr>
        <w:t>,</w:t>
      </w:r>
      <w:r w:rsidR="00B81DCB">
        <w:rPr>
          <w:rFonts w:ascii="Times New Roman" w:hAnsi="Times New Roman"/>
        </w:rPr>
        <w:t xml:space="preserve"> how we can negotiate</w:t>
      </w:r>
      <w:r w:rsidR="00E53AC9">
        <w:rPr>
          <w:rFonts w:ascii="Times New Roman" w:hAnsi="Times New Roman"/>
        </w:rPr>
        <w:t xml:space="preserve"> the </w:t>
      </w:r>
      <w:r w:rsidR="00415368">
        <w:rPr>
          <w:rFonts w:ascii="Times New Roman" w:hAnsi="Times New Roman"/>
        </w:rPr>
        <w:t xml:space="preserve">double-binds </w:t>
      </w:r>
      <w:r w:rsidR="00332B1F">
        <w:rPr>
          <w:rFonts w:ascii="Times New Roman" w:hAnsi="Times New Roman"/>
        </w:rPr>
        <w:t>of textually-</w:t>
      </w:r>
      <w:r w:rsidR="00E53AC9" w:rsidRPr="00E53AC9">
        <w:rPr>
          <w:rFonts w:ascii="Times New Roman" w:hAnsi="Times New Roman"/>
        </w:rPr>
        <w:t>oriented, politically-engaged, cultural criticism in the current academic and socio-political co</w:t>
      </w:r>
      <w:r w:rsidR="00E53AC9" w:rsidRPr="00332B1F">
        <w:rPr>
          <w:rFonts w:ascii="Times New Roman" w:hAnsi="Times New Roman"/>
          <w:szCs w:val="24"/>
        </w:rPr>
        <w:t>ntext.</w:t>
      </w:r>
      <w:r w:rsidR="004765AF">
        <w:rPr>
          <w:rFonts w:ascii="Times New Roman" w:hAnsi="Times New Roman"/>
          <w:szCs w:val="24"/>
        </w:rPr>
        <w:t xml:space="preserve"> </w:t>
      </w:r>
      <w:r w:rsidR="00E53AC9" w:rsidRPr="00332B1F">
        <w:rPr>
          <w:rFonts w:ascii="Times New Roman" w:hAnsi="Times New Roman"/>
          <w:szCs w:val="24"/>
        </w:rPr>
        <w:t xml:space="preserve">Firstly, I have suggested that, </w:t>
      </w:r>
      <w:r w:rsidR="00332B1F" w:rsidRPr="00332B1F">
        <w:rPr>
          <w:rFonts w:ascii="Times New Roman" w:hAnsi="Times New Roman"/>
          <w:szCs w:val="24"/>
        </w:rPr>
        <w:t xml:space="preserve">rather than positioning ‘considerations of materiality, affect and embodiment in opposition </w:t>
      </w:r>
      <w:r w:rsidR="00B81DCB">
        <w:rPr>
          <w:rFonts w:ascii="Times New Roman" w:hAnsi="Times New Roman"/>
          <w:szCs w:val="24"/>
        </w:rPr>
        <w:t>to textual analysis’, we should</w:t>
      </w:r>
      <w:r w:rsidR="00332B1F" w:rsidRPr="00332B1F">
        <w:rPr>
          <w:rFonts w:ascii="Times New Roman" w:hAnsi="Times New Roman"/>
          <w:szCs w:val="24"/>
        </w:rPr>
        <w:t xml:space="preserve"> investigate ‘their interrelations as intimate co-dependence’</w:t>
      </w:r>
      <w:r w:rsidR="00332B1F" w:rsidRPr="00071FBE">
        <w:rPr>
          <w:rFonts w:ascii="Times New Roman" w:hAnsi="Times New Roman"/>
          <w:szCs w:val="24"/>
        </w:rPr>
        <w:t>.</w:t>
      </w:r>
      <w:r w:rsidR="00332B1F" w:rsidRPr="00071FBE">
        <w:rPr>
          <w:rStyle w:val="FootnoteReference"/>
          <w:rFonts w:ascii="Times New Roman" w:hAnsi="Times New Roman"/>
          <w:szCs w:val="24"/>
        </w:rPr>
        <w:footnoteReference w:id="78"/>
      </w:r>
      <w:r w:rsidR="004765AF">
        <w:rPr>
          <w:rFonts w:ascii="Times New Roman" w:hAnsi="Times New Roman"/>
          <w:szCs w:val="24"/>
        </w:rPr>
        <w:t xml:space="preserve"> </w:t>
      </w:r>
      <w:r w:rsidR="00332B1F" w:rsidRPr="00071FBE">
        <w:rPr>
          <w:rFonts w:ascii="Times New Roman" w:hAnsi="Times New Roman"/>
          <w:szCs w:val="24"/>
        </w:rPr>
        <w:t xml:space="preserve">Secondly, I have argued that </w:t>
      </w:r>
      <w:r w:rsidR="00A20974" w:rsidRPr="00071FBE">
        <w:rPr>
          <w:rFonts w:ascii="Times New Roman" w:hAnsi="Times New Roman"/>
          <w:szCs w:val="24"/>
        </w:rPr>
        <w:t>instead of mob</w:t>
      </w:r>
      <w:r w:rsidR="00B81DCB" w:rsidRPr="00071FBE">
        <w:rPr>
          <w:rFonts w:ascii="Times New Roman" w:hAnsi="Times New Roman"/>
          <w:szCs w:val="24"/>
        </w:rPr>
        <w:t>i</w:t>
      </w:r>
      <w:r w:rsidR="00A20974" w:rsidRPr="00071FBE">
        <w:rPr>
          <w:rFonts w:ascii="Times New Roman" w:hAnsi="Times New Roman"/>
          <w:szCs w:val="24"/>
        </w:rPr>
        <w:t>lising</w:t>
      </w:r>
      <w:r w:rsidR="00332B1F" w:rsidRPr="00071FBE">
        <w:rPr>
          <w:rFonts w:ascii="Times New Roman" w:hAnsi="Times New Roman"/>
          <w:szCs w:val="24"/>
        </w:rPr>
        <w:t xml:space="preserve"> reparation as a solution to paranoia, we need to attend to the </w:t>
      </w:r>
      <w:r w:rsidR="006C4ABE" w:rsidRPr="00071FBE">
        <w:rPr>
          <w:rFonts w:ascii="Times New Roman" w:hAnsi="Times New Roman"/>
          <w:szCs w:val="24"/>
        </w:rPr>
        <w:t>‘</w:t>
      </w:r>
      <w:r w:rsidR="00332B1F" w:rsidRPr="00071FBE">
        <w:rPr>
          <w:rFonts w:ascii="Times New Roman" w:hAnsi="Times New Roman"/>
          <w:szCs w:val="24"/>
        </w:rPr>
        <w:t xml:space="preserve">instability </w:t>
      </w:r>
      <w:r w:rsidR="00332B1F" w:rsidRPr="00071FBE">
        <w:rPr>
          <w:rFonts w:ascii="Times New Roman" w:hAnsi="Times New Roman"/>
          <w:szCs w:val="24"/>
        </w:rPr>
        <w:lastRenderedPageBreak/>
        <w:t>and mutual inscriptio</w:t>
      </w:r>
      <w:r w:rsidR="00A20974" w:rsidRPr="00071FBE">
        <w:rPr>
          <w:rFonts w:ascii="Times New Roman" w:hAnsi="Times New Roman"/>
          <w:szCs w:val="24"/>
        </w:rPr>
        <w:t>n</w:t>
      </w:r>
      <w:r w:rsidR="006C4ABE" w:rsidRPr="00071FBE">
        <w:rPr>
          <w:rFonts w:ascii="Times New Roman" w:hAnsi="Times New Roman"/>
          <w:szCs w:val="24"/>
        </w:rPr>
        <w:t>’</w:t>
      </w:r>
      <w:r w:rsidR="00A20974" w:rsidRPr="00071FBE">
        <w:rPr>
          <w:rFonts w:ascii="Times New Roman" w:hAnsi="Times New Roman"/>
          <w:szCs w:val="24"/>
        </w:rPr>
        <w:t xml:space="preserve"> of these affective positions</w:t>
      </w:r>
      <w:r w:rsidR="00C47AD3" w:rsidRPr="00071FBE">
        <w:rPr>
          <w:rStyle w:val="FootnoteReference"/>
          <w:rFonts w:ascii="Times New Roman" w:hAnsi="Times New Roman"/>
        </w:rPr>
        <w:footnoteReference w:id="79"/>
      </w:r>
      <w:r w:rsidR="00A20974" w:rsidRPr="00071FBE">
        <w:rPr>
          <w:rFonts w:ascii="Times New Roman" w:hAnsi="Times New Roman"/>
          <w:szCs w:val="24"/>
        </w:rPr>
        <w:t>,</w:t>
      </w:r>
      <w:r w:rsidR="00332B1F" w:rsidRPr="00071FBE">
        <w:rPr>
          <w:rFonts w:ascii="Times New Roman" w:hAnsi="Times New Roman"/>
          <w:szCs w:val="24"/>
        </w:rPr>
        <w:t xml:space="preserve"> </w:t>
      </w:r>
      <w:r w:rsidR="00A20974" w:rsidRPr="00071FBE">
        <w:rPr>
          <w:rFonts w:ascii="Times New Roman" w:hAnsi="Times New Roman"/>
          <w:szCs w:val="24"/>
        </w:rPr>
        <w:t xml:space="preserve">while also </w:t>
      </w:r>
      <w:r w:rsidR="006C4ABE" w:rsidRPr="00071FBE">
        <w:rPr>
          <w:rFonts w:ascii="Times New Roman" w:hAnsi="Times New Roman"/>
          <w:szCs w:val="24"/>
        </w:rPr>
        <w:t xml:space="preserve">situating this </w:t>
      </w:r>
      <w:r w:rsidR="00E94076" w:rsidRPr="00071FBE">
        <w:rPr>
          <w:rFonts w:ascii="Times New Roman" w:hAnsi="Times New Roman"/>
          <w:szCs w:val="24"/>
        </w:rPr>
        <w:t xml:space="preserve">pairing </w:t>
      </w:r>
      <w:r w:rsidR="006C4ABE" w:rsidRPr="00071FBE">
        <w:rPr>
          <w:rFonts w:ascii="Times New Roman" w:hAnsi="Times New Roman"/>
          <w:szCs w:val="24"/>
        </w:rPr>
        <w:t xml:space="preserve">within a wider </w:t>
      </w:r>
      <w:r w:rsidR="00071FBE" w:rsidRPr="00071FBE">
        <w:rPr>
          <w:rFonts w:ascii="Times New Roman" w:hAnsi="Times New Roman"/>
          <w:szCs w:val="24"/>
        </w:rPr>
        <w:t xml:space="preserve">range or </w:t>
      </w:r>
      <w:r w:rsidR="006C4ABE" w:rsidRPr="00071FBE">
        <w:rPr>
          <w:rFonts w:ascii="Times New Roman" w:hAnsi="Times New Roman"/>
          <w:szCs w:val="24"/>
        </w:rPr>
        <w:t>network</w:t>
      </w:r>
      <w:r w:rsidR="00A20974" w:rsidRPr="00071FBE">
        <w:rPr>
          <w:rFonts w:ascii="Times New Roman" w:hAnsi="Times New Roman"/>
          <w:szCs w:val="24"/>
        </w:rPr>
        <w:t xml:space="preserve"> </w:t>
      </w:r>
      <w:r w:rsidR="006C4ABE" w:rsidRPr="00071FBE">
        <w:rPr>
          <w:rFonts w:ascii="Times New Roman" w:hAnsi="Times New Roman"/>
          <w:szCs w:val="24"/>
        </w:rPr>
        <w:t xml:space="preserve">of </w:t>
      </w:r>
      <w:r w:rsidR="00E94076" w:rsidRPr="00071FBE">
        <w:rPr>
          <w:rFonts w:ascii="Times New Roman" w:hAnsi="Times New Roman"/>
          <w:szCs w:val="24"/>
        </w:rPr>
        <w:t xml:space="preserve">possible </w:t>
      </w:r>
      <w:r w:rsidR="00A20974" w:rsidRPr="00071FBE">
        <w:rPr>
          <w:rFonts w:ascii="Times New Roman" w:hAnsi="Times New Roman"/>
          <w:szCs w:val="24"/>
        </w:rPr>
        <w:t>af</w:t>
      </w:r>
      <w:r w:rsidR="003208CB" w:rsidRPr="00071FBE">
        <w:rPr>
          <w:rFonts w:ascii="Times New Roman" w:hAnsi="Times New Roman"/>
          <w:szCs w:val="24"/>
        </w:rPr>
        <w:t>fective</w:t>
      </w:r>
      <w:r w:rsidR="003208CB">
        <w:rPr>
          <w:rFonts w:ascii="Times New Roman" w:hAnsi="Times New Roman"/>
          <w:szCs w:val="24"/>
        </w:rPr>
        <w:t xml:space="preserve"> orientations and</w:t>
      </w:r>
      <w:r w:rsidR="00A20974" w:rsidRPr="006C4ABE">
        <w:rPr>
          <w:rFonts w:ascii="Times New Roman" w:hAnsi="Times New Roman"/>
          <w:szCs w:val="24"/>
        </w:rPr>
        <w:t xml:space="preserve"> mood</w:t>
      </w:r>
      <w:r w:rsidR="00E94076" w:rsidRPr="006C4ABE">
        <w:rPr>
          <w:rFonts w:ascii="Times New Roman" w:hAnsi="Times New Roman"/>
          <w:szCs w:val="24"/>
        </w:rPr>
        <w:t>s</w:t>
      </w:r>
      <w:r w:rsidR="00332B1F" w:rsidRPr="006C4ABE">
        <w:rPr>
          <w:rFonts w:ascii="Times New Roman" w:hAnsi="Times New Roman"/>
          <w:szCs w:val="24"/>
        </w:rPr>
        <w:t>.</w:t>
      </w:r>
      <w:r w:rsidR="004765AF">
        <w:rPr>
          <w:rFonts w:ascii="Times New Roman" w:hAnsi="Times New Roman"/>
          <w:szCs w:val="24"/>
        </w:rPr>
        <w:t xml:space="preserve"> </w:t>
      </w:r>
      <w:r w:rsidR="00A20974" w:rsidRPr="006C4ABE">
        <w:rPr>
          <w:rFonts w:ascii="Times New Roman" w:hAnsi="Times New Roman"/>
          <w:szCs w:val="24"/>
        </w:rPr>
        <w:t xml:space="preserve">Inhabiting </w:t>
      </w:r>
      <w:r w:rsidR="00E94076" w:rsidRPr="006C4ABE">
        <w:rPr>
          <w:rFonts w:ascii="Times New Roman" w:hAnsi="Times New Roman"/>
          <w:szCs w:val="24"/>
        </w:rPr>
        <w:t xml:space="preserve">the ambivalence of </w:t>
      </w:r>
      <w:r w:rsidR="00AD4B50" w:rsidRPr="006C4ABE">
        <w:rPr>
          <w:rFonts w:ascii="Times New Roman" w:hAnsi="Times New Roman"/>
          <w:szCs w:val="24"/>
        </w:rPr>
        <w:t>‘</w:t>
      </w:r>
      <w:r w:rsidR="00E94076" w:rsidRPr="006C4ABE">
        <w:rPr>
          <w:rFonts w:ascii="Times New Roman" w:hAnsi="Times New Roman"/>
          <w:szCs w:val="24"/>
        </w:rPr>
        <w:t>our</w:t>
      </w:r>
      <w:r w:rsidR="00AD4B50" w:rsidRPr="006C4ABE">
        <w:rPr>
          <w:rFonts w:ascii="Times New Roman" w:hAnsi="Times New Roman"/>
          <w:szCs w:val="24"/>
        </w:rPr>
        <w:t>’</w:t>
      </w:r>
      <w:r w:rsidR="00E94076" w:rsidRPr="006C4ABE">
        <w:rPr>
          <w:rFonts w:ascii="Times New Roman" w:hAnsi="Times New Roman"/>
          <w:szCs w:val="24"/>
        </w:rPr>
        <w:t xml:space="preserve"> moods </w:t>
      </w:r>
      <w:r w:rsidR="00A20974" w:rsidRPr="006C4ABE">
        <w:rPr>
          <w:rFonts w:ascii="Times New Roman" w:hAnsi="Times New Roman"/>
          <w:szCs w:val="24"/>
        </w:rPr>
        <w:t>and translating between</w:t>
      </w:r>
      <w:r w:rsidR="00AD4B50" w:rsidRPr="006C4ABE">
        <w:rPr>
          <w:rFonts w:ascii="Times New Roman" w:hAnsi="Times New Roman"/>
          <w:szCs w:val="24"/>
        </w:rPr>
        <w:t xml:space="preserve"> </w:t>
      </w:r>
      <w:r w:rsidR="00C47AD3">
        <w:rPr>
          <w:rFonts w:ascii="Times New Roman" w:hAnsi="Times New Roman"/>
          <w:szCs w:val="24"/>
        </w:rPr>
        <w:t>relational</w:t>
      </w:r>
      <w:r w:rsidR="006C4ABE" w:rsidRPr="006C4ABE">
        <w:rPr>
          <w:rFonts w:ascii="Times New Roman" w:hAnsi="Times New Roman"/>
          <w:szCs w:val="24"/>
        </w:rPr>
        <w:t xml:space="preserve"> moods</w:t>
      </w:r>
      <w:r w:rsidR="00C47AD3">
        <w:rPr>
          <w:rFonts w:ascii="Times New Roman" w:hAnsi="Times New Roman"/>
          <w:szCs w:val="24"/>
        </w:rPr>
        <w:t xml:space="preserve"> </w:t>
      </w:r>
      <w:r w:rsidR="00C47AD3" w:rsidRPr="006C4ABE">
        <w:rPr>
          <w:rFonts w:ascii="Times New Roman" w:hAnsi="Times New Roman"/>
          <w:szCs w:val="24"/>
        </w:rPr>
        <w:t>(personal and collective; human and textual)</w:t>
      </w:r>
      <w:r w:rsidR="00C47AD3">
        <w:rPr>
          <w:rFonts w:ascii="Times New Roman" w:hAnsi="Times New Roman"/>
          <w:szCs w:val="24"/>
        </w:rPr>
        <w:t xml:space="preserve"> is one </w:t>
      </w:r>
      <w:r w:rsidR="003208CB">
        <w:rPr>
          <w:rFonts w:ascii="Times New Roman" w:hAnsi="Times New Roman"/>
          <w:szCs w:val="24"/>
        </w:rPr>
        <w:t xml:space="preserve">critical-affective </w:t>
      </w:r>
      <w:r w:rsidR="00C47AD3">
        <w:rPr>
          <w:rFonts w:ascii="Times New Roman" w:hAnsi="Times New Roman"/>
          <w:szCs w:val="24"/>
        </w:rPr>
        <w:t>practice through which</w:t>
      </w:r>
      <w:r w:rsidR="00A20974" w:rsidRPr="006C4ABE">
        <w:rPr>
          <w:rFonts w:ascii="Times New Roman" w:hAnsi="Times New Roman"/>
          <w:szCs w:val="24"/>
        </w:rPr>
        <w:t xml:space="preserve"> we </w:t>
      </w:r>
      <w:r w:rsidR="00C47AD3">
        <w:rPr>
          <w:rFonts w:ascii="Times New Roman" w:hAnsi="Times New Roman"/>
          <w:szCs w:val="24"/>
        </w:rPr>
        <w:t xml:space="preserve">can </w:t>
      </w:r>
      <w:r w:rsidR="006C4ABE" w:rsidRPr="006C4ABE">
        <w:rPr>
          <w:rFonts w:ascii="Times New Roman" w:hAnsi="Times New Roman"/>
          <w:szCs w:val="24"/>
        </w:rPr>
        <w:t>attend to the constitutive connections among discursivity</w:t>
      </w:r>
      <w:r w:rsidR="00AD4B50" w:rsidRPr="006C4ABE">
        <w:rPr>
          <w:rFonts w:ascii="Times New Roman" w:hAnsi="Times New Roman"/>
          <w:szCs w:val="24"/>
        </w:rPr>
        <w:t>/material</w:t>
      </w:r>
      <w:r w:rsidR="006C4ABE" w:rsidRPr="006C4ABE">
        <w:rPr>
          <w:rFonts w:ascii="Times New Roman" w:hAnsi="Times New Roman"/>
          <w:szCs w:val="24"/>
        </w:rPr>
        <w:t>ity</w:t>
      </w:r>
      <w:r w:rsidR="00AD4B50" w:rsidRPr="006C4ABE">
        <w:rPr>
          <w:rFonts w:ascii="Times New Roman" w:hAnsi="Times New Roman"/>
          <w:szCs w:val="24"/>
        </w:rPr>
        <w:t xml:space="preserve"> and paranoia/reparation</w:t>
      </w:r>
      <w:r w:rsidR="006C4ABE" w:rsidRPr="006C4ABE">
        <w:rPr>
          <w:rFonts w:ascii="Times New Roman" w:hAnsi="Times New Roman"/>
          <w:szCs w:val="24"/>
        </w:rPr>
        <w:t xml:space="preserve">, </w:t>
      </w:r>
      <w:r w:rsidR="00A20974" w:rsidRPr="006C4ABE">
        <w:rPr>
          <w:rFonts w:ascii="Times New Roman" w:hAnsi="Times New Roman"/>
          <w:szCs w:val="24"/>
        </w:rPr>
        <w:t xml:space="preserve">while exploring the </w:t>
      </w:r>
      <w:r w:rsidR="00DF3273" w:rsidRPr="006C4ABE">
        <w:rPr>
          <w:rFonts w:ascii="Times New Roman" w:hAnsi="Times New Roman"/>
          <w:szCs w:val="24"/>
        </w:rPr>
        <w:t xml:space="preserve">multiple </w:t>
      </w:r>
      <w:r w:rsidR="00A20974" w:rsidRPr="006C4ABE">
        <w:rPr>
          <w:rFonts w:ascii="Times New Roman" w:hAnsi="Times New Roman"/>
          <w:szCs w:val="24"/>
        </w:rPr>
        <w:t>ways in which</w:t>
      </w:r>
      <w:r w:rsidR="00E94076" w:rsidRPr="006C4ABE">
        <w:rPr>
          <w:rFonts w:ascii="Times New Roman" w:hAnsi="Times New Roman"/>
          <w:szCs w:val="24"/>
        </w:rPr>
        <w:t xml:space="preserve"> we </w:t>
      </w:r>
      <w:r w:rsidR="00A20974" w:rsidRPr="006C4ABE">
        <w:rPr>
          <w:rFonts w:ascii="Times New Roman" w:hAnsi="Times New Roman"/>
          <w:szCs w:val="24"/>
        </w:rPr>
        <w:t xml:space="preserve">are </w:t>
      </w:r>
      <w:r w:rsidR="00A20974" w:rsidRPr="006C4ABE">
        <w:rPr>
          <w:rFonts w:ascii="Times New Roman" w:hAnsi="Times New Roman"/>
        </w:rPr>
        <w:t xml:space="preserve">affectively oriented towards, invested in, and constitutively entangled with </w:t>
      </w:r>
      <w:r w:rsidR="00AD4B50" w:rsidRPr="006C4ABE">
        <w:rPr>
          <w:rFonts w:ascii="Times New Roman" w:hAnsi="Times New Roman"/>
        </w:rPr>
        <w:t>texts as</w:t>
      </w:r>
      <w:r w:rsidR="006C4ABE" w:rsidRPr="006C4ABE">
        <w:rPr>
          <w:rFonts w:ascii="Times New Roman" w:hAnsi="Times New Roman"/>
        </w:rPr>
        <w:t xml:space="preserve"> research objects</w:t>
      </w:r>
      <w:r w:rsidR="00415368">
        <w:rPr>
          <w:rFonts w:ascii="Times New Roman" w:hAnsi="Times New Roman"/>
        </w:rPr>
        <w:t>.</w:t>
      </w:r>
      <w:r w:rsidR="004765AF">
        <w:t xml:space="preserve"> </w:t>
      </w:r>
      <w:r w:rsidR="00071FBE" w:rsidRPr="00071FBE">
        <w:rPr>
          <w:rFonts w:ascii="Times New Roman" w:hAnsi="Times New Roman"/>
        </w:rPr>
        <w:t>Furthermore, t</w:t>
      </w:r>
      <w:r w:rsidR="00A20974" w:rsidRPr="00071FBE">
        <w:rPr>
          <w:rFonts w:ascii="Times New Roman" w:hAnsi="Times New Roman"/>
          <w:szCs w:val="24"/>
        </w:rPr>
        <w:t xml:space="preserve">he </w:t>
      </w:r>
      <w:r w:rsidR="006C4ABE" w:rsidRPr="00071FBE">
        <w:rPr>
          <w:rFonts w:ascii="Times New Roman" w:hAnsi="Times New Roman"/>
          <w:szCs w:val="24"/>
        </w:rPr>
        <w:t xml:space="preserve">forms of </w:t>
      </w:r>
      <w:r w:rsidR="00A20974" w:rsidRPr="00071FBE">
        <w:rPr>
          <w:rFonts w:ascii="Times New Roman" w:hAnsi="Times New Roman"/>
          <w:szCs w:val="24"/>
        </w:rPr>
        <w:t>affective translation</w:t>
      </w:r>
      <w:r w:rsidR="00E94076" w:rsidRPr="00071FBE">
        <w:rPr>
          <w:rFonts w:ascii="Times New Roman" w:hAnsi="Times New Roman"/>
          <w:szCs w:val="24"/>
        </w:rPr>
        <w:t xml:space="preserve"> and </w:t>
      </w:r>
      <w:r w:rsidR="006F331F" w:rsidRPr="00071FBE">
        <w:rPr>
          <w:rFonts w:ascii="Times New Roman" w:hAnsi="Times New Roman"/>
          <w:szCs w:val="24"/>
        </w:rPr>
        <w:t xml:space="preserve">attending to </w:t>
      </w:r>
      <w:r w:rsidR="00E94076" w:rsidRPr="00071FBE">
        <w:rPr>
          <w:rFonts w:ascii="Times New Roman" w:hAnsi="Times New Roman"/>
          <w:szCs w:val="24"/>
        </w:rPr>
        <w:t>ambivalence</w:t>
      </w:r>
      <w:r w:rsidR="00A20974" w:rsidRPr="00071FBE">
        <w:rPr>
          <w:rFonts w:ascii="Times New Roman" w:hAnsi="Times New Roman"/>
          <w:szCs w:val="24"/>
        </w:rPr>
        <w:t xml:space="preserve"> and that such mood work</w:t>
      </w:r>
      <w:r w:rsidR="00A20974">
        <w:rPr>
          <w:rFonts w:ascii="Times New Roman" w:hAnsi="Times New Roman"/>
          <w:szCs w:val="24"/>
        </w:rPr>
        <w:t xml:space="preserve"> involves </w:t>
      </w:r>
      <w:r w:rsidR="00C47AD3">
        <w:rPr>
          <w:rFonts w:ascii="Times New Roman" w:hAnsi="Times New Roman"/>
          <w:szCs w:val="24"/>
        </w:rPr>
        <w:t>can also train</w:t>
      </w:r>
      <w:r w:rsidR="00A20974">
        <w:rPr>
          <w:rFonts w:ascii="Times New Roman" w:hAnsi="Times New Roman"/>
          <w:szCs w:val="24"/>
        </w:rPr>
        <w:t xml:space="preserve"> us to</w:t>
      </w:r>
      <w:r w:rsidR="00E94076">
        <w:rPr>
          <w:rFonts w:ascii="Times New Roman" w:hAnsi="Times New Roman"/>
          <w:szCs w:val="24"/>
        </w:rPr>
        <w:t xml:space="preserve"> </w:t>
      </w:r>
      <w:r w:rsidR="00415368">
        <w:rPr>
          <w:rFonts w:ascii="Times New Roman" w:hAnsi="Times New Roman"/>
          <w:szCs w:val="24"/>
        </w:rPr>
        <w:t xml:space="preserve">approach </w:t>
      </w:r>
      <w:r w:rsidR="00C47AD3" w:rsidRPr="00415368">
        <w:rPr>
          <w:rFonts w:ascii="Times New Roman" w:hAnsi="Times New Roman"/>
          <w:szCs w:val="24"/>
        </w:rPr>
        <w:t xml:space="preserve">the complexities and contradictions of contemporary neoliberal political </w:t>
      </w:r>
      <w:r w:rsidR="00E94076" w:rsidRPr="00415368">
        <w:rPr>
          <w:rFonts w:ascii="Times New Roman" w:hAnsi="Times New Roman"/>
          <w:szCs w:val="24"/>
        </w:rPr>
        <w:t>relations</w:t>
      </w:r>
      <w:r w:rsidR="00415368">
        <w:rPr>
          <w:rFonts w:ascii="Times New Roman" w:hAnsi="Times New Roman"/>
          <w:szCs w:val="24"/>
        </w:rPr>
        <w:t xml:space="preserve"> (and our enmeshment with them)</w:t>
      </w:r>
      <w:r w:rsidR="00E94076" w:rsidRPr="00415368">
        <w:rPr>
          <w:rFonts w:ascii="Times New Roman" w:hAnsi="Times New Roman"/>
          <w:szCs w:val="24"/>
        </w:rPr>
        <w:t xml:space="preserve"> in</w:t>
      </w:r>
      <w:r w:rsidR="00415368">
        <w:rPr>
          <w:rFonts w:ascii="Times New Roman" w:hAnsi="Times New Roman"/>
          <w:szCs w:val="24"/>
        </w:rPr>
        <w:t xml:space="preserve"> somewhat less deterministic ways</w:t>
      </w:r>
      <w:r w:rsidR="00E94076" w:rsidRPr="00415368">
        <w:rPr>
          <w:rFonts w:ascii="Times New Roman" w:hAnsi="Times New Roman"/>
          <w:szCs w:val="24"/>
        </w:rPr>
        <w:t xml:space="preserve"> </w:t>
      </w:r>
      <w:r w:rsidR="00415368">
        <w:rPr>
          <w:rFonts w:ascii="Times New Roman" w:hAnsi="Times New Roman"/>
          <w:szCs w:val="24"/>
        </w:rPr>
        <w:t xml:space="preserve">– </w:t>
      </w:r>
      <w:r w:rsidR="00415368" w:rsidRPr="00415368">
        <w:rPr>
          <w:rFonts w:ascii="Times New Roman" w:hAnsi="Times New Roman"/>
          <w:szCs w:val="24"/>
        </w:rPr>
        <w:t xml:space="preserve">that is, in </w:t>
      </w:r>
      <w:r w:rsidR="00C47AD3" w:rsidRPr="00415368">
        <w:rPr>
          <w:rFonts w:ascii="Times New Roman" w:hAnsi="Times New Roman"/>
          <w:szCs w:val="24"/>
        </w:rPr>
        <w:t xml:space="preserve">ways </w:t>
      </w:r>
      <w:r w:rsidR="00415368" w:rsidRPr="00415368">
        <w:rPr>
          <w:rFonts w:ascii="Times New Roman" w:hAnsi="Times New Roman"/>
          <w:szCs w:val="24"/>
        </w:rPr>
        <w:t xml:space="preserve">that resist </w:t>
      </w:r>
      <w:r w:rsidR="00C47AD3" w:rsidRPr="00415368">
        <w:rPr>
          <w:rFonts w:ascii="Times New Roman" w:hAnsi="Times New Roman"/>
          <w:szCs w:val="24"/>
        </w:rPr>
        <w:t xml:space="preserve">a </w:t>
      </w:r>
      <w:r w:rsidR="00E94076" w:rsidRPr="00415368">
        <w:rPr>
          <w:rFonts w:ascii="Times New Roman" w:hAnsi="Times New Roman"/>
        </w:rPr>
        <w:t>desire to understand power as a ‘zero-sum game’ and instead encounter it</w:t>
      </w:r>
      <w:r w:rsidR="00415368" w:rsidRPr="00415368">
        <w:rPr>
          <w:rFonts w:ascii="Times New Roman" w:hAnsi="Times New Roman"/>
        </w:rPr>
        <w:t>, in Sedgwick’s words,</w:t>
      </w:r>
      <w:r w:rsidR="00E94076" w:rsidRPr="00415368">
        <w:rPr>
          <w:rFonts w:ascii="Times New Roman" w:hAnsi="Times New Roman"/>
        </w:rPr>
        <w:t xml:space="preserve"> as ‘a form of relationality that deals in… negotiations (including win-win negotiations), the exchange of affect, and other small differential</w:t>
      </w:r>
      <w:r w:rsidR="00C47AD3" w:rsidRPr="00415368">
        <w:rPr>
          <w:rFonts w:ascii="Times New Roman" w:hAnsi="Times New Roman"/>
        </w:rPr>
        <w:t>s, the middle ranges of agency’</w:t>
      </w:r>
      <w:r w:rsidR="00E94076" w:rsidRPr="00415368">
        <w:rPr>
          <w:rFonts w:ascii="Times New Roman" w:hAnsi="Times New Roman"/>
        </w:rPr>
        <w:t>.</w:t>
      </w:r>
      <w:r w:rsidR="00E94076" w:rsidRPr="00415368">
        <w:rPr>
          <w:rStyle w:val="FootnoteReference"/>
          <w:rFonts w:ascii="Times New Roman" w:hAnsi="Times New Roman"/>
        </w:rPr>
        <w:footnoteReference w:id="80"/>
      </w:r>
      <w:r w:rsidR="00415368">
        <w:rPr>
          <w:rFonts w:ascii="Times New Roman" w:hAnsi="Times New Roman"/>
        </w:rPr>
        <w:t xml:space="preserve"> </w:t>
      </w:r>
    </w:p>
    <w:p w14:paraId="4FF1A150" w14:textId="7FB9CCC9" w:rsidR="00F01B20" w:rsidRPr="00C5497B" w:rsidRDefault="00450102" w:rsidP="009D75F2">
      <w:pPr>
        <w:pStyle w:val="FootnoteText"/>
        <w:ind w:firstLine="720"/>
      </w:pPr>
      <w:r w:rsidRPr="00450102">
        <w:t>Fa</w:t>
      </w:r>
      <w:r w:rsidR="00FC56C6" w:rsidRPr="00450102">
        <w:t>r from signalling resignation to the inevitability of neolib</w:t>
      </w:r>
      <w:r>
        <w:t>eral forms of governmentality – including the neoliberal university -</w:t>
      </w:r>
      <w:r w:rsidR="00FC56C6" w:rsidRPr="00450102">
        <w:t xml:space="preserve"> this approach to cultural analysis acknowledges that</w:t>
      </w:r>
      <w:r w:rsidR="007C4E3D">
        <w:t xml:space="preserve"> both</w:t>
      </w:r>
      <w:r w:rsidRPr="00450102">
        <w:t xml:space="preserve"> </w:t>
      </w:r>
      <w:r w:rsidRPr="007C4E3D">
        <w:rPr>
          <w:i/>
        </w:rPr>
        <w:t>understanding</w:t>
      </w:r>
      <w:r w:rsidRPr="00450102">
        <w:t xml:space="preserve"> and </w:t>
      </w:r>
      <w:r w:rsidRPr="00450102">
        <w:rPr>
          <w:i/>
        </w:rPr>
        <w:t>changing</w:t>
      </w:r>
      <w:r w:rsidRPr="00450102">
        <w:t xml:space="preserve"> these </w:t>
      </w:r>
      <w:r w:rsidR="007C4E3D">
        <w:t xml:space="preserve">complicated </w:t>
      </w:r>
      <w:r w:rsidRPr="00450102">
        <w:t>structures, processes and atmospheres re</w:t>
      </w:r>
      <w:r>
        <w:t>quires more than exposing the ways in which they are pernicious and damaging</w:t>
      </w:r>
      <w:r w:rsidR="007C4E3D">
        <w:t xml:space="preserve"> </w:t>
      </w:r>
      <w:r w:rsidR="007C4E3D" w:rsidRPr="007C4E3D">
        <w:rPr>
          <w:i/>
        </w:rPr>
        <w:t>or</w:t>
      </w:r>
      <w:r w:rsidR="00FE1E4B">
        <w:t xml:space="preserve"> </w:t>
      </w:r>
      <w:r w:rsidR="007C4E3D" w:rsidRPr="00FE1E4B">
        <w:t xml:space="preserve">responding to them with an affirmative effort to provide </w:t>
      </w:r>
      <w:r w:rsidR="00FE1E4B" w:rsidRPr="00FE1E4B">
        <w:t>sustenance</w:t>
      </w:r>
      <w:r w:rsidR="007C4E3D" w:rsidRPr="00FE1E4B">
        <w:t>.</w:t>
      </w:r>
      <w:r w:rsidR="004765AF">
        <w:t xml:space="preserve"> </w:t>
      </w:r>
      <w:r w:rsidR="007C4E3D" w:rsidRPr="00FE1E4B">
        <w:t>We might say that, in the long</w:t>
      </w:r>
      <w:r w:rsidR="00FE1E4B" w:rsidRPr="00FE1E4B">
        <w:t>er</w:t>
      </w:r>
      <w:r w:rsidR="007C4E3D" w:rsidRPr="00FE1E4B">
        <w:t xml:space="preserve"> term</w:t>
      </w:r>
      <w:r w:rsidR="007C4E3D">
        <w:t>, it</w:t>
      </w:r>
      <w:r>
        <w:t xml:space="preserve"> calls for the </w:t>
      </w:r>
      <w:r w:rsidR="00FE1E4B">
        <w:t xml:space="preserve">continuing </w:t>
      </w:r>
      <w:r>
        <w:t xml:space="preserve">development of what Spivak refers to as </w:t>
      </w:r>
      <w:r w:rsidR="008F66A3" w:rsidRPr="00450102">
        <w:t>‘ethical reflexes’.</w:t>
      </w:r>
      <w:r w:rsidR="004765AF">
        <w:t xml:space="preserve"> </w:t>
      </w:r>
      <w:r w:rsidR="0096272F" w:rsidRPr="00C5497B">
        <w:t>In its referencing of both the politico-ethical and the biological-material, the concept of ethical reflexes</w:t>
      </w:r>
      <w:r w:rsidR="00C5497B" w:rsidRPr="00C5497B">
        <w:t xml:space="preserve"> </w:t>
      </w:r>
      <w:r w:rsidR="0096272F" w:rsidRPr="00C5497B">
        <w:t>points provocatively to the deep, affective nature of the change in ourselves that she suggests i</w:t>
      </w:r>
      <w:r w:rsidR="00DB5465">
        <w:t xml:space="preserve">s necessary to make meaningful </w:t>
      </w:r>
      <w:r w:rsidR="0096272F" w:rsidRPr="00C5497B">
        <w:t>changes in our world(s).</w:t>
      </w:r>
      <w:r w:rsidR="004765AF">
        <w:t xml:space="preserve"> </w:t>
      </w:r>
      <w:r w:rsidR="00315361" w:rsidRPr="00C5497B">
        <w:t xml:space="preserve">Like </w:t>
      </w:r>
      <w:r w:rsidR="00101241" w:rsidRPr="00C5497B">
        <w:t xml:space="preserve">Sedgwick in her analysis of the hermeneutics of suspicion, Spivak is critical of the assumption that </w:t>
      </w:r>
      <w:r w:rsidR="00315361" w:rsidRPr="00C5497B">
        <w:t>the intellectual and political work of consciousness-raising via exposur</w:t>
      </w:r>
      <w:r w:rsidR="00DB5465">
        <w:t>e is a sufficient or</w:t>
      </w:r>
      <w:r w:rsidR="00315361" w:rsidRPr="00C5497B">
        <w:t xml:space="preserve"> necessary catalyst to positive social transformation.</w:t>
      </w:r>
      <w:r w:rsidR="004765AF">
        <w:t xml:space="preserve"> </w:t>
      </w:r>
      <w:r w:rsidR="00C90F12" w:rsidRPr="00C5497B">
        <w:t xml:space="preserve">What is required to generate material and political change beyond </w:t>
      </w:r>
      <w:r w:rsidR="0070280F" w:rsidRPr="00C5497B">
        <w:t xml:space="preserve">‘the drama of </w:t>
      </w:r>
      <w:r w:rsidR="00C90F12" w:rsidRPr="00C5497B">
        <w:t>exposure</w:t>
      </w:r>
      <w:r w:rsidR="006373E5">
        <w:t>’</w:t>
      </w:r>
      <w:r w:rsidR="00065026">
        <w:rPr>
          <w:rStyle w:val="FootnoteReference"/>
        </w:rPr>
        <w:footnoteReference w:id="81"/>
      </w:r>
      <w:r w:rsidR="00C90F12" w:rsidRPr="00C5497B">
        <w:t>, Spivak argues</w:t>
      </w:r>
      <w:r w:rsidR="0096272F" w:rsidRPr="00C5497B">
        <w:t>,</w:t>
      </w:r>
      <w:r w:rsidR="00C90F12" w:rsidRPr="00C5497B">
        <w:t xml:space="preserve"> is ‘patient epistemological care’ </w:t>
      </w:r>
      <w:r w:rsidR="00702C88" w:rsidRPr="00C5497B">
        <w:t xml:space="preserve">that cultivates our ability to think, feel and respond </w:t>
      </w:r>
      <w:r w:rsidR="00DC4D22" w:rsidRPr="00C5497B">
        <w:t xml:space="preserve">ethically </w:t>
      </w:r>
      <w:r w:rsidR="00702C88" w:rsidRPr="00C5497B">
        <w:t>at the most deepest levels of embodied being</w:t>
      </w:r>
      <w:r w:rsidR="00C90F12" w:rsidRPr="00C5497B">
        <w:t>.</w:t>
      </w:r>
      <w:r w:rsidR="00702C88" w:rsidRPr="00C5497B">
        <w:t xml:space="preserve"> ‘Otherwise’, she argues, ‘there’s no training when the oppressed emerges from “freedom from” to “freedom to”… Otherwise the imagination is not strongly enough trained to realize that “social movements” are co-opted by state and elite, with different agendas, ceaselessly’.</w:t>
      </w:r>
      <w:r w:rsidR="00065026">
        <w:rPr>
          <w:rStyle w:val="FootnoteReference"/>
        </w:rPr>
        <w:footnoteReference w:id="82"/>
      </w:r>
      <w:r w:rsidR="004765AF">
        <w:t xml:space="preserve"> </w:t>
      </w:r>
      <w:r w:rsidR="00DC4D22" w:rsidRPr="00C5497B">
        <w:t>Of course, for Spivak, a</w:t>
      </w:r>
      <w:r w:rsidR="00071FBE">
        <w:t>s</w:t>
      </w:r>
      <w:r w:rsidR="00067623" w:rsidRPr="00C5497B">
        <w:t xml:space="preserve"> for Sedgwick, </w:t>
      </w:r>
      <w:r w:rsidR="00DC4D22" w:rsidRPr="00C5497B">
        <w:t>to think ethically is</w:t>
      </w:r>
      <w:r w:rsidR="00067623" w:rsidRPr="00C5497B">
        <w:t>,</w:t>
      </w:r>
      <w:r w:rsidR="00DC4D22" w:rsidRPr="00C5497B">
        <w:t xml:space="preserve"> by definition</w:t>
      </w:r>
      <w:r w:rsidR="00067623" w:rsidRPr="00C5497B">
        <w:t>,</w:t>
      </w:r>
      <w:r w:rsidR="00DC4D22" w:rsidRPr="00C5497B">
        <w:t xml:space="preserve"> to interrogate universality, and thus to move with and throug</w:t>
      </w:r>
      <w:r w:rsidR="00067623" w:rsidRPr="00C5497B">
        <w:t>h contingency, contradiction and change.</w:t>
      </w:r>
      <w:r w:rsidR="004765AF">
        <w:t xml:space="preserve"> </w:t>
      </w:r>
      <w:r w:rsidR="00067623" w:rsidRPr="00C5497B">
        <w:t>Ethical reflexes are thus not</w:t>
      </w:r>
      <w:r w:rsidR="00751C40" w:rsidRPr="00C5497B">
        <w:t xml:space="preserve"> </w:t>
      </w:r>
      <w:r w:rsidR="00067623" w:rsidRPr="00C5497B">
        <w:t>pre-programmed to make us respond to others or the world</w:t>
      </w:r>
      <w:r w:rsidR="00751C40" w:rsidRPr="00C5497B">
        <w:t xml:space="preserve"> any particular</w:t>
      </w:r>
      <w:r w:rsidR="0070280F" w:rsidRPr="00C5497B">
        <w:t xml:space="preserve"> or predictable</w:t>
      </w:r>
      <w:r w:rsidR="00751C40" w:rsidRPr="00C5497B">
        <w:t xml:space="preserve"> way</w:t>
      </w:r>
      <w:r w:rsidR="0096272F" w:rsidRPr="00C5497B">
        <w:t>s</w:t>
      </w:r>
      <w:r w:rsidR="0070280F" w:rsidRPr="00C5497B">
        <w:t>.</w:t>
      </w:r>
      <w:r w:rsidR="004765AF">
        <w:t xml:space="preserve"> </w:t>
      </w:r>
      <w:r w:rsidR="0070280F" w:rsidRPr="00C5497B">
        <w:t>R</w:t>
      </w:r>
      <w:r w:rsidR="00067623" w:rsidRPr="00C5497B">
        <w:t xml:space="preserve">ather, once cultivated over time, they </w:t>
      </w:r>
      <w:r w:rsidR="005F4B0F" w:rsidRPr="00C5497B">
        <w:t xml:space="preserve">might </w:t>
      </w:r>
      <w:r w:rsidR="00067623" w:rsidRPr="00C5497B">
        <w:t>make more automatic qualities such as intellectual</w:t>
      </w:r>
      <w:r w:rsidR="00751C40" w:rsidRPr="00C5497B">
        <w:t xml:space="preserve"> curiosity, openness to discovery, </w:t>
      </w:r>
      <w:r w:rsidR="00067623" w:rsidRPr="00C5497B">
        <w:t xml:space="preserve">an </w:t>
      </w:r>
      <w:r w:rsidR="00751C40" w:rsidRPr="00C5497B">
        <w:t xml:space="preserve">ability to sense </w:t>
      </w:r>
      <w:r w:rsidR="0070280F" w:rsidRPr="00C5497B">
        <w:t xml:space="preserve">difference and </w:t>
      </w:r>
      <w:r w:rsidR="00751C40" w:rsidRPr="00C5497B">
        <w:t xml:space="preserve">change and </w:t>
      </w:r>
      <w:r w:rsidR="00067623" w:rsidRPr="00C5497B">
        <w:t xml:space="preserve">a capacity to </w:t>
      </w:r>
      <w:r w:rsidR="00751C40" w:rsidRPr="00C5497B">
        <w:t>respond imagin</w:t>
      </w:r>
      <w:r w:rsidR="00067623" w:rsidRPr="00C5497B">
        <w:t>atively and critically to the ambivalence of power</w:t>
      </w:r>
      <w:r w:rsidR="00751C40" w:rsidRPr="00C5497B">
        <w:t>.</w:t>
      </w:r>
      <w:r w:rsidR="004765AF">
        <w:t xml:space="preserve"> </w:t>
      </w:r>
      <w:r w:rsidR="0096272F" w:rsidRPr="00C5497B">
        <w:t>And it is through the development of ethical reflexes</w:t>
      </w:r>
      <w:r w:rsidR="00B15449">
        <w:t>, Spivak</w:t>
      </w:r>
      <w:r w:rsidR="005F4B0F" w:rsidRPr="00C5497B">
        <w:t xml:space="preserve"> contends,</w:t>
      </w:r>
      <w:r w:rsidR="0096272F" w:rsidRPr="00C5497B">
        <w:t xml:space="preserve"> that new political atmospheres and structur</w:t>
      </w:r>
      <w:r w:rsidR="00D538A5" w:rsidRPr="00C5497B">
        <w:t>es of feeling might emerge</w:t>
      </w:r>
      <w:r w:rsidR="0096272F" w:rsidRPr="00C5497B">
        <w:t xml:space="preserve">. </w:t>
      </w:r>
    </w:p>
    <w:p w14:paraId="3CF768C8" w14:textId="77777777" w:rsidR="00620EAC" w:rsidRDefault="00620EAC" w:rsidP="00F504EB">
      <w:pPr>
        <w:pStyle w:val="FootnoteText"/>
        <w:rPr>
          <w:b/>
        </w:rPr>
      </w:pPr>
    </w:p>
    <w:p w14:paraId="28DFAB95" w14:textId="073ABD1A" w:rsidR="00697743" w:rsidRPr="009D75F2" w:rsidRDefault="009D75F2" w:rsidP="00F504EB">
      <w:pPr>
        <w:pStyle w:val="FootnoteText"/>
      </w:pPr>
      <w:r w:rsidRPr="009D75F2">
        <w:t>CONCULSIONS</w:t>
      </w:r>
    </w:p>
    <w:p w14:paraId="7375534D" w14:textId="77777777" w:rsidR="009D75F2" w:rsidRDefault="009D75F2" w:rsidP="00F504EB">
      <w:pPr>
        <w:pStyle w:val="FreeFormA"/>
        <w:rPr>
          <w:rFonts w:ascii="Times New Roman" w:hAnsi="Times New Roman"/>
          <w:szCs w:val="24"/>
        </w:rPr>
      </w:pPr>
    </w:p>
    <w:p w14:paraId="081FCC31" w14:textId="6894AE03" w:rsidR="005C1E35" w:rsidRDefault="00BF2513" w:rsidP="00F504EB">
      <w:pPr>
        <w:pStyle w:val="FreeFormA"/>
        <w:rPr>
          <w:rFonts w:ascii="Times New Roman" w:hAnsi="Times New Roman"/>
          <w:szCs w:val="24"/>
        </w:rPr>
      </w:pPr>
      <w:r w:rsidRPr="00485D97">
        <w:rPr>
          <w:rFonts w:ascii="Times New Roman" w:hAnsi="Times New Roman"/>
          <w:szCs w:val="24"/>
        </w:rPr>
        <w:lastRenderedPageBreak/>
        <w:t xml:space="preserve">In the midst of intellectual </w:t>
      </w:r>
      <w:r w:rsidR="00697743" w:rsidRPr="00485D97">
        <w:rPr>
          <w:rFonts w:ascii="Times New Roman" w:hAnsi="Times New Roman"/>
          <w:szCs w:val="24"/>
        </w:rPr>
        <w:t xml:space="preserve">and political </w:t>
      </w:r>
      <w:r w:rsidRPr="00485D97">
        <w:rPr>
          <w:rFonts w:ascii="Times New Roman" w:hAnsi="Times New Roman"/>
          <w:szCs w:val="24"/>
        </w:rPr>
        <w:t xml:space="preserve">atmospheres in which </w:t>
      </w:r>
      <w:r w:rsidR="00420562" w:rsidRPr="00485D97">
        <w:rPr>
          <w:rFonts w:ascii="Times New Roman" w:hAnsi="Times New Roman"/>
          <w:szCs w:val="24"/>
        </w:rPr>
        <w:t>linguistic, textual and discursive analysis are increasingly positioned</w:t>
      </w:r>
      <w:r w:rsidR="00DC4D22" w:rsidRPr="00485D97">
        <w:rPr>
          <w:rFonts w:ascii="Times New Roman" w:hAnsi="Times New Roman"/>
          <w:szCs w:val="24"/>
        </w:rPr>
        <w:t xml:space="preserve"> as outm</w:t>
      </w:r>
      <w:r w:rsidR="00697743" w:rsidRPr="00485D97">
        <w:rPr>
          <w:rFonts w:ascii="Times New Roman" w:hAnsi="Times New Roman"/>
          <w:szCs w:val="24"/>
        </w:rPr>
        <w:t>oded or</w:t>
      </w:r>
      <w:r w:rsidR="007011AB" w:rsidRPr="00485D97">
        <w:rPr>
          <w:rFonts w:ascii="Times New Roman" w:hAnsi="Times New Roman"/>
          <w:szCs w:val="24"/>
        </w:rPr>
        <w:t xml:space="preserve"> anachronistic, both Sedgwick and Spivak</w:t>
      </w:r>
      <w:r w:rsidR="00DC4D22" w:rsidRPr="00485D97">
        <w:rPr>
          <w:rFonts w:ascii="Times New Roman" w:hAnsi="Times New Roman"/>
          <w:szCs w:val="24"/>
        </w:rPr>
        <w:t>, like scholars of mood,</w:t>
      </w:r>
      <w:r w:rsidR="007011AB" w:rsidRPr="00485D97">
        <w:rPr>
          <w:rFonts w:ascii="Times New Roman" w:hAnsi="Times New Roman"/>
          <w:szCs w:val="24"/>
        </w:rPr>
        <w:t xml:space="preserve"> explore the </w:t>
      </w:r>
      <w:r w:rsidR="00E9451B" w:rsidRPr="00485D97">
        <w:rPr>
          <w:rFonts w:ascii="Times New Roman" w:hAnsi="Times New Roman"/>
          <w:szCs w:val="24"/>
        </w:rPr>
        <w:t xml:space="preserve">materiality of </w:t>
      </w:r>
      <w:r w:rsidR="00363186" w:rsidRPr="00485D97">
        <w:rPr>
          <w:rFonts w:ascii="Times New Roman" w:hAnsi="Times New Roman"/>
          <w:szCs w:val="24"/>
        </w:rPr>
        <w:t>textuality</w:t>
      </w:r>
      <w:r w:rsidR="00347269">
        <w:rPr>
          <w:rFonts w:ascii="Times New Roman" w:hAnsi="Times New Roman"/>
          <w:szCs w:val="24"/>
        </w:rPr>
        <w:t xml:space="preserve"> and</w:t>
      </w:r>
      <w:r w:rsidR="00420562" w:rsidRPr="00485D97">
        <w:rPr>
          <w:rFonts w:ascii="Times New Roman" w:hAnsi="Times New Roman"/>
          <w:szCs w:val="24"/>
        </w:rPr>
        <w:t xml:space="preserve"> ask wh</w:t>
      </w:r>
      <w:r w:rsidR="007F52A9">
        <w:rPr>
          <w:rFonts w:ascii="Times New Roman" w:hAnsi="Times New Roman"/>
          <w:szCs w:val="24"/>
        </w:rPr>
        <w:t>at role close reading might play</w:t>
      </w:r>
      <w:r w:rsidR="00420562" w:rsidRPr="00485D97">
        <w:rPr>
          <w:rFonts w:ascii="Times New Roman" w:hAnsi="Times New Roman"/>
          <w:szCs w:val="24"/>
        </w:rPr>
        <w:t xml:space="preserve"> in wider </w:t>
      </w:r>
      <w:r w:rsidR="00D60CEE" w:rsidRPr="00485D97">
        <w:rPr>
          <w:rFonts w:ascii="Times New Roman" w:hAnsi="Times New Roman"/>
          <w:szCs w:val="24"/>
        </w:rPr>
        <w:t>practices of</w:t>
      </w:r>
      <w:r w:rsidR="00420562" w:rsidRPr="00485D97">
        <w:rPr>
          <w:rFonts w:ascii="Times New Roman" w:hAnsi="Times New Roman"/>
          <w:szCs w:val="24"/>
        </w:rPr>
        <w:t xml:space="preserve"> social </w:t>
      </w:r>
      <w:r w:rsidR="00CB5E17">
        <w:rPr>
          <w:rFonts w:ascii="Times New Roman" w:hAnsi="Times New Roman"/>
          <w:szCs w:val="24"/>
        </w:rPr>
        <w:t xml:space="preserve">sustenance and </w:t>
      </w:r>
      <w:r w:rsidR="007B55D4">
        <w:rPr>
          <w:rFonts w:ascii="Times New Roman" w:hAnsi="Times New Roman"/>
          <w:szCs w:val="24"/>
        </w:rPr>
        <w:t xml:space="preserve">affective </w:t>
      </w:r>
      <w:r w:rsidR="00420562" w:rsidRPr="00485D97">
        <w:rPr>
          <w:rFonts w:ascii="Times New Roman" w:hAnsi="Times New Roman"/>
          <w:szCs w:val="24"/>
        </w:rPr>
        <w:t xml:space="preserve">transformation – practices that might diagnose and expose but also nurture and ameliorate, </w:t>
      </w:r>
      <w:r w:rsidR="00490372">
        <w:rPr>
          <w:rFonts w:ascii="Times New Roman" w:hAnsi="Times New Roman"/>
          <w:szCs w:val="24"/>
        </w:rPr>
        <w:t>that might cultivate</w:t>
      </w:r>
      <w:r w:rsidR="007B55D4">
        <w:rPr>
          <w:rFonts w:ascii="Times New Roman" w:hAnsi="Times New Roman"/>
          <w:szCs w:val="24"/>
        </w:rPr>
        <w:t xml:space="preserve"> ethical reflexes rather t</w:t>
      </w:r>
      <w:r w:rsidR="004A3528">
        <w:rPr>
          <w:rFonts w:ascii="Times New Roman" w:hAnsi="Times New Roman"/>
          <w:szCs w:val="24"/>
        </w:rPr>
        <w:t>han solidifying dominant habits, and that might reinvigorate our efforts to negotiate</w:t>
      </w:r>
      <w:r w:rsidR="004A3528" w:rsidRPr="00485D97">
        <w:rPr>
          <w:rFonts w:ascii="Times New Roman" w:hAnsi="Times New Roman"/>
          <w:szCs w:val="24"/>
        </w:rPr>
        <w:t xml:space="preserve"> the </w:t>
      </w:r>
      <w:r w:rsidR="00490372">
        <w:rPr>
          <w:rFonts w:ascii="Times New Roman" w:hAnsi="Times New Roman"/>
          <w:szCs w:val="24"/>
        </w:rPr>
        <w:t xml:space="preserve">affective </w:t>
      </w:r>
      <w:r w:rsidR="004A3528">
        <w:rPr>
          <w:rFonts w:ascii="Times New Roman" w:hAnsi="Times New Roman"/>
          <w:szCs w:val="24"/>
        </w:rPr>
        <w:t xml:space="preserve">complexities and contradictions </w:t>
      </w:r>
      <w:r w:rsidR="004A3528" w:rsidRPr="00485D97">
        <w:rPr>
          <w:rFonts w:ascii="Times New Roman" w:hAnsi="Times New Roman"/>
          <w:szCs w:val="24"/>
        </w:rPr>
        <w:t>of power in and through our writing</w:t>
      </w:r>
      <w:r w:rsidR="004A3528">
        <w:rPr>
          <w:rFonts w:ascii="Times New Roman" w:hAnsi="Times New Roman"/>
          <w:szCs w:val="24"/>
        </w:rPr>
        <w:t>.</w:t>
      </w:r>
      <w:r w:rsidR="004765AF">
        <w:rPr>
          <w:rFonts w:ascii="Times New Roman" w:hAnsi="Times New Roman"/>
          <w:szCs w:val="24"/>
        </w:rPr>
        <w:t xml:space="preserve"> </w:t>
      </w:r>
      <w:r w:rsidR="007B55D4">
        <w:rPr>
          <w:rFonts w:ascii="Times New Roman" w:hAnsi="Times New Roman"/>
          <w:szCs w:val="24"/>
        </w:rPr>
        <w:t xml:space="preserve">As I have discussed, both reparation and translation </w:t>
      </w:r>
      <w:r w:rsidR="00C850D8">
        <w:rPr>
          <w:rFonts w:ascii="Times New Roman" w:hAnsi="Times New Roman"/>
          <w:szCs w:val="24"/>
        </w:rPr>
        <w:t xml:space="preserve">offer </w:t>
      </w:r>
      <w:r w:rsidR="00F0718E">
        <w:rPr>
          <w:rFonts w:ascii="Times New Roman" w:hAnsi="Times New Roman"/>
          <w:szCs w:val="24"/>
        </w:rPr>
        <w:t xml:space="preserve">sensorial </w:t>
      </w:r>
      <w:r w:rsidR="00C850D8">
        <w:rPr>
          <w:rFonts w:ascii="Times New Roman" w:hAnsi="Times New Roman"/>
          <w:szCs w:val="24"/>
        </w:rPr>
        <w:t>modes of textual</w:t>
      </w:r>
      <w:r w:rsidR="004A3528">
        <w:rPr>
          <w:rFonts w:ascii="Times New Roman" w:hAnsi="Times New Roman"/>
          <w:szCs w:val="24"/>
        </w:rPr>
        <w:t xml:space="preserve"> engagement concerned with negotiating affective ambivalence</w:t>
      </w:r>
      <w:r w:rsidR="00684188">
        <w:rPr>
          <w:rFonts w:ascii="Times New Roman" w:hAnsi="Times New Roman"/>
          <w:szCs w:val="24"/>
        </w:rPr>
        <w:t xml:space="preserve"> </w:t>
      </w:r>
      <w:r w:rsidR="004A3528">
        <w:rPr>
          <w:rFonts w:ascii="Times New Roman" w:hAnsi="Times New Roman"/>
          <w:szCs w:val="24"/>
        </w:rPr>
        <w:t xml:space="preserve">in both intellectual </w:t>
      </w:r>
      <w:r w:rsidR="00684188">
        <w:rPr>
          <w:rFonts w:ascii="Times New Roman" w:hAnsi="Times New Roman"/>
          <w:szCs w:val="24"/>
        </w:rPr>
        <w:t>production and political life.</w:t>
      </w:r>
      <w:r w:rsidR="004765AF">
        <w:rPr>
          <w:rFonts w:ascii="Times New Roman" w:hAnsi="Times New Roman"/>
          <w:szCs w:val="24"/>
        </w:rPr>
        <w:t xml:space="preserve"> </w:t>
      </w:r>
      <w:r w:rsidR="00684188">
        <w:rPr>
          <w:rFonts w:ascii="Times New Roman" w:hAnsi="Times New Roman"/>
          <w:szCs w:val="24"/>
        </w:rPr>
        <w:t>Yet when reparation</w:t>
      </w:r>
      <w:r w:rsidR="00397414">
        <w:rPr>
          <w:rFonts w:ascii="Times New Roman" w:hAnsi="Times New Roman"/>
          <w:szCs w:val="24"/>
        </w:rPr>
        <w:t>, figured as an intellectual practice of love and nurturance,</w:t>
      </w:r>
      <w:r w:rsidR="00684188">
        <w:rPr>
          <w:rFonts w:ascii="Times New Roman" w:hAnsi="Times New Roman"/>
          <w:szCs w:val="24"/>
        </w:rPr>
        <w:t xml:space="preserve"> </w:t>
      </w:r>
      <w:r w:rsidR="00C850D8">
        <w:rPr>
          <w:rFonts w:ascii="Times New Roman" w:hAnsi="Times New Roman"/>
          <w:szCs w:val="24"/>
        </w:rPr>
        <w:t>congeals as a preferred</w:t>
      </w:r>
      <w:r w:rsidR="00397414">
        <w:rPr>
          <w:rFonts w:ascii="Times New Roman" w:hAnsi="Times New Roman"/>
          <w:szCs w:val="24"/>
        </w:rPr>
        <w:t xml:space="preserve"> way of ‘doing’ cultural theory</w:t>
      </w:r>
      <w:r w:rsidR="00C850D8">
        <w:rPr>
          <w:rFonts w:ascii="Times New Roman" w:hAnsi="Times New Roman"/>
          <w:szCs w:val="24"/>
        </w:rPr>
        <w:t xml:space="preserve">, </w:t>
      </w:r>
      <w:r w:rsidR="00397414">
        <w:rPr>
          <w:rFonts w:ascii="Times New Roman" w:hAnsi="Times New Roman"/>
          <w:szCs w:val="24"/>
        </w:rPr>
        <w:t xml:space="preserve">we may </w:t>
      </w:r>
      <w:r w:rsidR="006A4BF4">
        <w:rPr>
          <w:rFonts w:ascii="Times New Roman" w:hAnsi="Times New Roman"/>
          <w:szCs w:val="24"/>
        </w:rPr>
        <w:t xml:space="preserve">lose sight not only of </w:t>
      </w:r>
      <w:r w:rsidR="00397414">
        <w:rPr>
          <w:rFonts w:ascii="Times New Roman" w:hAnsi="Times New Roman"/>
          <w:szCs w:val="24"/>
        </w:rPr>
        <w:t>our ‘necessarily co</w:t>
      </w:r>
      <w:r w:rsidR="001F692C">
        <w:rPr>
          <w:rFonts w:ascii="Times New Roman" w:hAnsi="Times New Roman"/>
          <w:szCs w:val="24"/>
        </w:rPr>
        <w:t>nflicted relation</w:t>
      </w:r>
      <w:r w:rsidR="00065026">
        <w:rPr>
          <w:rFonts w:ascii="Times New Roman" w:hAnsi="Times New Roman"/>
          <w:szCs w:val="24"/>
        </w:rPr>
        <w:t xml:space="preserve"> to objects’</w:t>
      </w:r>
      <w:r w:rsidR="00065026">
        <w:rPr>
          <w:rStyle w:val="FootnoteReference"/>
          <w:rFonts w:ascii="Times New Roman" w:hAnsi="Times New Roman"/>
          <w:szCs w:val="24"/>
        </w:rPr>
        <w:footnoteReference w:id="83"/>
      </w:r>
      <w:r w:rsidR="00397414">
        <w:rPr>
          <w:rFonts w:ascii="Times New Roman" w:hAnsi="Times New Roman"/>
          <w:szCs w:val="24"/>
        </w:rPr>
        <w:t xml:space="preserve"> (including textual objects), but also the ways in which positions and moods may be resistant to our best intentions.</w:t>
      </w:r>
      <w:r w:rsidR="004765AF">
        <w:rPr>
          <w:rFonts w:ascii="Times New Roman" w:hAnsi="Times New Roman"/>
          <w:szCs w:val="24"/>
        </w:rPr>
        <w:t xml:space="preserve"> </w:t>
      </w:r>
      <w:r w:rsidR="00397414">
        <w:rPr>
          <w:rFonts w:ascii="Times New Roman" w:hAnsi="Times New Roman"/>
          <w:szCs w:val="24"/>
        </w:rPr>
        <w:t xml:space="preserve">Moreover, when reparation is upheld as a preferred alternative to paranoia </w:t>
      </w:r>
      <w:r w:rsidR="00FE1E4B">
        <w:rPr>
          <w:rFonts w:ascii="Times New Roman" w:hAnsi="Times New Roman"/>
          <w:szCs w:val="24"/>
        </w:rPr>
        <w:t>– a way</w:t>
      </w:r>
      <w:r w:rsidR="00397414">
        <w:rPr>
          <w:rFonts w:ascii="Times New Roman" w:hAnsi="Times New Roman"/>
          <w:szCs w:val="24"/>
        </w:rPr>
        <w:t xml:space="preserve"> out of the hermeneutics of suspicion – we </w:t>
      </w:r>
      <w:r w:rsidR="006A4BF4">
        <w:rPr>
          <w:rFonts w:ascii="Times New Roman" w:hAnsi="Times New Roman"/>
          <w:szCs w:val="24"/>
        </w:rPr>
        <w:t>may ignore or deny the affective double bind at the heart of critical theory, a bind which Sedgwick both acknowledged and performed in her own writing</w:t>
      </w:r>
      <w:r w:rsidR="00781739">
        <w:rPr>
          <w:rFonts w:ascii="Times New Roman" w:hAnsi="Times New Roman"/>
          <w:szCs w:val="24"/>
        </w:rPr>
        <w:t>.</w:t>
      </w:r>
      <w:r w:rsidR="004765AF">
        <w:rPr>
          <w:rFonts w:ascii="Times New Roman" w:hAnsi="Times New Roman"/>
          <w:szCs w:val="24"/>
        </w:rPr>
        <w:t xml:space="preserve"> </w:t>
      </w:r>
      <w:r w:rsidR="00781739">
        <w:rPr>
          <w:rFonts w:ascii="Times New Roman" w:hAnsi="Times New Roman"/>
          <w:szCs w:val="24"/>
        </w:rPr>
        <w:t>As a mode of interpretation attuned to affective nuance and complexity, and one that proceeds in awareness of its own impossibility, translation is, within Spivak’s framework, precisely about inhabiting the double bind.</w:t>
      </w:r>
      <w:r w:rsidR="004765AF">
        <w:rPr>
          <w:rFonts w:ascii="Times New Roman" w:hAnsi="Times New Roman"/>
          <w:szCs w:val="24"/>
        </w:rPr>
        <w:t xml:space="preserve"> </w:t>
      </w:r>
      <w:r w:rsidR="00C01024">
        <w:rPr>
          <w:rFonts w:ascii="Times New Roman" w:hAnsi="Times New Roman"/>
          <w:szCs w:val="24"/>
        </w:rPr>
        <w:t>Although t</w:t>
      </w:r>
      <w:r w:rsidR="00781739">
        <w:rPr>
          <w:rFonts w:ascii="Times New Roman" w:hAnsi="Times New Roman"/>
          <w:szCs w:val="24"/>
        </w:rPr>
        <w:t>ranslation also figures</w:t>
      </w:r>
      <w:r w:rsidR="00F0718E">
        <w:rPr>
          <w:rFonts w:ascii="Times New Roman" w:hAnsi="Times New Roman"/>
          <w:szCs w:val="24"/>
        </w:rPr>
        <w:t xml:space="preserve"> love as </w:t>
      </w:r>
      <w:r w:rsidR="00E3789E">
        <w:rPr>
          <w:rFonts w:ascii="Times New Roman" w:hAnsi="Times New Roman"/>
          <w:szCs w:val="24"/>
        </w:rPr>
        <w:t>vital</w:t>
      </w:r>
      <w:r w:rsidR="00C01024">
        <w:rPr>
          <w:rFonts w:ascii="Times New Roman" w:hAnsi="Times New Roman"/>
          <w:szCs w:val="24"/>
        </w:rPr>
        <w:t xml:space="preserve"> to </w:t>
      </w:r>
      <w:r w:rsidR="00E3789E">
        <w:rPr>
          <w:rFonts w:ascii="Times New Roman" w:hAnsi="Times New Roman"/>
          <w:szCs w:val="24"/>
        </w:rPr>
        <w:t xml:space="preserve">ethical </w:t>
      </w:r>
      <w:r w:rsidR="00C01024">
        <w:rPr>
          <w:rFonts w:ascii="Times New Roman" w:hAnsi="Times New Roman"/>
          <w:szCs w:val="24"/>
        </w:rPr>
        <w:t>cultural analysis, it</w:t>
      </w:r>
      <w:r w:rsidR="00F0718E">
        <w:rPr>
          <w:rFonts w:ascii="Times New Roman" w:hAnsi="Times New Roman"/>
          <w:szCs w:val="24"/>
        </w:rPr>
        <w:t xml:space="preserve"> associates love less with psychic repair than with surrender –</w:t>
      </w:r>
      <w:r w:rsidR="00B60D7A">
        <w:rPr>
          <w:rFonts w:ascii="Times New Roman" w:hAnsi="Times New Roman"/>
          <w:szCs w:val="24"/>
        </w:rPr>
        <w:t xml:space="preserve"> an opening of the self to the particular rhetorical call of a text, to the affective qualities of textuality that may exceed language.</w:t>
      </w:r>
      <w:r w:rsidR="004765AF">
        <w:rPr>
          <w:rFonts w:ascii="Times New Roman" w:hAnsi="Times New Roman"/>
          <w:szCs w:val="24"/>
        </w:rPr>
        <w:t xml:space="preserve"> </w:t>
      </w:r>
      <w:r w:rsidR="005C1E35">
        <w:rPr>
          <w:rFonts w:ascii="Times New Roman" w:hAnsi="Times New Roman"/>
          <w:szCs w:val="24"/>
        </w:rPr>
        <w:t>As such, it compels us to hesitate in response to the impetus to repair - to sit w</w:t>
      </w:r>
      <w:r w:rsidR="003141D3">
        <w:rPr>
          <w:rFonts w:ascii="Times New Roman" w:hAnsi="Times New Roman"/>
          <w:szCs w:val="24"/>
        </w:rPr>
        <w:t>ith ambivalence a little longer, to reflect on the complexity of ‘our</w:t>
      </w:r>
      <w:r w:rsidR="00620EAC">
        <w:rPr>
          <w:rFonts w:ascii="Times New Roman" w:hAnsi="Times New Roman"/>
          <w:szCs w:val="24"/>
        </w:rPr>
        <w:t xml:space="preserve">’ moods and those of our texts, to feel the </w:t>
      </w:r>
      <w:r w:rsidR="00E3789E">
        <w:rPr>
          <w:rFonts w:ascii="Times New Roman" w:hAnsi="Times New Roman"/>
          <w:szCs w:val="24"/>
        </w:rPr>
        <w:t xml:space="preserve">often conflicted </w:t>
      </w:r>
      <w:r w:rsidR="00620EAC">
        <w:rPr>
          <w:rFonts w:ascii="Times New Roman" w:hAnsi="Times New Roman"/>
          <w:szCs w:val="24"/>
        </w:rPr>
        <w:t>relations between affective attunement, k</w:t>
      </w:r>
      <w:r w:rsidR="00781739">
        <w:rPr>
          <w:rFonts w:ascii="Times New Roman" w:hAnsi="Times New Roman"/>
          <w:szCs w:val="24"/>
        </w:rPr>
        <w:t>nowledge and power.</w:t>
      </w:r>
      <w:r w:rsidR="004765AF">
        <w:rPr>
          <w:rFonts w:ascii="Times New Roman" w:hAnsi="Times New Roman"/>
          <w:szCs w:val="24"/>
        </w:rPr>
        <w:t xml:space="preserve"> </w:t>
      </w:r>
      <w:r w:rsidR="00C01024">
        <w:rPr>
          <w:rFonts w:ascii="Times New Roman" w:hAnsi="Times New Roman"/>
          <w:szCs w:val="24"/>
        </w:rPr>
        <w:t>For both Sedgwick and Spivak, I would argue, i</w:t>
      </w:r>
      <w:r w:rsidR="00781739">
        <w:rPr>
          <w:rFonts w:ascii="Times New Roman" w:hAnsi="Times New Roman"/>
          <w:szCs w:val="24"/>
        </w:rPr>
        <w:t xml:space="preserve">t is </w:t>
      </w:r>
      <w:r w:rsidR="00E3789E">
        <w:rPr>
          <w:rFonts w:ascii="Times New Roman" w:hAnsi="Times New Roman"/>
          <w:szCs w:val="24"/>
        </w:rPr>
        <w:t xml:space="preserve">through </w:t>
      </w:r>
      <w:r w:rsidR="00781739">
        <w:rPr>
          <w:rFonts w:ascii="Times New Roman" w:hAnsi="Times New Roman"/>
          <w:szCs w:val="24"/>
        </w:rPr>
        <w:t xml:space="preserve">this </w:t>
      </w:r>
      <w:r w:rsidR="00E3789E">
        <w:rPr>
          <w:rFonts w:ascii="Times New Roman" w:hAnsi="Times New Roman"/>
          <w:szCs w:val="24"/>
        </w:rPr>
        <w:t xml:space="preserve">kind of </w:t>
      </w:r>
      <w:r w:rsidR="00781739">
        <w:rPr>
          <w:rFonts w:ascii="Times New Roman" w:hAnsi="Times New Roman"/>
          <w:szCs w:val="24"/>
        </w:rPr>
        <w:t xml:space="preserve">mood work </w:t>
      </w:r>
      <w:r w:rsidR="00620EAC">
        <w:rPr>
          <w:rFonts w:ascii="Times New Roman" w:hAnsi="Times New Roman"/>
          <w:szCs w:val="24"/>
        </w:rPr>
        <w:t xml:space="preserve">that </w:t>
      </w:r>
      <w:r w:rsidR="00E3789E">
        <w:rPr>
          <w:rFonts w:ascii="Times New Roman" w:hAnsi="Times New Roman"/>
          <w:szCs w:val="24"/>
        </w:rPr>
        <w:t xml:space="preserve">we </w:t>
      </w:r>
      <w:r w:rsidR="00620EAC">
        <w:rPr>
          <w:rFonts w:ascii="Times New Roman" w:hAnsi="Times New Roman"/>
          <w:szCs w:val="24"/>
        </w:rPr>
        <w:t>might continue to cultivate our imaginative abilities to negotiate the contradictions of contemporary power relations, in all their cultural, economic and psycho-social complexity.</w:t>
      </w:r>
      <w:r w:rsidR="004765AF">
        <w:rPr>
          <w:rFonts w:ascii="Times New Roman" w:hAnsi="Times New Roman"/>
          <w:szCs w:val="24"/>
        </w:rPr>
        <w:t xml:space="preserve"> </w:t>
      </w:r>
    </w:p>
    <w:p w14:paraId="0F174B6E" w14:textId="516FD4A5" w:rsidR="00C850D8" w:rsidRDefault="00C850D8" w:rsidP="00F504EB">
      <w:pPr>
        <w:pStyle w:val="FreeFormA"/>
        <w:rPr>
          <w:rFonts w:ascii="Times New Roman" w:hAnsi="Times New Roman"/>
          <w:szCs w:val="24"/>
        </w:rPr>
      </w:pPr>
    </w:p>
    <w:p w14:paraId="16D17D88" w14:textId="3662139A" w:rsidR="005C2FD7" w:rsidRPr="009D75F2" w:rsidRDefault="005C2FD7" w:rsidP="005C2FD7">
      <w:pPr>
        <w:pStyle w:val="FootnoteText"/>
      </w:pPr>
      <w:r>
        <w:t>ACKNOLEDGEMENTS</w:t>
      </w:r>
    </w:p>
    <w:p w14:paraId="3ACD9863" w14:textId="77777777" w:rsidR="00542669" w:rsidRDefault="00542669" w:rsidP="00F504EB"/>
    <w:p w14:paraId="6B96C918" w14:textId="6E54E4AD" w:rsidR="005C2FD7" w:rsidRPr="005475B6" w:rsidRDefault="005C2FD7" w:rsidP="00F504EB">
      <w:r>
        <w:t xml:space="preserve">My sincere thanks go to Ben Highmore for his careful reading and incisive and thoughtful feedback, which no doubt made for a stronger piece. Thanks also to Rebecca Coleman, who read an earlier version of the article and provided extremely helpful comments.  I would also like to acknowledge Robyn Wiegman, Jackie Stacey, Gail Lewis and Clare Hemmings, whose special section in </w:t>
      </w:r>
      <w:r w:rsidRPr="005C2FD7">
        <w:rPr>
          <w:i/>
        </w:rPr>
        <w:t>Feminist Theory</w:t>
      </w:r>
      <w:r>
        <w:t xml:space="preserve">, </w:t>
      </w:r>
      <w:r w:rsidRPr="005C2FD7">
        <w:t>‘</w:t>
      </w:r>
      <w:r w:rsidRPr="005C2FD7">
        <w:rPr>
          <w:rFonts w:eastAsiaTheme="minorEastAsia"/>
          <w:bCs/>
          <w:color w:val="302B2B"/>
          <w:lang w:val="en-US"/>
        </w:rPr>
        <w:t>The time of reparation: In dialogue with Robyn Wiegman’</w:t>
      </w:r>
      <w:r>
        <w:rPr>
          <w:rFonts w:eastAsiaTheme="minorEastAsia"/>
          <w:bCs/>
          <w:color w:val="302B2B"/>
          <w:lang w:val="en-US"/>
        </w:rPr>
        <w:t xml:space="preserve"> (April, 2014)</w:t>
      </w:r>
      <w:r w:rsidRPr="005C2FD7">
        <w:rPr>
          <w:rFonts w:eastAsiaTheme="minorEastAsia"/>
          <w:bCs/>
          <w:color w:val="302B2B"/>
          <w:lang w:val="en-US"/>
        </w:rPr>
        <w:t>,</w:t>
      </w:r>
      <w:r>
        <w:rPr>
          <w:rFonts w:ascii="Arial" w:eastAsiaTheme="minorEastAsia" w:hAnsi="Arial" w:cs="Arial"/>
          <w:b/>
          <w:bCs/>
          <w:color w:val="302B2B"/>
          <w:sz w:val="28"/>
          <w:szCs w:val="28"/>
          <w:lang w:val="en-US"/>
        </w:rPr>
        <w:t xml:space="preserve"> </w:t>
      </w:r>
      <w:r>
        <w:rPr>
          <w:rFonts w:eastAsiaTheme="minorEastAsia"/>
          <w:bCs/>
          <w:color w:val="302B2B"/>
          <w:lang w:val="en-US"/>
        </w:rPr>
        <w:t xml:space="preserve">provided inspiration and theoretical grounding for </w:t>
      </w:r>
      <w:r w:rsidR="00EF4AC1">
        <w:rPr>
          <w:rFonts w:eastAsiaTheme="minorEastAsia"/>
          <w:bCs/>
          <w:color w:val="302B2B"/>
          <w:lang w:val="en-US"/>
        </w:rPr>
        <w:t xml:space="preserve">the </w:t>
      </w:r>
      <w:r>
        <w:rPr>
          <w:rFonts w:eastAsiaTheme="minorEastAsia"/>
          <w:bCs/>
          <w:color w:val="302B2B"/>
          <w:lang w:val="en-US"/>
        </w:rPr>
        <w:t xml:space="preserve">article. </w:t>
      </w:r>
      <w:r>
        <w:t xml:space="preserve"> </w:t>
      </w:r>
    </w:p>
    <w:sectPr w:rsidR="005C2FD7" w:rsidRPr="005475B6" w:rsidSect="00E822B5">
      <w:footerReference w:type="even" r:id="rId8"/>
      <w:footerReference w:type="default" r:id="rId9"/>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D3B9F" w14:textId="77777777" w:rsidR="005C2FD7" w:rsidRDefault="005C2FD7" w:rsidP="00AC5904">
      <w:r>
        <w:separator/>
      </w:r>
    </w:p>
  </w:endnote>
  <w:endnote w:type="continuationSeparator" w:id="0">
    <w:p w14:paraId="1F390D8A" w14:textId="77777777" w:rsidR="005C2FD7" w:rsidRDefault="005C2FD7" w:rsidP="00AC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D9E3" w14:textId="77777777" w:rsidR="005C2FD7" w:rsidRDefault="005C2FD7" w:rsidP="006977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47DD8A" w14:textId="77777777" w:rsidR="005C2FD7" w:rsidRDefault="005C2FD7" w:rsidP="006977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A2098" w14:textId="77777777" w:rsidR="005C2FD7" w:rsidRDefault="005C2FD7" w:rsidP="006977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7DE7">
      <w:rPr>
        <w:rStyle w:val="PageNumber"/>
        <w:noProof/>
      </w:rPr>
      <w:t>1</w:t>
    </w:r>
    <w:r>
      <w:rPr>
        <w:rStyle w:val="PageNumber"/>
      </w:rPr>
      <w:fldChar w:fldCharType="end"/>
    </w:r>
  </w:p>
  <w:p w14:paraId="681CAE5D" w14:textId="77777777" w:rsidR="005C2FD7" w:rsidRDefault="005C2FD7" w:rsidP="006977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B06C0" w14:textId="77777777" w:rsidR="005C2FD7" w:rsidRDefault="005C2FD7" w:rsidP="00AC5904">
      <w:r>
        <w:separator/>
      </w:r>
    </w:p>
  </w:footnote>
  <w:footnote w:type="continuationSeparator" w:id="0">
    <w:p w14:paraId="760E7EB9" w14:textId="77777777" w:rsidR="005C2FD7" w:rsidRDefault="005C2FD7" w:rsidP="00AC5904">
      <w:r>
        <w:continuationSeparator/>
      </w:r>
    </w:p>
  </w:footnote>
  <w:footnote w:id="1">
    <w:p w14:paraId="1957C0CC" w14:textId="30BC972B" w:rsidR="005C2FD7" w:rsidRPr="002B4B00" w:rsidRDefault="005C2FD7" w:rsidP="002B4B00">
      <w:pPr>
        <w:widowControl w:val="0"/>
        <w:autoSpaceDE w:val="0"/>
        <w:autoSpaceDN w:val="0"/>
        <w:adjustRightInd w:val="0"/>
        <w:rPr>
          <w:sz w:val="20"/>
          <w:szCs w:val="20"/>
        </w:rPr>
      </w:pPr>
      <w:r w:rsidRPr="002B4B00">
        <w:rPr>
          <w:rStyle w:val="FootnoteReference"/>
          <w:sz w:val="20"/>
          <w:szCs w:val="20"/>
        </w:rPr>
        <w:footnoteRef/>
      </w:r>
      <w:r w:rsidRPr="002B4B00">
        <w:rPr>
          <w:sz w:val="20"/>
          <w:szCs w:val="20"/>
        </w:rPr>
        <w:t xml:space="preserve"> </w:t>
      </w:r>
      <w:r>
        <w:rPr>
          <w:sz w:val="20"/>
          <w:szCs w:val="20"/>
        </w:rPr>
        <w:t xml:space="preserve">Monica </w:t>
      </w:r>
      <w:r w:rsidRPr="002B4B00">
        <w:rPr>
          <w:sz w:val="20"/>
          <w:szCs w:val="20"/>
        </w:rPr>
        <w:t xml:space="preserve">Greco and </w:t>
      </w:r>
      <w:r>
        <w:rPr>
          <w:sz w:val="20"/>
          <w:szCs w:val="20"/>
        </w:rPr>
        <w:t xml:space="preserve">Paul </w:t>
      </w:r>
      <w:r w:rsidRPr="002B4B00">
        <w:rPr>
          <w:sz w:val="20"/>
          <w:szCs w:val="20"/>
        </w:rPr>
        <w:t xml:space="preserve">Stenner, </w:t>
      </w:r>
      <w:r>
        <w:rPr>
          <w:sz w:val="20"/>
          <w:szCs w:val="20"/>
        </w:rPr>
        <w:t xml:space="preserve">‘Introduction’ in M. Greco and P. Stenner (eds.), </w:t>
      </w:r>
      <w:r w:rsidRPr="006914F6">
        <w:rPr>
          <w:i/>
          <w:sz w:val="20"/>
          <w:szCs w:val="20"/>
        </w:rPr>
        <w:t>Emotions: A Social Science Reader</w:t>
      </w:r>
      <w:r>
        <w:rPr>
          <w:sz w:val="20"/>
          <w:szCs w:val="20"/>
        </w:rPr>
        <w:t xml:space="preserve">, London, Routledge, 2008, p9; see also Carolyn Pedwell and Anne Whitehead, ‘Introduction: Affecting Feminism: Questions of Feeling in Feminist Theory’, </w:t>
      </w:r>
      <w:r w:rsidRPr="00785F27">
        <w:rPr>
          <w:i/>
          <w:sz w:val="20"/>
          <w:szCs w:val="20"/>
        </w:rPr>
        <w:t>Feminist Theory</w:t>
      </w:r>
      <w:r>
        <w:rPr>
          <w:sz w:val="20"/>
          <w:szCs w:val="20"/>
        </w:rPr>
        <w:t xml:space="preserve">, 13, 2 (2012): 1-15. </w:t>
      </w:r>
    </w:p>
  </w:footnote>
  <w:footnote w:id="2">
    <w:p w14:paraId="747D83C9" w14:textId="3857E49D" w:rsidR="005C2FD7" w:rsidRPr="00AF60C2" w:rsidRDefault="005C2FD7" w:rsidP="002B4B00">
      <w:pPr>
        <w:pStyle w:val="FootnoteText"/>
        <w:rPr>
          <w:sz w:val="20"/>
          <w:szCs w:val="20"/>
          <w:lang w:val="en-US"/>
        </w:rPr>
      </w:pPr>
      <w:r w:rsidRPr="00AF60C2">
        <w:rPr>
          <w:rStyle w:val="FootnoteReference"/>
          <w:sz w:val="20"/>
          <w:szCs w:val="20"/>
        </w:rPr>
        <w:footnoteRef/>
      </w:r>
      <w:r w:rsidRPr="00AF60C2">
        <w:rPr>
          <w:sz w:val="20"/>
          <w:szCs w:val="20"/>
        </w:rPr>
        <w:t xml:space="preserve"> Jackie Stacey, ‘Wishing Away Ambivalence’, </w:t>
      </w:r>
      <w:r w:rsidRPr="00AF60C2">
        <w:rPr>
          <w:i/>
          <w:sz w:val="20"/>
          <w:szCs w:val="20"/>
        </w:rPr>
        <w:t>Feminist Theory</w:t>
      </w:r>
      <w:r>
        <w:rPr>
          <w:sz w:val="20"/>
          <w:szCs w:val="20"/>
        </w:rPr>
        <w:t>, 15, 1 (2014): 39-49</w:t>
      </w:r>
      <w:r w:rsidRPr="00AF60C2">
        <w:rPr>
          <w:sz w:val="20"/>
          <w:szCs w:val="20"/>
        </w:rPr>
        <w:t>.</w:t>
      </w:r>
    </w:p>
  </w:footnote>
  <w:footnote w:id="3">
    <w:p w14:paraId="347891D8" w14:textId="77777777" w:rsidR="005C2FD7" w:rsidRPr="00AF60C2" w:rsidRDefault="005C2FD7" w:rsidP="00E963FE">
      <w:pPr>
        <w:pStyle w:val="FootnoteText"/>
        <w:rPr>
          <w:lang w:val="en-US"/>
        </w:rPr>
      </w:pPr>
      <w:r w:rsidRPr="00AF60C2">
        <w:rPr>
          <w:rStyle w:val="FootnoteReference"/>
          <w:sz w:val="20"/>
          <w:szCs w:val="20"/>
        </w:rPr>
        <w:footnoteRef/>
      </w:r>
      <w:r w:rsidRPr="00AF60C2">
        <w:rPr>
          <w:sz w:val="20"/>
          <w:szCs w:val="20"/>
        </w:rPr>
        <w:t xml:space="preserve"> </w:t>
      </w:r>
      <w:r w:rsidRPr="00AF60C2">
        <w:rPr>
          <w:sz w:val="20"/>
          <w:szCs w:val="20"/>
          <w:lang w:val="en-US"/>
        </w:rPr>
        <w:t xml:space="preserve">Brian Massumi, </w:t>
      </w:r>
      <w:r w:rsidRPr="00AF60C2">
        <w:rPr>
          <w:i/>
          <w:sz w:val="20"/>
          <w:szCs w:val="20"/>
          <w:lang w:val="en-US"/>
        </w:rPr>
        <w:t>Parables for the Virtual,</w:t>
      </w:r>
      <w:r w:rsidRPr="00AF60C2">
        <w:rPr>
          <w:sz w:val="20"/>
          <w:szCs w:val="20"/>
          <w:lang w:val="en-US"/>
        </w:rPr>
        <w:t xml:space="preserve"> Durham and London, Duke University Press, 2002.</w:t>
      </w:r>
      <w:r>
        <w:rPr>
          <w:lang w:val="en-US"/>
        </w:rPr>
        <w:t xml:space="preserve"> </w:t>
      </w:r>
    </w:p>
  </w:footnote>
  <w:footnote w:id="4">
    <w:p w14:paraId="790D1C04" w14:textId="6D0C2D3A" w:rsidR="005C2FD7" w:rsidRPr="002B4B00" w:rsidRDefault="005C2FD7" w:rsidP="002A4CEB">
      <w:pPr>
        <w:pStyle w:val="FootnoteText"/>
        <w:rPr>
          <w:lang w:val="en-US"/>
        </w:rPr>
      </w:pPr>
      <w:r w:rsidRPr="002B4B00">
        <w:rPr>
          <w:rStyle w:val="FootnoteReference"/>
          <w:sz w:val="20"/>
          <w:szCs w:val="20"/>
        </w:rPr>
        <w:footnoteRef/>
      </w:r>
      <w:r w:rsidRPr="002B4B00">
        <w:rPr>
          <w:sz w:val="20"/>
          <w:szCs w:val="20"/>
        </w:rPr>
        <w:t xml:space="preserve"> </w:t>
      </w:r>
      <w:r>
        <w:rPr>
          <w:sz w:val="20"/>
          <w:szCs w:val="20"/>
        </w:rPr>
        <w:t xml:space="preserve">Diana </w:t>
      </w:r>
      <w:r w:rsidRPr="002B4B00">
        <w:rPr>
          <w:sz w:val="20"/>
          <w:szCs w:val="20"/>
        </w:rPr>
        <w:t xml:space="preserve">Coole and </w:t>
      </w:r>
      <w:r>
        <w:rPr>
          <w:sz w:val="20"/>
          <w:szCs w:val="20"/>
        </w:rPr>
        <w:t xml:space="preserve">Samantha </w:t>
      </w:r>
      <w:r w:rsidRPr="002B4B00">
        <w:rPr>
          <w:sz w:val="20"/>
          <w:szCs w:val="20"/>
        </w:rPr>
        <w:t>Frost,</w:t>
      </w:r>
      <w:r>
        <w:rPr>
          <w:sz w:val="20"/>
          <w:szCs w:val="20"/>
        </w:rPr>
        <w:t xml:space="preserve"> ‘Introducing New Materialisms’ in D. Cool and S. Frost (eds.), </w:t>
      </w:r>
      <w:r w:rsidRPr="00AF60C2">
        <w:rPr>
          <w:i/>
          <w:sz w:val="20"/>
          <w:szCs w:val="20"/>
        </w:rPr>
        <w:t>New Materialisms: Ontology, Agency, Politics</w:t>
      </w:r>
      <w:r>
        <w:rPr>
          <w:sz w:val="20"/>
          <w:szCs w:val="20"/>
        </w:rPr>
        <w:t>, Durham and London, Duke University Press, 2010, pp6 and</w:t>
      </w:r>
      <w:r w:rsidRPr="002B4B00">
        <w:rPr>
          <w:sz w:val="20"/>
          <w:szCs w:val="20"/>
        </w:rPr>
        <w:t xml:space="preserve"> 2.</w:t>
      </w:r>
    </w:p>
  </w:footnote>
  <w:footnote w:id="5">
    <w:p w14:paraId="099C47D6" w14:textId="54C57915" w:rsidR="005C2FD7" w:rsidRPr="002B4B00" w:rsidRDefault="005C2FD7">
      <w:pPr>
        <w:pStyle w:val="FootnoteText"/>
        <w:rPr>
          <w:sz w:val="20"/>
          <w:szCs w:val="20"/>
          <w:lang w:val="en-US"/>
        </w:rPr>
      </w:pPr>
      <w:r w:rsidRPr="002B4B00">
        <w:rPr>
          <w:rStyle w:val="FootnoteReference"/>
          <w:sz w:val="20"/>
          <w:szCs w:val="20"/>
        </w:rPr>
        <w:footnoteRef/>
      </w:r>
      <w:r w:rsidRPr="002B4B00">
        <w:rPr>
          <w:sz w:val="20"/>
          <w:szCs w:val="20"/>
        </w:rPr>
        <w:t xml:space="preserve"> </w:t>
      </w:r>
      <w:r w:rsidRPr="00FA1599">
        <w:rPr>
          <w:sz w:val="20"/>
          <w:szCs w:val="20"/>
        </w:rPr>
        <w:t>Eve Kosofsky</w:t>
      </w:r>
      <w:r>
        <w:rPr>
          <w:sz w:val="20"/>
          <w:szCs w:val="20"/>
        </w:rPr>
        <w:t xml:space="preserve"> </w:t>
      </w:r>
      <w:r w:rsidRPr="002B4B00">
        <w:rPr>
          <w:sz w:val="20"/>
          <w:szCs w:val="20"/>
        </w:rPr>
        <w:t xml:space="preserve">Sedgwick, </w:t>
      </w:r>
      <w:r>
        <w:rPr>
          <w:sz w:val="20"/>
          <w:szCs w:val="20"/>
        </w:rPr>
        <w:t xml:space="preserve">‘Introduction: Queerer Than Fiction’, </w:t>
      </w:r>
      <w:r w:rsidRPr="00AF60C2">
        <w:rPr>
          <w:i/>
          <w:sz w:val="20"/>
          <w:szCs w:val="20"/>
        </w:rPr>
        <w:t>Studies in the Novel</w:t>
      </w:r>
      <w:r w:rsidR="00CD70C8">
        <w:rPr>
          <w:sz w:val="20"/>
          <w:szCs w:val="20"/>
        </w:rPr>
        <w:t>, 28, 3 (1996), pp277-</w:t>
      </w:r>
      <w:r>
        <w:rPr>
          <w:sz w:val="20"/>
          <w:szCs w:val="20"/>
        </w:rPr>
        <w:t xml:space="preserve">80; </w:t>
      </w:r>
      <w:r w:rsidRPr="00FA1599">
        <w:rPr>
          <w:sz w:val="20"/>
          <w:szCs w:val="20"/>
        </w:rPr>
        <w:t>Eve Kosofsky</w:t>
      </w:r>
      <w:r>
        <w:rPr>
          <w:sz w:val="20"/>
          <w:szCs w:val="20"/>
        </w:rPr>
        <w:t xml:space="preserve"> Sedgwick, ‘Paranoid Reading and Reparative Reading: or, You’re So Paranoid You Probably Think This Introduction is About You’, in E. Sedgwick (ed.), </w:t>
      </w:r>
      <w:r w:rsidRPr="008C29EF">
        <w:rPr>
          <w:i/>
          <w:sz w:val="20"/>
          <w:szCs w:val="20"/>
        </w:rPr>
        <w:t>Novel Gazing: Queer Readings in Fiction</w:t>
      </w:r>
      <w:r>
        <w:rPr>
          <w:sz w:val="20"/>
          <w:szCs w:val="20"/>
        </w:rPr>
        <w:t xml:space="preserve">, Durham and London, Duke University Press, </w:t>
      </w:r>
      <w:r w:rsidRPr="002B4B00">
        <w:rPr>
          <w:sz w:val="20"/>
          <w:szCs w:val="20"/>
        </w:rPr>
        <w:t>1997,</w:t>
      </w:r>
      <w:r>
        <w:rPr>
          <w:sz w:val="20"/>
          <w:szCs w:val="20"/>
        </w:rPr>
        <w:t xml:space="preserve"> pp1-37; </w:t>
      </w:r>
      <w:r w:rsidRPr="00FA1599">
        <w:rPr>
          <w:sz w:val="20"/>
          <w:szCs w:val="20"/>
        </w:rPr>
        <w:t>Eve Kosofsky</w:t>
      </w:r>
      <w:r>
        <w:rPr>
          <w:sz w:val="20"/>
          <w:szCs w:val="20"/>
        </w:rPr>
        <w:t xml:space="preserve"> Sedgwick, </w:t>
      </w:r>
      <w:r w:rsidRPr="008C29EF">
        <w:rPr>
          <w:i/>
          <w:sz w:val="20"/>
          <w:szCs w:val="20"/>
        </w:rPr>
        <w:t>Touching Feeling: Affect, Pedagogy, Performativity</w:t>
      </w:r>
      <w:r>
        <w:rPr>
          <w:sz w:val="20"/>
          <w:szCs w:val="20"/>
        </w:rPr>
        <w:t xml:space="preserve">, Durham and London, Duke University Press, </w:t>
      </w:r>
      <w:r w:rsidRPr="002B4B00">
        <w:rPr>
          <w:sz w:val="20"/>
          <w:szCs w:val="20"/>
        </w:rPr>
        <w:t>2003.</w:t>
      </w:r>
    </w:p>
  </w:footnote>
  <w:footnote w:id="6">
    <w:p w14:paraId="485C9415" w14:textId="1C9D2084" w:rsidR="005C2FD7" w:rsidRPr="002B4B00" w:rsidRDefault="005C2FD7">
      <w:pPr>
        <w:pStyle w:val="FootnoteText"/>
        <w:rPr>
          <w:sz w:val="20"/>
          <w:szCs w:val="20"/>
          <w:lang w:val="en-US"/>
        </w:rPr>
      </w:pPr>
      <w:r w:rsidRPr="002B4B00">
        <w:rPr>
          <w:rStyle w:val="FootnoteReference"/>
          <w:sz w:val="20"/>
          <w:szCs w:val="20"/>
        </w:rPr>
        <w:footnoteRef/>
      </w:r>
      <w:r w:rsidRPr="002B4B00">
        <w:rPr>
          <w:sz w:val="20"/>
          <w:szCs w:val="20"/>
        </w:rPr>
        <w:t xml:space="preserve"> </w:t>
      </w:r>
      <w:r>
        <w:rPr>
          <w:sz w:val="20"/>
          <w:szCs w:val="20"/>
        </w:rPr>
        <w:t xml:space="preserve">Rita </w:t>
      </w:r>
      <w:r w:rsidRPr="002B4B00">
        <w:rPr>
          <w:sz w:val="20"/>
          <w:szCs w:val="20"/>
        </w:rPr>
        <w:t xml:space="preserve">Felski and </w:t>
      </w:r>
      <w:r>
        <w:rPr>
          <w:sz w:val="20"/>
          <w:szCs w:val="20"/>
        </w:rPr>
        <w:t xml:space="preserve">Susan </w:t>
      </w:r>
      <w:r w:rsidRPr="002B4B00">
        <w:rPr>
          <w:sz w:val="20"/>
          <w:szCs w:val="20"/>
        </w:rPr>
        <w:t>Fraiman,</w:t>
      </w:r>
      <w:r>
        <w:rPr>
          <w:sz w:val="20"/>
          <w:szCs w:val="20"/>
        </w:rPr>
        <w:t xml:space="preserve"> ‘Introduction’, </w:t>
      </w:r>
      <w:r w:rsidRPr="00BD52EF">
        <w:rPr>
          <w:i/>
          <w:sz w:val="20"/>
          <w:szCs w:val="20"/>
        </w:rPr>
        <w:t>New Literary History</w:t>
      </w:r>
      <w:r>
        <w:rPr>
          <w:sz w:val="20"/>
          <w:szCs w:val="20"/>
        </w:rPr>
        <w:t>, 43, 3 (2012), p</w:t>
      </w:r>
      <w:r w:rsidRPr="002B4B00">
        <w:rPr>
          <w:sz w:val="20"/>
          <w:szCs w:val="20"/>
        </w:rPr>
        <w:t>vi.</w:t>
      </w:r>
    </w:p>
  </w:footnote>
  <w:footnote w:id="7">
    <w:p w14:paraId="5D697EFB" w14:textId="41BB74C0" w:rsidR="005C2FD7" w:rsidRPr="002B4B00" w:rsidRDefault="005C2FD7">
      <w:pPr>
        <w:pStyle w:val="FootnoteText"/>
        <w:rPr>
          <w:sz w:val="20"/>
          <w:szCs w:val="20"/>
          <w:lang w:val="en-US"/>
        </w:rPr>
      </w:pPr>
      <w:r w:rsidRPr="002B4B00">
        <w:rPr>
          <w:rStyle w:val="FootnoteReference"/>
          <w:sz w:val="20"/>
          <w:szCs w:val="20"/>
        </w:rPr>
        <w:footnoteRef/>
      </w:r>
      <w:r>
        <w:rPr>
          <w:sz w:val="20"/>
          <w:szCs w:val="20"/>
        </w:rPr>
        <w:t xml:space="preserve"> Ibid.</w:t>
      </w:r>
    </w:p>
  </w:footnote>
  <w:footnote w:id="8">
    <w:p w14:paraId="121AD2CD" w14:textId="2D8FF74A" w:rsidR="005C2FD7" w:rsidRPr="000A4880" w:rsidRDefault="005C2FD7">
      <w:pPr>
        <w:pStyle w:val="FootnoteText"/>
        <w:rPr>
          <w:sz w:val="20"/>
          <w:szCs w:val="20"/>
          <w:lang w:val="en-US"/>
        </w:rPr>
      </w:pPr>
      <w:r w:rsidRPr="000A4880">
        <w:rPr>
          <w:rStyle w:val="FootnoteReference"/>
          <w:sz w:val="20"/>
          <w:szCs w:val="20"/>
        </w:rPr>
        <w:footnoteRef/>
      </w:r>
      <w:r w:rsidRPr="000A4880">
        <w:rPr>
          <w:sz w:val="20"/>
          <w:szCs w:val="20"/>
        </w:rPr>
        <w:t xml:space="preserve"> </w:t>
      </w:r>
      <w:r>
        <w:rPr>
          <w:sz w:val="20"/>
          <w:szCs w:val="20"/>
        </w:rPr>
        <w:t xml:space="preserve">Lars </w:t>
      </w:r>
      <w:r w:rsidRPr="000A4880">
        <w:rPr>
          <w:sz w:val="20"/>
          <w:szCs w:val="20"/>
        </w:rPr>
        <w:t>Svendsen,</w:t>
      </w:r>
      <w:r>
        <w:rPr>
          <w:sz w:val="20"/>
          <w:szCs w:val="20"/>
        </w:rPr>
        <w:t xml:space="preserve"> ‘Moods and the Meaning of Philosophy’, </w:t>
      </w:r>
      <w:r w:rsidRPr="00BD52EF">
        <w:rPr>
          <w:i/>
          <w:sz w:val="20"/>
          <w:szCs w:val="20"/>
        </w:rPr>
        <w:t>New Literary History</w:t>
      </w:r>
      <w:r w:rsidR="00CD70C8">
        <w:rPr>
          <w:sz w:val="20"/>
          <w:szCs w:val="20"/>
        </w:rPr>
        <w:t>, 43, 3 (2012), pp419-</w:t>
      </w:r>
      <w:r>
        <w:rPr>
          <w:sz w:val="20"/>
          <w:szCs w:val="20"/>
        </w:rPr>
        <w:t>31.</w:t>
      </w:r>
    </w:p>
  </w:footnote>
  <w:footnote w:id="9">
    <w:p w14:paraId="60F51FAD" w14:textId="65DE41B1" w:rsidR="005C2FD7" w:rsidRPr="000A4880" w:rsidRDefault="005C2FD7">
      <w:pPr>
        <w:pStyle w:val="FootnoteText"/>
        <w:rPr>
          <w:lang w:val="en-US"/>
        </w:rPr>
      </w:pPr>
      <w:r w:rsidRPr="000A4880">
        <w:rPr>
          <w:rStyle w:val="FootnoteReference"/>
          <w:sz w:val="20"/>
          <w:szCs w:val="20"/>
        </w:rPr>
        <w:footnoteRef/>
      </w:r>
      <w:r>
        <w:rPr>
          <w:sz w:val="20"/>
          <w:szCs w:val="20"/>
        </w:rPr>
        <w:t xml:space="preserve"> Gayatri Chakravorty Spivak, </w:t>
      </w:r>
      <w:r w:rsidRPr="00BD52EF">
        <w:rPr>
          <w:i/>
          <w:sz w:val="20"/>
          <w:szCs w:val="20"/>
        </w:rPr>
        <w:t>Outside in the Teaching Machine</w:t>
      </w:r>
      <w:r>
        <w:rPr>
          <w:sz w:val="20"/>
          <w:szCs w:val="20"/>
        </w:rPr>
        <w:t>, New York, Routledge, 1993;</w:t>
      </w:r>
      <w:r w:rsidRPr="000A4880">
        <w:rPr>
          <w:sz w:val="20"/>
          <w:szCs w:val="20"/>
        </w:rPr>
        <w:t xml:space="preserve"> </w:t>
      </w:r>
      <w:r>
        <w:rPr>
          <w:sz w:val="20"/>
          <w:szCs w:val="20"/>
        </w:rPr>
        <w:t xml:space="preserve">Spivak, </w:t>
      </w:r>
      <w:r w:rsidRPr="00BD52EF">
        <w:rPr>
          <w:i/>
          <w:sz w:val="20"/>
          <w:szCs w:val="20"/>
        </w:rPr>
        <w:t>An Aesthetic Education in the Age of Globalization</w:t>
      </w:r>
      <w:r>
        <w:rPr>
          <w:sz w:val="20"/>
          <w:szCs w:val="20"/>
        </w:rPr>
        <w:t xml:space="preserve">, Cambridge, Harvard University Press, </w:t>
      </w:r>
      <w:r w:rsidRPr="000A4880">
        <w:rPr>
          <w:sz w:val="20"/>
          <w:szCs w:val="20"/>
        </w:rPr>
        <w:t>2012.</w:t>
      </w:r>
    </w:p>
  </w:footnote>
  <w:footnote w:id="10">
    <w:p w14:paraId="1B5F928A" w14:textId="68F25488" w:rsidR="005C2FD7" w:rsidRPr="006A27A9" w:rsidRDefault="005C2FD7">
      <w:pPr>
        <w:pStyle w:val="FootnoteText"/>
        <w:rPr>
          <w:sz w:val="20"/>
          <w:szCs w:val="20"/>
          <w:lang w:val="en-US"/>
        </w:rPr>
      </w:pPr>
      <w:r w:rsidRPr="006A27A9">
        <w:rPr>
          <w:rStyle w:val="FootnoteReference"/>
          <w:sz w:val="20"/>
          <w:szCs w:val="20"/>
        </w:rPr>
        <w:footnoteRef/>
      </w:r>
      <w:r w:rsidRPr="006A27A9">
        <w:rPr>
          <w:sz w:val="20"/>
          <w:szCs w:val="20"/>
        </w:rPr>
        <w:t xml:space="preserve"> Sara </w:t>
      </w:r>
      <w:r w:rsidRPr="006A27A9">
        <w:rPr>
          <w:rFonts w:eastAsiaTheme="minorEastAsia"/>
          <w:sz w:val="20"/>
          <w:szCs w:val="20"/>
          <w:lang w:val="en-US"/>
        </w:rPr>
        <w:t xml:space="preserve">Ahmed, </w:t>
      </w:r>
      <w:r w:rsidRPr="006A27A9">
        <w:rPr>
          <w:rFonts w:eastAsiaTheme="minorEastAsia"/>
          <w:i/>
          <w:sz w:val="20"/>
          <w:szCs w:val="20"/>
          <w:lang w:val="en-US"/>
        </w:rPr>
        <w:t>The Cultural Politics of Emotion</w:t>
      </w:r>
      <w:r w:rsidRPr="006A27A9">
        <w:rPr>
          <w:rFonts w:eastAsiaTheme="minorEastAsia"/>
          <w:sz w:val="20"/>
          <w:szCs w:val="20"/>
          <w:lang w:val="en-US"/>
        </w:rPr>
        <w:t xml:space="preserve">, Edinburgh, </w:t>
      </w:r>
      <w:r>
        <w:rPr>
          <w:rFonts w:eastAsiaTheme="minorEastAsia"/>
          <w:sz w:val="20"/>
          <w:szCs w:val="20"/>
          <w:lang w:val="en-US"/>
        </w:rPr>
        <w:t>Edinburgh University Press, 2004, p</w:t>
      </w:r>
      <w:r w:rsidRPr="006A27A9">
        <w:rPr>
          <w:rFonts w:eastAsiaTheme="minorEastAsia"/>
          <w:sz w:val="20"/>
          <w:szCs w:val="20"/>
          <w:lang w:val="en-US"/>
        </w:rPr>
        <w:t>12.</w:t>
      </w:r>
    </w:p>
  </w:footnote>
  <w:footnote w:id="11">
    <w:p w14:paraId="27080126" w14:textId="5FEA9D48" w:rsidR="005C2FD7" w:rsidRPr="00065026" w:rsidRDefault="005C2FD7" w:rsidP="000B4942">
      <w:pPr>
        <w:pStyle w:val="FootnoteText"/>
        <w:rPr>
          <w:lang w:val="en-US"/>
        </w:rPr>
      </w:pPr>
      <w:r w:rsidRPr="00065026">
        <w:rPr>
          <w:rStyle w:val="FootnoteReference"/>
          <w:sz w:val="20"/>
          <w:szCs w:val="20"/>
        </w:rPr>
        <w:footnoteRef/>
      </w:r>
      <w:r w:rsidRPr="00065026">
        <w:rPr>
          <w:sz w:val="20"/>
          <w:szCs w:val="20"/>
        </w:rPr>
        <w:t xml:space="preserve"> Spivak, </w:t>
      </w:r>
      <w:r w:rsidRPr="00111346">
        <w:rPr>
          <w:i/>
          <w:sz w:val="20"/>
          <w:szCs w:val="20"/>
        </w:rPr>
        <w:t>An Aesthetic Education</w:t>
      </w:r>
      <w:r>
        <w:rPr>
          <w:sz w:val="20"/>
          <w:szCs w:val="20"/>
        </w:rPr>
        <w:t>, op. cit., p</w:t>
      </w:r>
      <w:r w:rsidRPr="00065026">
        <w:rPr>
          <w:sz w:val="20"/>
          <w:szCs w:val="20"/>
        </w:rPr>
        <w:t>519.</w:t>
      </w:r>
    </w:p>
  </w:footnote>
  <w:footnote w:id="12">
    <w:p w14:paraId="2C7C7492" w14:textId="72E9A1BF" w:rsidR="005C2FD7" w:rsidRPr="000A4880" w:rsidRDefault="005C2FD7">
      <w:pPr>
        <w:pStyle w:val="FootnoteText"/>
        <w:rPr>
          <w:sz w:val="20"/>
          <w:szCs w:val="20"/>
          <w:lang w:val="en-US"/>
        </w:rPr>
      </w:pPr>
      <w:r w:rsidRPr="000A4880">
        <w:rPr>
          <w:rStyle w:val="FootnoteReference"/>
          <w:sz w:val="20"/>
          <w:szCs w:val="20"/>
        </w:rPr>
        <w:footnoteRef/>
      </w:r>
      <w:r w:rsidRPr="000A4880">
        <w:rPr>
          <w:sz w:val="20"/>
          <w:szCs w:val="20"/>
        </w:rPr>
        <w:t xml:space="preserve"> Sedgwick,</w:t>
      </w:r>
      <w:r>
        <w:rPr>
          <w:sz w:val="20"/>
          <w:szCs w:val="20"/>
        </w:rPr>
        <w:t xml:space="preserve"> </w:t>
      </w:r>
      <w:r w:rsidRPr="00BD52EF">
        <w:rPr>
          <w:i/>
          <w:sz w:val="20"/>
          <w:szCs w:val="20"/>
        </w:rPr>
        <w:t>Touching Feeling</w:t>
      </w:r>
      <w:r>
        <w:rPr>
          <w:sz w:val="20"/>
          <w:szCs w:val="20"/>
        </w:rPr>
        <w:t>, op. cit., p</w:t>
      </w:r>
      <w:r w:rsidRPr="000A4880">
        <w:rPr>
          <w:sz w:val="20"/>
          <w:szCs w:val="20"/>
        </w:rPr>
        <w:t>124.</w:t>
      </w:r>
    </w:p>
  </w:footnote>
  <w:footnote w:id="13">
    <w:p w14:paraId="49E74244" w14:textId="76A5FF91" w:rsidR="005C2FD7" w:rsidRPr="000A4880" w:rsidRDefault="005C2FD7">
      <w:pPr>
        <w:pStyle w:val="FootnoteText"/>
        <w:rPr>
          <w:sz w:val="20"/>
          <w:szCs w:val="20"/>
          <w:lang w:val="en-US"/>
        </w:rPr>
      </w:pPr>
      <w:r w:rsidRPr="00A85327">
        <w:rPr>
          <w:rStyle w:val="FootnoteReference"/>
          <w:sz w:val="20"/>
          <w:szCs w:val="20"/>
        </w:rPr>
        <w:footnoteRef/>
      </w:r>
      <w:r w:rsidRPr="00A85327">
        <w:rPr>
          <w:sz w:val="20"/>
          <w:szCs w:val="20"/>
        </w:rPr>
        <w:t xml:space="preserve"> Wiegman, op. cit., p6.</w:t>
      </w:r>
    </w:p>
  </w:footnote>
  <w:footnote w:id="14">
    <w:p w14:paraId="555C92C6" w14:textId="17C50087" w:rsidR="005C2FD7" w:rsidRPr="000A4880" w:rsidRDefault="005C2FD7">
      <w:pPr>
        <w:pStyle w:val="FootnoteText"/>
        <w:rPr>
          <w:sz w:val="20"/>
          <w:szCs w:val="20"/>
          <w:lang w:val="en-US"/>
        </w:rPr>
      </w:pPr>
      <w:r w:rsidRPr="000A4880">
        <w:rPr>
          <w:rStyle w:val="FootnoteReference"/>
          <w:sz w:val="20"/>
          <w:szCs w:val="20"/>
        </w:rPr>
        <w:footnoteRef/>
      </w:r>
      <w:r>
        <w:rPr>
          <w:sz w:val="20"/>
          <w:szCs w:val="20"/>
        </w:rPr>
        <w:t xml:space="preserve">Sedgwick, </w:t>
      </w:r>
      <w:r w:rsidRPr="00DA4583">
        <w:rPr>
          <w:i/>
          <w:sz w:val="20"/>
          <w:szCs w:val="20"/>
        </w:rPr>
        <w:t>Touching Feeling</w:t>
      </w:r>
      <w:r>
        <w:rPr>
          <w:sz w:val="20"/>
          <w:szCs w:val="20"/>
        </w:rPr>
        <w:t xml:space="preserve">, op. cit., p8, </w:t>
      </w:r>
      <w:r w:rsidRPr="000A4880">
        <w:rPr>
          <w:sz w:val="20"/>
          <w:szCs w:val="20"/>
        </w:rPr>
        <w:t>italics mine</w:t>
      </w:r>
      <w:r>
        <w:rPr>
          <w:sz w:val="20"/>
          <w:szCs w:val="20"/>
        </w:rPr>
        <w:t>.</w:t>
      </w:r>
    </w:p>
  </w:footnote>
  <w:footnote w:id="15">
    <w:p w14:paraId="34B31263" w14:textId="500A0A19" w:rsidR="005C2FD7" w:rsidRPr="000A4880" w:rsidRDefault="005C2FD7">
      <w:pPr>
        <w:pStyle w:val="FootnoteText"/>
        <w:rPr>
          <w:lang w:val="en-US"/>
        </w:rPr>
      </w:pPr>
      <w:r w:rsidRPr="000A4880">
        <w:rPr>
          <w:rStyle w:val="FootnoteReference"/>
          <w:sz w:val="20"/>
          <w:szCs w:val="20"/>
        </w:rPr>
        <w:footnoteRef/>
      </w:r>
      <w:r w:rsidRPr="000A4880">
        <w:rPr>
          <w:sz w:val="20"/>
          <w:szCs w:val="20"/>
        </w:rPr>
        <w:t xml:space="preserve"> </w:t>
      </w:r>
      <w:r w:rsidRPr="00A85327">
        <w:rPr>
          <w:sz w:val="20"/>
          <w:szCs w:val="20"/>
        </w:rPr>
        <w:t>Wiegman, op. cit., p7.</w:t>
      </w:r>
    </w:p>
  </w:footnote>
  <w:footnote w:id="16">
    <w:p w14:paraId="1182B597" w14:textId="0057A468" w:rsidR="005C2FD7" w:rsidRPr="00BD52EF" w:rsidRDefault="005C2FD7">
      <w:pPr>
        <w:pStyle w:val="FootnoteText"/>
        <w:rPr>
          <w:sz w:val="20"/>
          <w:szCs w:val="20"/>
          <w:lang w:val="en-US"/>
        </w:rPr>
      </w:pPr>
      <w:r w:rsidRPr="00BD52EF">
        <w:rPr>
          <w:rStyle w:val="FootnoteReference"/>
          <w:sz w:val="20"/>
          <w:szCs w:val="20"/>
        </w:rPr>
        <w:footnoteRef/>
      </w:r>
      <w:r w:rsidRPr="00BD52EF">
        <w:rPr>
          <w:sz w:val="20"/>
          <w:szCs w:val="20"/>
        </w:rPr>
        <w:t xml:space="preserve"> Melanie Klein, ‘Love, Guilt and Reparation’ in </w:t>
      </w:r>
      <w:r w:rsidRPr="00BD52EF">
        <w:rPr>
          <w:i/>
          <w:sz w:val="20"/>
          <w:szCs w:val="20"/>
        </w:rPr>
        <w:t>Love, Guilt and Reparation and Other Works,</w:t>
      </w:r>
      <w:r>
        <w:rPr>
          <w:sz w:val="20"/>
          <w:szCs w:val="20"/>
        </w:rPr>
        <w:t xml:space="preserve"> New York, The Free Press, </w:t>
      </w:r>
      <w:r w:rsidRPr="00BD52EF">
        <w:rPr>
          <w:sz w:val="20"/>
          <w:szCs w:val="20"/>
        </w:rPr>
        <w:t>1975</w:t>
      </w:r>
      <w:r>
        <w:rPr>
          <w:sz w:val="20"/>
          <w:szCs w:val="20"/>
        </w:rPr>
        <w:t>, first published 1937</w:t>
      </w:r>
      <w:r w:rsidRPr="00BD52EF">
        <w:rPr>
          <w:sz w:val="20"/>
          <w:szCs w:val="20"/>
        </w:rPr>
        <w:t>.</w:t>
      </w:r>
    </w:p>
  </w:footnote>
  <w:footnote w:id="17">
    <w:p w14:paraId="6D0A4795" w14:textId="78C1450E" w:rsidR="005C2FD7" w:rsidRPr="00012273" w:rsidRDefault="005C2FD7">
      <w:pPr>
        <w:pStyle w:val="FootnoteText"/>
        <w:rPr>
          <w:sz w:val="20"/>
          <w:szCs w:val="20"/>
          <w:lang w:val="en-US"/>
        </w:rPr>
      </w:pPr>
      <w:r w:rsidRPr="00012273">
        <w:rPr>
          <w:rStyle w:val="FootnoteReference"/>
          <w:sz w:val="20"/>
          <w:szCs w:val="20"/>
        </w:rPr>
        <w:footnoteRef/>
      </w:r>
      <w:r w:rsidRPr="00012273">
        <w:rPr>
          <w:sz w:val="20"/>
          <w:szCs w:val="20"/>
        </w:rPr>
        <w:t xml:space="preserve"> </w:t>
      </w:r>
      <w:r w:rsidRPr="00111346">
        <w:rPr>
          <w:sz w:val="20"/>
          <w:szCs w:val="20"/>
        </w:rPr>
        <w:t>Robert Hinshelwood cited in Sedgwick</w:t>
      </w:r>
      <w:r w:rsidRPr="00012273">
        <w:rPr>
          <w:sz w:val="20"/>
          <w:szCs w:val="20"/>
        </w:rPr>
        <w:t xml:space="preserve">, </w:t>
      </w:r>
      <w:r w:rsidRPr="00012273">
        <w:rPr>
          <w:i/>
          <w:sz w:val="20"/>
          <w:szCs w:val="20"/>
        </w:rPr>
        <w:t>Touching Feeling</w:t>
      </w:r>
      <w:r>
        <w:rPr>
          <w:sz w:val="20"/>
          <w:szCs w:val="20"/>
        </w:rPr>
        <w:t>, op. cit., p</w:t>
      </w:r>
      <w:r w:rsidRPr="00012273">
        <w:rPr>
          <w:sz w:val="20"/>
          <w:szCs w:val="20"/>
        </w:rPr>
        <w:t>128.</w:t>
      </w:r>
    </w:p>
  </w:footnote>
  <w:footnote w:id="18">
    <w:p w14:paraId="661EC500" w14:textId="14CAD489" w:rsidR="005C2FD7" w:rsidRPr="00012273" w:rsidRDefault="005C2FD7">
      <w:pPr>
        <w:pStyle w:val="FootnoteText"/>
        <w:rPr>
          <w:sz w:val="20"/>
          <w:szCs w:val="20"/>
          <w:lang w:val="en-US"/>
        </w:rPr>
      </w:pPr>
      <w:r w:rsidRPr="00A85327">
        <w:rPr>
          <w:rStyle w:val="FootnoteReference"/>
          <w:sz w:val="20"/>
          <w:szCs w:val="20"/>
        </w:rPr>
        <w:footnoteRef/>
      </w:r>
      <w:r w:rsidRPr="00A85327">
        <w:rPr>
          <w:sz w:val="20"/>
          <w:szCs w:val="20"/>
        </w:rPr>
        <w:t xml:space="preserve"> Stacey, op. cit., p44.</w:t>
      </w:r>
    </w:p>
  </w:footnote>
  <w:footnote w:id="19">
    <w:p w14:paraId="38F8B8D6" w14:textId="280A4672" w:rsidR="005C2FD7" w:rsidRPr="00012273" w:rsidRDefault="005C2FD7">
      <w:pPr>
        <w:pStyle w:val="FootnoteText"/>
        <w:rPr>
          <w:sz w:val="20"/>
          <w:szCs w:val="20"/>
          <w:lang w:val="en-US"/>
        </w:rPr>
      </w:pPr>
      <w:r w:rsidRPr="00012273">
        <w:rPr>
          <w:rStyle w:val="FootnoteReference"/>
          <w:sz w:val="20"/>
          <w:szCs w:val="20"/>
        </w:rPr>
        <w:footnoteRef/>
      </w:r>
      <w:r w:rsidRPr="00012273">
        <w:rPr>
          <w:sz w:val="20"/>
          <w:szCs w:val="20"/>
        </w:rPr>
        <w:t xml:space="preserve"> Sedgwick, </w:t>
      </w:r>
      <w:r w:rsidRPr="00012273">
        <w:rPr>
          <w:i/>
          <w:sz w:val="20"/>
          <w:szCs w:val="20"/>
        </w:rPr>
        <w:t>The Weather in Proust</w:t>
      </w:r>
      <w:r>
        <w:rPr>
          <w:sz w:val="20"/>
          <w:szCs w:val="20"/>
        </w:rPr>
        <w:t>, Durham and London, Duke University Press, 2011, p</w:t>
      </w:r>
      <w:r w:rsidRPr="00012273">
        <w:rPr>
          <w:sz w:val="20"/>
          <w:szCs w:val="20"/>
        </w:rPr>
        <w:t>131.</w:t>
      </w:r>
    </w:p>
  </w:footnote>
  <w:footnote w:id="20">
    <w:p w14:paraId="06F707BD" w14:textId="7FD3C4E1" w:rsidR="005C2FD7" w:rsidRPr="00012273" w:rsidRDefault="005C2FD7">
      <w:pPr>
        <w:pStyle w:val="FootnoteText"/>
        <w:rPr>
          <w:sz w:val="20"/>
          <w:szCs w:val="20"/>
          <w:lang w:val="en-US"/>
        </w:rPr>
      </w:pPr>
      <w:r w:rsidRPr="00012273">
        <w:rPr>
          <w:rStyle w:val="FootnoteReference"/>
          <w:sz w:val="20"/>
          <w:szCs w:val="20"/>
        </w:rPr>
        <w:footnoteRef/>
      </w:r>
      <w:r w:rsidRPr="00012273">
        <w:rPr>
          <w:sz w:val="20"/>
          <w:szCs w:val="20"/>
        </w:rPr>
        <w:t xml:space="preserve"> </w:t>
      </w:r>
      <w:r w:rsidRPr="00A85327">
        <w:rPr>
          <w:sz w:val="20"/>
          <w:szCs w:val="20"/>
        </w:rPr>
        <w:t>Stacey, op. cit., p44.</w:t>
      </w:r>
    </w:p>
  </w:footnote>
  <w:footnote w:id="21">
    <w:p w14:paraId="32010336" w14:textId="6B5AC227" w:rsidR="005C2FD7" w:rsidRPr="00012273" w:rsidRDefault="005C2FD7">
      <w:pPr>
        <w:pStyle w:val="FootnoteText"/>
        <w:rPr>
          <w:sz w:val="20"/>
          <w:szCs w:val="20"/>
          <w:lang w:val="en-US"/>
        </w:rPr>
      </w:pPr>
      <w:r w:rsidRPr="00012273">
        <w:rPr>
          <w:rStyle w:val="FootnoteReference"/>
          <w:sz w:val="20"/>
          <w:szCs w:val="20"/>
        </w:rPr>
        <w:footnoteRef/>
      </w:r>
      <w:r>
        <w:rPr>
          <w:sz w:val="20"/>
          <w:szCs w:val="20"/>
        </w:rPr>
        <w:t xml:space="preserve"> Sedg</w:t>
      </w:r>
      <w:r w:rsidRPr="00012273">
        <w:rPr>
          <w:sz w:val="20"/>
          <w:szCs w:val="20"/>
        </w:rPr>
        <w:t>w</w:t>
      </w:r>
      <w:r>
        <w:rPr>
          <w:sz w:val="20"/>
          <w:szCs w:val="20"/>
        </w:rPr>
        <w:t xml:space="preserve">ick, </w:t>
      </w:r>
      <w:r w:rsidRPr="00012273">
        <w:rPr>
          <w:i/>
          <w:sz w:val="20"/>
          <w:szCs w:val="20"/>
        </w:rPr>
        <w:t>Touching Feeling</w:t>
      </w:r>
      <w:r>
        <w:rPr>
          <w:sz w:val="20"/>
          <w:szCs w:val="20"/>
        </w:rPr>
        <w:t>, op. cit., p130.</w:t>
      </w:r>
    </w:p>
  </w:footnote>
  <w:footnote w:id="22">
    <w:p w14:paraId="75B507F7" w14:textId="4C6BFBA0" w:rsidR="005C2FD7" w:rsidRPr="00012273" w:rsidRDefault="005C2FD7" w:rsidP="00DA4583">
      <w:pPr>
        <w:pStyle w:val="FootnoteText"/>
        <w:rPr>
          <w:sz w:val="20"/>
          <w:szCs w:val="20"/>
          <w:lang w:val="en-US"/>
        </w:rPr>
      </w:pPr>
      <w:r w:rsidRPr="00012273">
        <w:rPr>
          <w:rStyle w:val="FootnoteReference"/>
          <w:sz w:val="20"/>
          <w:szCs w:val="20"/>
        </w:rPr>
        <w:footnoteRef/>
      </w:r>
      <w:r w:rsidRPr="00012273">
        <w:rPr>
          <w:sz w:val="20"/>
          <w:szCs w:val="20"/>
        </w:rPr>
        <w:t xml:space="preserve"> Ibid,</w:t>
      </w:r>
      <w:r>
        <w:rPr>
          <w:sz w:val="20"/>
          <w:szCs w:val="20"/>
        </w:rPr>
        <w:t xml:space="preserve"> pp130, 124 and 1. </w:t>
      </w:r>
    </w:p>
  </w:footnote>
  <w:footnote w:id="23">
    <w:p w14:paraId="68C71FC3" w14:textId="0B390C27" w:rsidR="005C2FD7" w:rsidRPr="000A4880" w:rsidRDefault="005C2FD7">
      <w:pPr>
        <w:pStyle w:val="FootnoteText"/>
        <w:rPr>
          <w:lang w:val="en-US"/>
        </w:rPr>
      </w:pPr>
      <w:r w:rsidRPr="002E1575">
        <w:rPr>
          <w:rStyle w:val="FootnoteReference"/>
          <w:sz w:val="20"/>
          <w:szCs w:val="20"/>
        </w:rPr>
        <w:footnoteRef/>
      </w:r>
      <w:r w:rsidRPr="002E1575">
        <w:rPr>
          <w:sz w:val="20"/>
          <w:szCs w:val="20"/>
        </w:rPr>
        <w:t xml:space="preserve"> Stacey, op. cit., p.44.</w:t>
      </w:r>
    </w:p>
  </w:footnote>
  <w:footnote w:id="24">
    <w:p w14:paraId="1F95EBF7" w14:textId="352707D5" w:rsidR="005C2FD7" w:rsidRPr="000A4880" w:rsidRDefault="005C2FD7">
      <w:pPr>
        <w:pStyle w:val="FootnoteText"/>
        <w:rPr>
          <w:sz w:val="20"/>
          <w:szCs w:val="20"/>
          <w:lang w:val="en-US"/>
        </w:rPr>
      </w:pPr>
      <w:r w:rsidRPr="002E1575">
        <w:rPr>
          <w:rStyle w:val="FootnoteReference"/>
          <w:sz w:val="20"/>
          <w:szCs w:val="20"/>
        </w:rPr>
        <w:footnoteRef/>
      </w:r>
      <w:r w:rsidRPr="002E1575">
        <w:rPr>
          <w:sz w:val="20"/>
          <w:szCs w:val="20"/>
        </w:rPr>
        <w:t xml:space="preserve"> Juliet Mitchell cited in Stacey, op. cit., p44.</w:t>
      </w:r>
    </w:p>
  </w:footnote>
  <w:footnote w:id="25">
    <w:p w14:paraId="3CC7DD96" w14:textId="1CDB08EF" w:rsidR="005C2FD7" w:rsidRPr="000A4880" w:rsidRDefault="005C2FD7" w:rsidP="00DA4583">
      <w:pPr>
        <w:pStyle w:val="FootnoteText"/>
        <w:rPr>
          <w:sz w:val="20"/>
          <w:szCs w:val="20"/>
          <w:lang w:val="en-US"/>
        </w:rPr>
      </w:pPr>
      <w:r w:rsidRPr="000A4880">
        <w:rPr>
          <w:rStyle w:val="FootnoteReference"/>
          <w:sz w:val="20"/>
          <w:szCs w:val="20"/>
        </w:rPr>
        <w:footnoteRef/>
      </w:r>
      <w:r w:rsidRPr="000A4880">
        <w:rPr>
          <w:sz w:val="20"/>
          <w:szCs w:val="20"/>
        </w:rPr>
        <w:t xml:space="preserve"> </w:t>
      </w:r>
      <w:r>
        <w:rPr>
          <w:sz w:val="20"/>
          <w:szCs w:val="20"/>
          <w:lang w:val="en-US"/>
        </w:rPr>
        <w:t xml:space="preserve">Sedgwick, </w:t>
      </w:r>
      <w:r w:rsidRPr="00DA4583">
        <w:rPr>
          <w:i/>
          <w:sz w:val="20"/>
          <w:szCs w:val="20"/>
          <w:lang w:val="en-US"/>
        </w:rPr>
        <w:t>Touching Feeling</w:t>
      </w:r>
      <w:r>
        <w:rPr>
          <w:sz w:val="20"/>
          <w:szCs w:val="20"/>
          <w:lang w:val="en-US"/>
        </w:rPr>
        <w:t>, op. cit., pp150, 149 and 146.</w:t>
      </w:r>
      <w:r w:rsidRPr="000A4880">
        <w:rPr>
          <w:sz w:val="20"/>
          <w:szCs w:val="20"/>
          <w:lang w:val="en-US"/>
        </w:rPr>
        <w:t xml:space="preserve"> </w:t>
      </w:r>
    </w:p>
  </w:footnote>
  <w:footnote w:id="26">
    <w:p w14:paraId="31D9BBF1" w14:textId="4D1E118F" w:rsidR="005C2FD7" w:rsidRPr="00F77DE7" w:rsidRDefault="005C2FD7">
      <w:pPr>
        <w:pStyle w:val="FootnoteText"/>
        <w:rPr>
          <w:sz w:val="20"/>
          <w:szCs w:val="20"/>
          <w:lang w:val="nl-NL"/>
        </w:rPr>
      </w:pPr>
      <w:r w:rsidRPr="000A4880">
        <w:rPr>
          <w:rStyle w:val="FootnoteReference"/>
          <w:sz w:val="20"/>
          <w:szCs w:val="20"/>
        </w:rPr>
        <w:footnoteRef/>
      </w:r>
      <w:r w:rsidRPr="00F77DE7">
        <w:rPr>
          <w:sz w:val="20"/>
          <w:szCs w:val="20"/>
          <w:lang w:val="nl-NL"/>
        </w:rPr>
        <w:t xml:space="preserve"> Wiegman, op. cit., p4, italics mine.</w:t>
      </w:r>
    </w:p>
  </w:footnote>
  <w:footnote w:id="27">
    <w:p w14:paraId="06F31490" w14:textId="057C28C7" w:rsidR="005C2FD7" w:rsidRPr="00316224" w:rsidRDefault="005C2FD7">
      <w:pPr>
        <w:pStyle w:val="FootnoteText"/>
        <w:rPr>
          <w:sz w:val="20"/>
          <w:szCs w:val="20"/>
          <w:lang w:val="en-US"/>
        </w:rPr>
      </w:pPr>
      <w:r w:rsidRPr="009F4454">
        <w:rPr>
          <w:rStyle w:val="FootnoteReference"/>
          <w:sz w:val="20"/>
          <w:szCs w:val="20"/>
        </w:rPr>
        <w:footnoteRef/>
      </w:r>
      <w:r>
        <w:rPr>
          <w:sz w:val="20"/>
          <w:szCs w:val="20"/>
        </w:rPr>
        <w:t xml:space="preserve"> Ibid, op. cit., p11,</w:t>
      </w:r>
      <w:r w:rsidRPr="009F4454">
        <w:rPr>
          <w:sz w:val="20"/>
          <w:szCs w:val="20"/>
        </w:rPr>
        <w:t xml:space="preserve"> see also Heather Love, ‘Truth and Consequences: On Paranoid Reading and Reparative Reading’, </w:t>
      </w:r>
      <w:r w:rsidRPr="009F4454">
        <w:rPr>
          <w:i/>
          <w:sz w:val="20"/>
          <w:szCs w:val="20"/>
        </w:rPr>
        <w:t>Criticism</w:t>
      </w:r>
      <w:r w:rsidRPr="009F4454">
        <w:rPr>
          <w:sz w:val="20"/>
          <w:szCs w:val="20"/>
        </w:rPr>
        <w:t>, 52, 2 (2010) pp235-41.</w:t>
      </w:r>
      <w:r>
        <w:rPr>
          <w:sz w:val="20"/>
          <w:szCs w:val="20"/>
        </w:rPr>
        <w:t xml:space="preserve"> </w:t>
      </w:r>
    </w:p>
  </w:footnote>
  <w:footnote w:id="28">
    <w:p w14:paraId="4384174F" w14:textId="77777777" w:rsidR="005C2FD7" w:rsidRPr="00316224" w:rsidRDefault="005C2FD7" w:rsidP="007A35C7">
      <w:pPr>
        <w:pStyle w:val="FootnoteText"/>
        <w:rPr>
          <w:sz w:val="20"/>
          <w:szCs w:val="20"/>
          <w:lang w:val="en-US"/>
        </w:rPr>
      </w:pPr>
      <w:r w:rsidRPr="00316224">
        <w:rPr>
          <w:rStyle w:val="FootnoteReference"/>
          <w:sz w:val="20"/>
          <w:szCs w:val="20"/>
        </w:rPr>
        <w:footnoteRef/>
      </w:r>
      <w:r w:rsidRPr="00316224">
        <w:rPr>
          <w:sz w:val="20"/>
          <w:szCs w:val="20"/>
        </w:rPr>
        <w:t xml:space="preserve"> Felski and Fraiman, </w:t>
      </w:r>
      <w:r>
        <w:rPr>
          <w:sz w:val="20"/>
          <w:szCs w:val="20"/>
        </w:rPr>
        <w:t>op. cit., p</w:t>
      </w:r>
      <w:r w:rsidRPr="00316224">
        <w:rPr>
          <w:sz w:val="20"/>
          <w:szCs w:val="20"/>
        </w:rPr>
        <w:t>v.</w:t>
      </w:r>
    </w:p>
  </w:footnote>
  <w:footnote w:id="29">
    <w:p w14:paraId="5AF7674B" w14:textId="491C3FFE" w:rsidR="005C2FD7" w:rsidRPr="00012273" w:rsidRDefault="005C2FD7">
      <w:pPr>
        <w:pStyle w:val="FootnoteText"/>
        <w:rPr>
          <w:sz w:val="20"/>
          <w:szCs w:val="20"/>
          <w:lang w:val="en-US"/>
        </w:rPr>
      </w:pPr>
      <w:r w:rsidRPr="00316224">
        <w:rPr>
          <w:rStyle w:val="FootnoteReference"/>
          <w:sz w:val="20"/>
          <w:szCs w:val="20"/>
        </w:rPr>
        <w:footnoteRef/>
      </w:r>
      <w:r w:rsidRPr="00316224">
        <w:rPr>
          <w:sz w:val="20"/>
          <w:szCs w:val="20"/>
        </w:rPr>
        <w:t xml:space="preserve"> </w:t>
      </w:r>
      <w:r w:rsidRPr="00111346">
        <w:rPr>
          <w:sz w:val="20"/>
          <w:szCs w:val="20"/>
        </w:rPr>
        <w:t>Hinshelwood cited in Sedgwick</w:t>
      </w:r>
      <w:r w:rsidRPr="00012273">
        <w:rPr>
          <w:sz w:val="20"/>
          <w:szCs w:val="20"/>
        </w:rPr>
        <w:t xml:space="preserve">, </w:t>
      </w:r>
      <w:r w:rsidRPr="00012273">
        <w:rPr>
          <w:i/>
          <w:sz w:val="20"/>
          <w:szCs w:val="20"/>
        </w:rPr>
        <w:t>Touching Feeling</w:t>
      </w:r>
      <w:r>
        <w:rPr>
          <w:sz w:val="20"/>
          <w:szCs w:val="20"/>
        </w:rPr>
        <w:t>, op. cit., p</w:t>
      </w:r>
      <w:r w:rsidRPr="00012273">
        <w:rPr>
          <w:sz w:val="20"/>
          <w:szCs w:val="20"/>
        </w:rPr>
        <w:t>128, original italics.</w:t>
      </w:r>
    </w:p>
  </w:footnote>
  <w:footnote w:id="30">
    <w:p w14:paraId="367D3681" w14:textId="481EBBD2" w:rsidR="005C2FD7" w:rsidRPr="00316224" w:rsidRDefault="005C2FD7">
      <w:pPr>
        <w:pStyle w:val="FootnoteText"/>
        <w:rPr>
          <w:sz w:val="20"/>
          <w:szCs w:val="20"/>
          <w:lang w:val="en-US"/>
        </w:rPr>
      </w:pPr>
      <w:r w:rsidRPr="00012273">
        <w:rPr>
          <w:rStyle w:val="FootnoteReference"/>
          <w:sz w:val="20"/>
          <w:szCs w:val="20"/>
        </w:rPr>
        <w:footnoteRef/>
      </w:r>
      <w:r w:rsidRPr="00012273">
        <w:rPr>
          <w:sz w:val="20"/>
          <w:szCs w:val="20"/>
        </w:rPr>
        <w:t xml:space="preserve"> Sedgwick, </w:t>
      </w:r>
      <w:r w:rsidRPr="00012273">
        <w:rPr>
          <w:i/>
          <w:sz w:val="20"/>
          <w:szCs w:val="20"/>
        </w:rPr>
        <w:t>Touching Feeling</w:t>
      </w:r>
      <w:r>
        <w:rPr>
          <w:sz w:val="20"/>
          <w:szCs w:val="20"/>
        </w:rPr>
        <w:t>, op. cit., pp128 and</w:t>
      </w:r>
      <w:r w:rsidRPr="00012273">
        <w:rPr>
          <w:sz w:val="20"/>
          <w:szCs w:val="20"/>
        </w:rPr>
        <w:t xml:space="preserve"> 138.</w:t>
      </w:r>
    </w:p>
  </w:footnote>
  <w:footnote w:id="31">
    <w:p w14:paraId="5486B1FB" w14:textId="0CB4CCC6" w:rsidR="005C2FD7" w:rsidRPr="00316224" w:rsidRDefault="005C2FD7">
      <w:pPr>
        <w:pStyle w:val="FootnoteText"/>
        <w:rPr>
          <w:sz w:val="20"/>
          <w:szCs w:val="20"/>
          <w:lang w:val="en-US"/>
        </w:rPr>
      </w:pPr>
      <w:r w:rsidRPr="00316224">
        <w:rPr>
          <w:rStyle w:val="FootnoteReference"/>
          <w:sz w:val="20"/>
          <w:szCs w:val="20"/>
        </w:rPr>
        <w:footnoteRef/>
      </w:r>
      <w:r w:rsidRPr="00316224">
        <w:rPr>
          <w:sz w:val="20"/>
          <w:szCs w:val="20"/>
        </w:rPr>
        <w:t xml:space="preserve"> Svendsen,</w:t>
      </w:r>
      <w:r>
        <w:rPr>
          <w:sz w:val="20"/>
          <w:szCs w:val="20"/>
        </w:rPr>
        <w:t xml:space="preserve"> op. cit., p</w:t>
      </w:r>
      <w:r w:rsidRPr="00316224">
        <w:rPr>
          <w:sz w:val="20"/>
          <w:szCs w:val="20"/>
        </w:rPr>
        <w:t>422.</w:t>
      </w:r>
    </w:p>
  </w:footnote>
  <w:footnote w:id="32">
    <w:p w14:paraId="5B736706" w14:textId="07E7BAD5" w:rsidR="005C2FD7" w:rsidRPr="00316224" w:rsidRDefault="005C2FD7">
      <w:pPr>
        <w:pStyle w:val="FootnoteText"/>
        <w:rPr>
          <w:sz w:val="20"/>
          <w:szCs w:val="20"/>
          <w:lang w:val="en-US"/>
        </w:rPr>
      </w:pPr>
      <w:r w:rsidRPr="00316224">
        <w:rPr>
          <w:rStyle w:val="FootnoteReference"/>
          <w:sz w:val="20"/>
          <w:szCs w:val="20"/>
        </w:rPr>
        <w:footnoteRef/>
      </w:r>
      <w:r w:rsidRPr="00316224">
        <w:rPr>
          <w:sz w:val="20"/>
          <w:szCs w:val="20"/>
        </w:rPr>
        <w:t xml:space="preserve"> Ibid, </w:t>
      </w:r>
      <w:r>
        <w:rPr>
          <w:sz w:val="20"/>
          <w:szCs w:val="20"/>
        </w:rPr>
        <w:t>p</w:t>
      </w:r>
      <w:r w:rsidRPr="00316224">
        <w:rPr>
          <w:sz w:val="20"/>
          <w:szCs w:val="20"/>
        </w:rPr>
        <w:t>423.</w:t>
      </w:r>
    </w:p>
  </w:footnote>
  <w:footnote w:id="33">
    <w:p w14:paraId="19ACD627" w14:textId="2A986208" w:rsidR="005C2FD7" w:rsidRPr="00316224" w:rsidRDefault="005C2FD7">
      <w:pPr>
        <w:pStyle w:val="FootnoteText"/>
        <w:rPr>
          <w:sz w:val="20"/>
          <w:szCs w:val="20"/>
          <w:lang w:val="en-US"/>
        </w:rPr>
      </w:pPr>
      <w:r w:rsidRPr="00316224">
        <w:rPr>
          <w:rStyle w:val="FootnoteReference"/>
          <w:sz w:val="20"/>
          <w:szCs w:val="20"/>
        </w:rPr>
        <w:footnoteRef/>
      </w:r>
      <w:r>
        <w:rPr>
          <w:sz w:val="20"/>
          <w:szCs w:val="20"/>
        </w:rPr>
        <w:t xml:space="preserve"> Ibid, p</w:t>
      </w:r>
      <w:r w:rsidRPr="00316224">
        <w:rPr>
          <w:sz w:val="20"/>
          <w:szCs w:val="20"/>
        </w:rPr>
        <w:t>v.</w:t>
      </w:r>
    </w:p>
  </w:footnote>
  <w:footnote w:id="34">
    <w:p w14:paraId="00FF9A7B" w14:textId="3A379240" w:rsidR="005C2FD7" w:rsidRPr="00316224" w:rsidRDefault="005C2FD7" w:rsidP="00DA4583">
      <w:pPr>
        <w:pStyle w:val="FootnoteText"/>
        <w:rPr>
          <w:sz w:val="20"/>
          <w:szCs w:val="20"/>
          <w:lang w:val="en-US"/>
        </w:rPr>
      </w:pPr>
      <w:r w:rsidRPr="00316224">
        <w:rPr>
          <w:rStyle w:val="FootnoteReference"/>
          <w:sz w:val="20"/>
          <w:szCs w:val="20"/>
        </w:rPr>
        <w:footnoteRef/>
      </w:r>
      <w:r w:rsidRPr="00316224">
        <w:rPr>
          <w:sz w:val="20"/>
          <w:szCs w:val="20"/>
        </w:rPr>
        <w:t xml:space="preserve"> </w:t>
      </w:r>
      <w:r>
        <w:rPr>
          <w:sz w:val="20"/>
          <w:szCs w:val="20"/>
        </w:rPr>
        <w:t xml:space="preserve">Rene </w:t>
      </w:r>
      <w:r w:rsidRPr="00316224">
        <w:rPr>
          <w:sz w:val="20"/>
          <w:szCs w:val="20"/>
        </w:rPr>
        <w:t xml:space="preserve">Rosfort and </w:t>
      </w:r>
      <w:r>
        <w:rPr>
          <w:sz w:val="20"/>
          <w:szCs w:val="20"/>
        </w:rPr>
        <w:t xml:space="preserve">Giovanni </w:t>
      </w:r>
      <w:r w:rsidRPr="00316224">
        <w:rPr>
          <w:sz w:val="20"/>
          <w:szCs w:val="20"/>
        </w:rPr>
        <w:t xml:space="preserve">Stanghellini, </w:t>
      </w:r>
      <w:r>
        <w:rPr>
          <w:sz w:val="20"/>
          <w:szCs w:val="20"/>
        </w:rPr>
        <w:t xml:space="preserve">‘In the Mood for Thought: Feeling and Thinking in Philosophy’, </w:t>
      </w:r>
      <w:r w:rsidRPr="00012273">
        <w:rPr>
          <w:i/>
          <w:sz w:val="20"/>
          <w:szCs w:val="20"/>
        </w:rPr>
        <w:t>New Literary History</w:t>
      </w:r>
      <w:r>
        <w:rPr>
          <w:sz w:val="20"/>
          <w:szCs w:val="20"/>
        </w:rPr>
        <w:t>, 43, 3, (2012), pp</w:t>
      </w:r>
      <w:r w:rsidRPr="00316224">
        <w:rPr>
          <w:sz w:val="20"/>
          <w:szCs w:val="20"/>
        </w:rPr>
        <w:t>4</w:t>
      </w:r>
      <w:r>
        <w:rPr>
          <w:sz w:val="20"/>
          <w:szCs w:val="20"/>
        </w:rPr>
        <w:t xml:space="preserve">08 and 410. </w:t>
      </w:r>
    </w:p>
  </w:footnote>
  <w:footnote w:id="35">
    <w:p w14:paraId="0E9F204F" w14:textId="3F19C40E" w:rsidR="005C2FD7" w:rsidRPr="00F77DE7" w:rsidRDefault="005C2FD7">
      <w:pPr>
        <w:pStyle w:val="FootnoteText"/>
        <w:rPr>
          <w:sz w:val="20"/>
          <w:szCs w:val="20"/>
          <w:lang w:val="nl-NL"/>
        </w:rPr>
      </w:pPr>
      <w:r w:rsidRPr="00002F03">
        <w:rPr>
          <w:rStyle w:val="FootnoteReference"/>
          <w:sz w:val="20"/>
          <w:szCs w:val="20"/>
        </w:rPr>
        <w:footnoteRef/>
      </w:r>
      <w:r w:rsidRPr="00F77DE7">
        <w:rPr>
          <w:sz w:val="20"/>
          <w:szCs w:val="20"/>
          <w:lang w:val="nl-NL"/>
        </w:rPr>
        <w:t xml:space="preserve"> Wiegman, op. cit., p17.</w:t>
      </w:r>
    </w:p>
  </w:footnote>
  <w:footnote w:id="36">
    <w:p w14:paraId="072F7F36" w14:textId="36E78FA2" w:rsidR="005C2FD7" w:rsidRPr="00F77DE7" w:rsidRDefault="005C2FD7">
      <w:pPr>
        <w:pStyle w:val="FootnoteText"/>
        <w:rPr>
          <w:sz w:val="20"/>
          <w:szCs w:val="20"/>
          <w:lang w:val="nl-NL"/>
        </w:rPr>
      </w:pPr>
      <w:r w:rsidRPr="00316224">
        <w:rPr>
          <w:rStyle w:val="FootnoteReference"/>
          <w:sz w:val="20"/>
          <w:szCs w:val="20"/>
        </w:rPr>
        <w:footnoteRef/>
      </w:r>
      <w:r w:rsidRPr="00F77DE7">
        <w:rPr>
          <w:sz w:val="20"/>
          <w:szCs w:val="20"/>
          <w:lang w:val="nl-NL"/>
        </w:rPr>
        <w:t xml:space="preserve"> Klein, op. cit., pp306 and 206.</w:t>
      </w:r>
    </w:p>
  </w:footnote>
  <w:footnote w:id="37">
    <w:p w14:paraId="30A48F31" w14:textId="7A5D8AAA" w:rsidR="005C2FD7" w:rsidRPr="00F77DE7" w:rsidRDefault="005C2FD7">
      <w:pPr>
        <w:pStyle w:val="FootnoteText"/>
        <w:rPr>
          <w:sz w:val="20"/>
          <w:szCs w:val="20"/>
          <w:highlight w:val="yellow"/>
          <w:lang w:val="nl-NL"/>
        </w:rPr>
      </w:pPr>
      <w:r w:rsidRPr="00002F03">
        <w:rPr>
          <w:rStyle w:val="FootnoteReference"/>
          <w:sz w:val="20"/>
          <w:szCs w:val="20"/>
        </w:rPr>
        <w:footnoteRef/>
      </w:r>
      <w:r w:rsidRPr="00F77DE7">
        <w:rPr>
          <w:sz w:val="20"/>
          <w:szCs w:val="20"/>
          <w:lang w:val="nl-NL"/>
        </w:rPr>
        <w:t xml:space="preserve"> Wiegman, op. cit., p17.</w:t>
      </w:r>
    </w:p>
  </w:footnote>
  <w:footnote w:id="38">
    <w:p w14:paraId="5B790A0A" w14:textId="77777777" w:rsidR="005C2FD7" w:rsidRPr="00F77DE7" w:rsidRDefault="005C2FD7" w:rsidP="007A35C7">
      <w:pPr>
        <w:pStyle w:val="FootnoteText"/>
        <w:rPr>
          <w:sz w:val="20"/>
          <w:szCs w:val="20"/>
          <w:highlight w:val="yellow"/>
          <w:lang w:val="nl-NL"/>
        </w:rPr>
      </w:pPr>
      <w:r w:rsidRPr="00002F03">
        <w:rPr>
          <w:rStyle w:val="FootnoteReference"/>
          <w:sz w:val="20"/>
          <w:szCs w:val="20"/>
        </w:rPr>
        <w:footnoteRef/>
      </w:r>
      <w:r w:rsidRPr="00F77DE7">
        <w:rPr>
          <w:sz w:val="20"/>
          <w:szCs w:val="20"/>
          <w:lang w:val="nl-NL"/>
        </w:rPr>
        <w:t xml:space="preserve"> Stacey, op. cit., p42.</w:t>
      </w:r>
    </w:p>
  </w:footnote>
  <w:footnote w:id="39">
    <w:p w14:paraId="57989F72" w14:textId="20F5311E" w:rsidR="005C2FD7" w:rsidRPr="00F77DE7" w:rsidRDefault="005C2FD7">
      <w:pPr>
        <w:pStyle w:val="FootnoteText"/>
        <w:rPr>
          <w:sz w:val="20"/>
          <w:szCs w:val="20"/>
          <w:lang w:val="nl-NL"/>
        </w:rPr>
      </w:pPr>
      <w:r w:rsidRPr="00002F03">
        <w:rPr>
          <w:rStyle w:val="FootnoteReference"/>
          <w:sz w:val="20"/>
          <w:szCs w:val="20"/>
        </w:rPr>
        <w:footnoteRef/>
      </w:r>
      <w:r w:rsidRPr="00F77DE7">
        <w:rPr>
          <w:sz w:val="20"/>
          <w:szCs w:val="20"/>
          <w:lang w:val="nl-NL"/>
        </w:rPr>
        <w:t xml:space="preserve"> Wiegman, op. cit., p10.</w:t>
      </w:r>
    </w:p>
  </w:footnote>
  <w:footnote w:id="40">
    <w:p w14:paraId="382A23F0" w14:textId="1A697278" w:rsidR="005C2FD7" w:rsidRPr="00F77DE7" w:rsidRDefault="005C2FD7">
      <w:pPr>
        <w:pStyle w:val="FootnoteText"/>
        <w:rPr>
          <w:lang w:val="nl-NL"/>
        </w:rPr>
      </w:pPr>
      <w:r w:rsidRPr="00002F03">
        <w:rPr>
          <w:rStyle w:val="FootnoteReference"/>
          <w:sz w:val="20"/>
          <w:szCs w:val="20"/>
        </w:rPr>
        <w:footnoteRef/>
      </w:r>
      <w:r w:rsidRPr="00F77DE7">
        <w:rPr>
          <w:sz w:val="20"/>
          <w:szCs w:val="20"/>
          <w:lang w:val="nl-NL"/>
        </w:rPr>
        <w:t xml:space="preserve"> Stacey, op. cit., p47, original italics.</w:t>
      </w:r>
    </w:p>
  </w:footnote>
  <w:footnote w:id="41">
    <w:p w14:paraId="23E8722F" w14:textId="77777777" w:rsidR="005C2FD7" w:rsidRPr="00F77DE7" w:rsidRDefault="005C2FD7" w:rsidP="007A35C7">
      <w:pPr>
        <w:pStyle w:val="FootnoteText"/>
        <w:rPr>
          <w:sz w:val="20"/>
          <w:szCs w:val="20"/>
          <w:lang w:val="nl-NL"/>
        </w:rPr>
      </w:pPr>
      <w:r w:rsidRPr="00065026">
        <w:rPr>
          <w:rStyle w:val="FootnoteReference"/>
          <w:sz w:val="20"/>
          <w:szCs w:val="20"/>
        </w:rPr>
        <w:footnoteRef/>
      </w:r>
      <w:r w:rsidRPr="00F77DE7">
        <w:rPr>
          <w:sz w:val="20"/>
          <w:szCs w:val="20"/>
          <w:lang w:val="nl-NL"/>
        </w:rPr>
        <w:t xml:space="preserve"> Svendesen, op. cit., p425.</w:t>
      </w:r>
    </w:p>
  </w:footnote>
  <w:footnote w:id="42">
    <w:p w14:paraId="4A3A7A79" w14:textId="288EA700" w:rsidR="005C2FD7" w:rsidRPr="00F77DE7" w:rsidRDefault="005C2FD7">
      <w:pPr>
        <w:pStyle w:val="FootnoteText"/>
        <w:rPr>
          <w:sz w:val="20"/>
          <w:szCs w:val="20"/>
          <w:highlight w:val="yellow"/>
          <w:lang w:val="nl-NL"/>
        </w:rPr>
      </w:pPr>
      <w:r w:rsidRPr="00002F03">
        <w:rPr>
          <w:rStyle w:val="FootnoteReference"/>
          <w:sz w:val="20"/>
          <w:szCs w:val="20"/>
        </w:rPr>
        <w:footnoteRef/>
      </w:r>
      <w:r w:rsidRPr="00F77DE7">
        <w:rPr>
          <w:sz w:val="20"/>
          <w:szCs w:val="20"/>
          <w:lang w:val="nl-NL"/>
        </w:rPr>
        <w:t xml:space="preserve"> Wiegman, op. cit., p9. </w:t>
      </w:r>
    </w:p>
  </w:footnote>
  <w:footnote w:id="43">
    <w:p w14:paraId="63DA5F45" w14:textId="6626CA00" w:rsidR="005C2FD7" w:rsidRPr="00316224" w:rsidRDefault="005C2FD7">
      <w:pPr>
        <w:pStyle w:val="FootnoteText"/>
        <w:rPr>
          <w:lang w:val="en-US"/>
        </w:rPr>
      </w:pPr>
      <w:r w:rsidRPr="00002F03">
        <w:rPr>
          <w:rStyle w:val="FootnoteReference"/>
          <w:sz w:val="20"/>
          <w:szCs w:val="20"/>
        </w:rPr>
        <w:footnoteRef/>
      </w:r>
      <w:r w:rsidRPr="00002F03">
        <w:rPr>
          <w:sz w:val="20"/>
          <w:szCs w:val="20"/>
        </w:rPr>
        <w:t xml:space="preserve"> Ibid, p.4</w:t>
      </w:r>
    </w:p>
  </w:footnote>
  <w:footnote w:id="44">
    <w:p w14:paraId="31B420DC" w14:textId="1F9DB543" w:rsidR="005C2FD7" w:rsidRPr="005F4B0F" w:rsidRDefault="005C2FD7">
      <w:pPr>
        <w:pStyle w:val="FootnoteText"/>
        <w:rPr>
          <w:sz w:val="20"/>
          <w:szCs w:val="20"/>
          <w:lang w:val="en-US"/>
        </w:rPr>
      </w:pPr>
      <w:r w:rsidRPr="005F4B0F">
        <w:rPr>
          <w:rStyle w:val="FootnoteReference"/>
          <w:sz w:val="20"/>
          <w:szCs w:val="20"/>
        </w:rPr>
        <w:footnoteRef/>
      </w:r>
      <w:r w:rsidRPr="005F4B0F">
        <w:rPr>
          <w:sz w:val="20"/>
          <w:szCs w:val="20"/>
        </w:rPr>
        <w:t xml:space="preserve"> </w:t>
      </w:r>
      <w:r w:rsidRPr="005F4B0F">
        <w:rPr>
          <w:sz w:val="20"/>
          <w:szCs w:val="20"/>
          <w:lang w:val="en-US"/>
        </w:rPr>
        <w:t xml:space="preserve">For further discussion of the concept of ‘affective translation’ in cultural theory see </w:t>
      </w:r>
      <w:r>
        <w:rPr>
          <w:sz w:val="20"/>
          <w:szCs w:val="20"/>
          <w:lang w:val="en-US"/>
        </w:rPr>
        <w:t xml:space="preserve">Carolyn Pedwell, </w:t>
      </w:r>
      <w:r w:rsidRPr="008E40FA">
        <w:rPr>
          <w:i/>
          <w:sz w:val="20"/>
          <w:szCs w:val="20"/>
          <w:lang w:val="en-US"/>
        </w:rPr>
        <w:t>Affective Relations: The Transnational Politics of Empathy</w:t>
      </w:r>
      <w:r>
        <w:rPr>
          <w:sz w:val="20"/>
          <w:szCs w:val="20"/>
          <w:lang w:val="en-US"/>
        </w:rPr>
        <w:t xml:space="preserve">, Basingstoke, Palgrave Macmillan, 2014. </w:t>
      </w:r>
    </w:p>
  </w:footnote>
  <w:footnote w:id="45">
    <w:p w14:paraId="662F73E1" w14:textId="526B6A56" w:rsidR="005C2FD7" w:rsidRPr="00A13C36" w:rsidRDefault="005C2FD7">
      <w:pPr>
        <w:pStyle w:val="FootnoteText"/>
        <w:rPr>
          <w:sz w:val="20"/>
          <w:szCs w:val="20"/>
          <w:lang w:val="en-US"/>
        </w:rPr>
      </w:pPr>
      <w:r w:rsidRPr="00A13C36">
        <w:rPr>
          <w:rStyle w:val="FootnoteReference"/>
          <w:sz w:val="20"/>
          <w:szCs w:val="20"/>
        </w:rPr>
        <w:footnoteRef/>
      </w:r>
      <w:r w:rsidRPr="00A13C36">
        <w:rPr>
          <w:sz w:val="20"/>
          <w:szCs w:val="20"/>
        </w:rPr>
        <w:t xml:space="preserve"> Charles Rycroft cited in Stacey, </w:t>
      </w:r>
      <w:r>
        <w:rPr>
          <w:sz w:val="20"/>
          <w:szCs w:val="20"/>
        </w:rPr>
        <w:t>op cit., p45</w:t>
      </w:r>
      <w:r w:rsidRPr="00A13C36">
        <w:rPr>
          <w:sz w:val="20"/>
          <w:szCs w:val="20"/>
        </w:rPr>
        <w:t>, emphasis added by Stacey.</w:t>
      </w:r>
    </w:p>
  </w:footnote>
  <w:footnote w:id="46">
    <w:p w14:paraId="76262853" w14:textId="374175BB" w:rsidR="005C2FD7" w:rsidRPr="00E963FE" w:rsidRDefault="005C2FD7" w:rsidP="005D5932">
      <w:pPr>
        <w:pStyle w:val="FootnoteText"/>
        <w:rPr>
          <w:sz w:val="20"/>
          <w:szCs w:val="20"/>
          <w:highlight w:val="yellow"/>
          <w:lang w:val="en-US"/>
        </w:rPr>
      </w:pPr>
      <w:r w:rsidRPr="001F692C">
        <w:rPr>
          <w:rStyle w:val="FootnoteReference"/>
          <w:sz w:val="20"/>
          <w:szCs w:val="20"/>
        </w:rPr>
        <w:footnoteRef/>
      </w:r>
      <w:r w:rsidRPr="001F692C">
        <w:rPr>
          <w:sz w:val="20"/>
          <w:szCs w:val="20"/>
        </w:rPr>
        <w:t xml:space="preserve"> Stacey, op. cit., p44. </w:t>
      </w:r>
    </w:p>
  </w:footnote>
  <w:footnote w:id="47">
    <w:p w14:paraId="2EF9D19C" w14:textId="109D457A" w:rsidR="005C2FD7" w:rsidRPr="00316224" w:rsidRDefault="005C2FD7">
      <w:pPr>
        <w:pStyle w:val="FootnoteText"/>
        <w:rPr>
          <w:sz w:val="20"/>
          <w:szCs w:val="20"/>
          <w:lang w:val="en-US"/>
        </w:rPr>
      </w:pPr>
      <w:r w:rsidRPr="001F692C">
        <w:rPr>
          <w:rStyle w:val="FootnoteReference"/>
          <w:sz w:val="20"/>
          <w:szCs w:val="20"/>
        </w:rPr>
        <w:footnoteRef/>
      </w:r>
      <w:r w:rsidRPr="001F692C">
        <w:rPr>
          <w:sz w:val="20"/>
          <w:szCs w:val="20"/>
        </w:rPr>
        <w:t xml:space="preserve"> Gail Lewis, ‘Not by Criticality Alone’, </w:t>
      </w:r>
      <w:r w:rsidRPr="001F692C">
        <w:rPr>
          <w:i/>
          <w:sz w:val="20"/>
          <w:szCs w:val="20"/>
        </w:rPr>
        <w:t>Feminist Theory</w:t>
      </w:r>
      <w:r w:rsidRPr="001F692C">
        <w:rPr>
          <w:sz w:val="20"/>
          <w:szCs w:val="20"/>
        </w:rPr>
        <w:t>, 15, 1 (2014), pp31-8; Stacey, op cit.</w:t>
      </w:r>
      <w:r>
        <w:rPr>
          <w:sz w:val="20"/>
          <w:szCs w:val="20"/>
        </w:rPr>
        <w:t xml:space="preserve"> </w:t>
      </w:r>
    </w:p>
  </w:footnote>
  <w:footnote w:id="48">
    <w:p w14:paraId="10999029" w14:textId="331975B9" w:rsidR="005C2FD7" w:rsidRPr="00316224" w:rsidRDefault="005C2FD7">
      <w:pPr>
        <w:pStyle w:val="FootnoteText"/>
        <w:rPr>
          <w:sz w:val="20"/>
          <w:szCs w:val="20"/>
          <w:lang w:val="en-US"/>
        </w:rPr>
      </w:pPr>
      <w:r w:rsidRPr="00316224">
        <w:rPr>
          <w:rStyle w:val="FootnoteReference"/>
          <w:sz w:val="20"/>
          <w:szCs w:val="20"/>
        </w:rPr>
        <w:footnoteRef/>
      </w:r>
      <w:r w:rsidRPr="00316224">
        <w:rPr>
          <w:sz w:val="20"/>
          <w:szCs w:val="20"/>
        </w:rPr>
        <w:t xml:space="preserve"> Spivak, </w:t>
      </w:r>
      <w:r w:rsidRPr="008E40FA">
        <w:rPr>
          <w:i/>
          <w:sz w:val="20"/>
          <w:szCs w:val="20"/>
        </w:rPr>
        <w:t>Outside in the Teaching Machine</w:t>
      </w:r>
      <w:r>
        <w:rPr>
          <w:sz w:val="20"/>
          <w:szCs w:val="20"/>
        </w:rPr>
        <w:t xml:space="preserve">, op. cit. </w:t>
      </w:r>
    </w:p>
  </w:footnote>
  <w:footnote w:id="49">
    <w:p w14:paraId="5F4C7D3A" w14:textId="352A1453" w:rsidR="005C2FD7" w:rsidRPr="008E40FA" w:rsidRDefault="005C2FD7">
      <w:pPr>
        <w:pStyle w:val="FootnoteText"/>
        <w:rPr>
          <w:sz w:val="20"/>
          <w:szCs w:val="20"/>
          <w:lang w:val="en-US"/>
        </w:rPr>
      </w:pPr>
      <w:r w:rsidRPr="001F692C">
        <w:rPr>
          <w:rStyle w:val="FootnoteReference"/>
          <w:sz w:val="20"/>
          <w:szCs w:val="20"/>
        </w:rPr>
        <w:footnoteRef/>
      </w:r>
      <w:r w:rsidRPr="001F692C">
        <w:rPr>
          <w:sz w:val="20"/>
          <w:szCs w:val="20"/>
        </w:rPr>
        <w:t xml:space="preserve"> Wiegman, op. cit., p10. </w:t>
      </w:r>
    </w:p>
  </w:footnote>
  <w:footnote w:id="50">
    <w:p w14:paraId="779C6CD8" w14:textId="5553510F" w:rsidR="005C2FD7" w:rsidRPr="008E40FA" w:rsidRDefault="005C2FD7">
      <w:pPr>
        <w:pStyle w:val="FootnoteText"/>
        <w:rPr>
          <w:sz w:val="20"/>
          <w:szCs w:val="20"/>
          <w:lang w:val="en-US"/>
        </w:rPr>
      </w:pPr>
      <w:r w:rsidRPr="008E40FA">
        <w:rPr>
          <w:rStyle w:val="FootnoteReference"/>
          <w:sz w:val="20"/>
          <w:szCs w:val="20"/>
        </w:rPr>
        <w:footnoteRef/>
      </w:r>
      <w:r w:rsidRPr="008E40FA">
        <w:rPr>
          <w:sz w:val="20"/>
          <w:szCs w:val="20"/>
        </w:rPr>
        <w:t xml:space="preserve"> Spivak, </w:t>
      </w:r>
      <w:r w:rsidRPr="008E40FA">
        <w:rPr>
          <w:i/>
          <w:sz w:val="20"/>
          <w:szCs w:val="20"/>
        </w:rPr>
        <w:t>Outside in the Teaching Machine</w:t>
      </w:r>
      <w:r>
        <w:rPr>
          <w:sz w:val="20"/>
          <w:szCs w:val="20"/>
        </w:rPr>
        <w:t>, op. cit., pp</w:t>
      </w:r>
      <w:r w:rsidRPr="008E40FA">
        <w:rPr>
          <w:sz w:val="20"/>
          <w:szCs w:val="20"/>
        </w:rPr>
        <w:t>180-1.</w:t>
      </w:r>
    </w:p>
  </w:footnote>
  <w:footnote w:id="51">
    <w:p w14:paraId="4B2B13F9" w14:textId="63A894E3" w:rsidR="005C2FD7" w:rsidRPr="008E40FA" w:rsidRDefault="005C2FD7">
      <w:pPr>
        <w:pStyle w:val="FootnoteText"/>
        <w:rPr>
          <w:sz w:val="20"/>
          <w:szCs w:val="20"/>
          <w:lang w:val="en-US"/>
        </w:rPr>
      </w:pPr>
      <w:r w:rsidRPr="008E40FA">
        <w:rPr>
          <w:rStyle w:val="FootnoteReference"/>
          <w:sz w:val="20"/>
          <w:szCs w:val="20"/>
        </w:rPr>
        <w:footnoteRef/>
      </w:r>
      <w:r w:rsidRPr="008E40FA">
        <w:rPr>
          <w:sz w:val="20"/>
          <w:szCs w:val="20"/>
        </w:rPr>
        <w:t xml:space="preserve"> Spivak, </w:t>
      </w:r>
      <w:r w:rsidRPr="008E40FA">
        <w:rPr>
          <w:i/>
          <w:sz w:val="20"/>
          <w:szCs w:val="20"/>
        </w:rPr>
        <w:t>An Aesthetic Education</w:t>
      </w:r>
      <w:r>
        <w:rPr>
          <w:sz w:val="20"/>
          <w:szCs w:val="20"/>
        </w:rPr>
        <w:t>, op. cit., p</w:t>
      </w:r>
      <w:r w:rsidRPr="008E40FA">
        <w:rPr>
          <w:sz w:val="20"/>
          <w:szCs w:val="20"/>
        </w:rPr>
        <w:t>258.</w:t>
      </w:r>
    </w:p>
  </w:footnote>
  <w:footnote w:id="52">
    <w:p w14:paraId="1F7616DD" w14:textId="01BE1322" w:rsidR="005C2FD7" w:rsidRPr="008E40FA" w:rsidRDefault="005C2FD7" w:rsidP="00DA4583">
      <w:pPr>
        <w:pStyle w:val="FootnoteText"/>
        <w:rPr>
          <w:sz w:val="20"/>
          <w:szCs w:val="20"/>
          <w:lang w:val="en-US"/>
        </w:rPr>
      </w:pPr>
      <w:r w:rsidRPr="008E40FA">
        <w:rPr>
          <w:rStyle w:val="FootnoteReference"/>
          <w:sz w:val="20"/>
          <w:szCs w:val="20"/>
        </w:rPr>
        <w:footnoteRef/>
      </w:r>
      <w:r>
        <w:rPr>
          <w:sz w:val="20"/>
          <w:szCs w:val="20"/>
        </w:rPr>
        <w:t xml:space="preserve"> </w:t>
      </w:r>
      <w:r w:rsidRPr="008E40FA">
        <w:rPr>
          <w:sz w:val="20"/>
          <w:szCs w:val="20"/>
        </w:rPr>
        <w:t xml:space="preserve">Spivak, </w:t>
      </w:r>
      <w:r w:rsidRPr="008E40FA">
        <w:rPr>
          <w:i/>
          <w:sz w:val="20"/>
          <w:szCs w:val="20"/>
        </w:rPr>
        <w:t>Outside in the Teaching Machine</w:t>
      </w:r>
      <w:r w:rsidRPr="008E40FA">
        <w:rPr>
          <w:sz w:val="20"/>
          <w:szCs w:val="20"/>
        </w:rPr>
        <w:t>, op. cit</w:t>
      </w:r>
      <w:r>
        <w:rPr>
          <w:sz w:val="20"/>
          <w:szCs w:val="20"/>
        </w:rPr>
        <w:t xml:space="preserve">., pp179 and 181. </w:t>
      </w:r>
    </w:p>
  </w:footnote>
  <w:footnote w:id="53">
    <w:p w14:paraId="74C14283" w14:textId="05A3ED50" w:rsidR="005C2FD7" w:rsidRPr="008E40FA" w:rsidRDefault="005C2FD7">
      <w:pPr>
        <w:pStyle w:val="FootnoteText"/>
        <w:rPr>
          <w:sz w:val="20"/>
          <w:szCs w:val="20"/>
          <w:lang w:val="en-US"/>
        </w:rPr>
      </w:pPr>
      <w:r w:rsidRPr="008E40FA">
        <w:rPr>
          <w:rStyle w:val="FootnoteReference"/>
          <w:sz w:val="20"/>
          <w:szCs w:val="20"/>
        </w:rPr>
        <w:footnoteRef/>
      </w:r>
      <w:r>
        <w:rPr>
          <w:sz w:val="20"/>
          <w:szCs w:val="20"/>
        </w:rPr>
        <w:t xml:space="preserve"> Ibid, p181.</w:t>
      </w:r>
    </w:p>
  </w:footnote>
  <w:footnote w:id="54">
    <w:p w14:paraId="5FDFBEEE" w14:textId="66B064BB" w:rsidR="005C2FD7" w:rsidRPr="00893ABD" w:rsidRDefault="005C2FD7">
      <w:pPr>
        <w:pStyle w:val="FootnoteText"/>
        <w:rPr>
          <w:sz w:val="20"/>
          <w:szCs w:val="20"/>
          <w:lang w:val="en-US"/>
        </w:rPr>
      </w:pPr>
      <w:r w:rsidRPr="008E40FA">
        <w:rPr>
          <w:rStyle w:val="FootnoteReference"/>
          <w:sz w:val="20"/>
          <w:szCs w:val="20"/>
        </w:rPr>
        <w:footnoteRef/>
      </w:r>
      <w:r>
        <w:rPr>
          <w:sz w:val="20"/>
          <w:szCs w:val="20"/>
        </w:rPr>
        <w:t xml:space="preserve"> Ibid, p</w:t>
      </w:r>
      <w:r w:rsidRPr="008E40FA">
        <w:rPr>
          <w:sz w:val="20"/>
          <w:szCs w:val="20"/>
        </w:rPr>
        <w:t>83.</w:t>
      </w:r>
    </w:p>
  </w:footnote>
  <w:footnote w:id="55">
    <w:p w14:paraId="67AA5A80" w14:textId="1C4B2486" w:rsidR="005C2FD7" w:rsidRPr="00893ABD" w:rsidRDefault="005C2FD7">
      <w:pPr>
        <w:pStyle w:val="FootnoteText"/>
        <w:rPr>
          <w:sz w:val="20"/>
          <w:szCs w:val="20"/>
          <w:lang w:val="en-US"/>
        </w:rPr>
      </w:pPr>
      <w:r w:rsidRPr="00893ABD">
        <w:rPr>
          <w:rStyle w:val="FootnoteReference"/>
          <w:sz w:val="20"/>
          <w:szCs w:val="20"/>
        </w:rPr>
        <w:footnoteRef/>
      </w:r>
      <w:r>
        <w:rPr>
          <w:sz w:val="20"/>
          <w:szCs w:val="20"/>
        </w:rPr>
        <w:t xml:space="preserve"> </w:t>
      </w:r>
      <w:r w:rsidRPr="008E40FA">
        <w:rPr>
          <w:sz w:val="20"/>
          <w:szCs w:val="20"/>
        </w:rPr>
        <w:t xml:space="preserve">Spivak, </w:t>
      </w:r>
      <w:r w:rsidRPr="008E40FA">
        <w:rPr>
          <w:i/>
          <w:sz w:val="20"/>
          <w:szCs w:val="20"/>
        </w:rPr>
        <w:t>An Aesthetic Education</w:t>
      </w:r>
      <w:r>
        <w:rPr>
          <w:sz w:val="20"/>
          <w:szCs w:val="20"/>
        </w:rPr>
        <w:t>, op. cit., p</w:t>
      </w:r>
      <w:r w:rsidRPr="00893ABD">
        <w:rPr>
          <w:sz w:val="20"/>
          <w:szCs w:val="20"/>
        </w:rPr>
        <w:t>519.</w:t>
      </w:r>
    </w:p>
  </w:footnote>
  <w:footnote w:id="56">
    <w:p w14:paraId="53C2361E" w14:textId="0BBA1536" w:rsidR="005C2FD7" w:rsidRPr="00893ABD" w:rsidRDefault="005C2FD7" w:rsidP="00DA4583">
      <w:pPr>
        <w:pStyle w:val="FootnoteText"/>
        <w:rPr>
          <w:sz w:val="20"/>
          <w:szCs w:val="20"/>
          <w:lang w:val="en-US"/>
        </w:rPr>
      </w:pPr>
      <w:r w:rsidRPr="00893ABD">
        <w:rPr>
          <w:rStyle w:val="FootnoteReference"/>
          <w:sz w:val="20"/>
          <w:szCs w:val="20"/>
        </w:rPr>
        <w:footnoteRef/>
      </w:r>
      <w:r w:rsidRPr="00893ABD">
        <w:rPr>
          <w:sz w:val="20"/>
          <w:szCs w:val="20"/>
        </w:rPr>
        <w:t xml:space="preserve"> Spivak, </w:t>
      </w:r>
      <w:r w:rsidRPr="008E40FA">
        <w:rPr>
          <w:i/>
          <w:sz w:val="20"/>
          <w:szCs w:val="20"/>
        </w:rPr>
        <w:t>Outside in the Teaching Machine</w:t>
      </w:r>
      <w:r>
        <w:rPr>
          <w:sz w:val="20"/>
          <w:szCs w:val="20"/>
        </w:rPr>
        <w:t xml:space="preserve">, op. cit., pp179, 187 and 180. </w:t>
      </w:r>
    </w:p>
  </w:footnote>
  <w:footnote w:id="57">
    <w:p w14:paraId="2081C561" w14:textId="4A1C3DBA" w:rsidR="005C2FD7" w:rsidRPr="00893ABD" w:rsidRDefault="005C2FD7">
      <w:pPr>
        <w:pStyle w:val="FootnoteText"/>
        <w:rPr>
          <w:lang w:val="en-US"/>
        </w:rPr>
      </w:pPr>
      <w:r w:rsidRPr="00893ABD">
        <w:rPr>
          <w:rStyle w:val="FootnoteReference"/>
          <w:sz w:val="20"/>
          <w:szCs w:val="20"/>
        </w:rPr>
        <w:footnoteRef/>
      </w:r>
      <w:r>
        <w:rPr>
          <w:sz w:val="20"/>
          <w:szCs w:val="20"/>
        </w:rPr>
        <w:t xml:space="preserve"> Sedgwick, </w:t>
      </w:r>
      <w:r w:rsidRPr="008E40FA">
        <w:rPr>
          <w:i/>
          <w:sz w:val="20"/>
          <w:szCs w:val="20"/>
        </w:rPr>
        <w:t>Touching Feeling</w:t>
      </w:r>
      <w:r>
        <w:rPr>
          <w:sz w:val="20"/>
          <w:szCs w:val="20"/>
        </w:rPr>
        <w:t>, op. cit., p</w:t>
      </w:r>
      <w:r w:rsidRPr="00893ABD">
        <w:rPr>
          <w:sz w:val="20"/>
          <w:szCs w:val="20"/>
        </w:rPr>
        <w:t>6.</w:t>
      </w:r>
    </w:p>
  </w:footnote>
  <w:footnote w:id="58">
    <w:p w14:paraId="34F6CB7E" w14:textId="0F61F587" w:rsidR="005C2FD7" w:rsidRPr="00893ABD" w:rsidRDefault="005C2FD7">
      <w:pPr>
        <w:pStyle w:val="FootnoteText"/>
        <w:rPr>
          <w:lang w:val="en-US"/>
        </w:rPr>
      </w:pPr>
      <w:r w:rsidRPr="00893ABD">
        <w:rPr>
          <w:rStyle w:val="FootnoteReference"/>
          <w:sz w:val="20"/>
          <w:szCs w:val="20"/>
        </w:rPr>
        <w:footnoteRef/>
      </w:r>
      <w:r w:rsidRPr="00893ABD">
        <w:rPr>
          <w:sz w:val="20"/>
          <w:szCs w:val="20"/>
        </w:rPr>
        <w:t xml:space="preserve"> Spivak, </w:t>
      </w:r>
      <w:r w:rsidRPr="008E40FA">
        <w:rPr>
          <w:i/>
          <w:sz w:val="20"/>
          <w:szCs w:val="20"/>
        </w:rPr>
        <w:t>Outside in the Teaching Machine</w:t>
      </w:r>
      <w:r>
        <w:rPr>
          <w:sz w:val="20"/>
          <w:szCs w:val="20"/>
        </w:rPr>
        <w:t>, op. cit., p</w:t>
      </w:r>
      <w:r w:rsidRPr="00893ABD">
        <w:rPr>
          <w:sz w:val="20"/>
          <w:szCs w:val="20"/>
        </w:rPr>
        <w:t>189</w:t>
      </w:r>
      <w:r>
        <w:rPr>
          <w:sz w:val="20"/>
          <w:szCs w:val="20"/>
        </w:rPr>
        <w:t>.</w:t>
      </w:r>
    </w:p>
  </w:footnote>
  <w:footnote w:id="59">
    <w:p w14:paraId="6E89397D" w14:textId="482679C3" w:rsidR="005C2FD7" w:rsidRPr="00893ABD" w:rsidRDefault="005C2FD7" w:rsidP="007D1EBE">
      <w:pPr>
        <w:pStyle w:val="FootnoteText"/>
        <w:rPr>
          <w:sz w:val="20"/>
          <w:szCs w:val="20"/>
          <w:lang w:val="en-US"/>
        </w:rPr>
      </w:pPr>
      <w:r w:rsidRPr="00D95469">
        <w:rPr>
          <w:rStyle w:val="FootnoteReference"/>
          <w:sz w:val="20"/>
          <w:szCs w:val="20"/>
        </w:rPr>
        <w:footnoteRef/>
      </w:r>
      <w:r w:rsidRPr="00D95469">
        <w:rPr>
          <w:sz w:val="20"/>
          <w:szCs w:val="20"/>
        </w:rPr>
        <w:t xml:space="preserve"> </w:t>
      </w:r>
      <w:r>
        <w:rPr>
          <w:sz w:val="20"/>
          <w:szCs w:val="20"/>
        </w:rPr>
        <w:t xml:space="preserve">Paul Gibney, ‘The Double Bind Theory: Still Crazy-Making After all These Years’, </w:t>
      </w:r>
      <w:r w:rsidRPr="00D95469">
        <w:rPr>
          <w:i/>
          <w:sz w:val="20"/>
          <w:szCs w:val="20"/>
        </w:rPr>
        <w:t>Psychotherapy in Australia</w:t>
      </w:r>
      <w:r>
        <w:rPr>
          <w:sz w:val="20"/>
          <w:szCs w:val="20"/>
        </w:rPr>
        <w:t xml:space="preserve">, 12, 3 (2006), pp48-55 and 51. </w:t>
      </w:r>
    </w:p>
  </w:footnote>
  <w:footnote w:id="60">
    <w:p w14:paraId="1E510B4C" w14:textId="5B04E105" w:rsidR="005C2FD7" w:rsidRPr="006373E5" w:rsidRDefault="005C2FD7" w:rsidP="00071FBE">
      <w:pPr>
        <w:pStyle w:val="FootnoteText"/>
        <w:rPr>
          <w:sz w:val="20"/>
          <w:szCs w:val="20"/>
          <w:lang w:val="en-US"/>
        </w:rPr>
      </w:pPr>
      <w:r w:rsidRPr="006373E5">
        <w:rPr>
          <w:rStyle w:val="FootnoteReference"/>
          <w:sz w:val="20"/>
          <w:szCs w:val="20"/>
        </w:rPr>
        <w:footnoteRef/>
      </w:r>
      <w:r w:rsidRPr="006373E5">
        <w:rPr>
          <w:sz w:val="20"/>
          <w:szCs w:val="20"/>
        </w:rPr>
        <w:t xml:space="preserve"> </w:t>
      </w:r>
      <w:r w:rsidRPr="00893ABD">
        <w:rPr>
          <w:sz w:val="20"/>
          <w:szCs w:val="20"/>
        </w:rPr>
        <w:t xml:space="preserve">Spivak, </w:t>
      </w:r>
      <w:r w:rsidRPr="008E40FA">
        <w:rPr>
          <w:i/>
          <w:sz w:val="20"/>
          <w:szCs w:val="20"/>
        </w:rPr>
        <w:t>An Aesthetic Education</w:t>
      </w:r>
      <w:r>
        <w:rPr>
          <w:sz w:val="20"/>
          <w:szCs w:val="20"/>
        </w:rPr>
        <w:t xml:space="preserve">, op. cit., pp1, xvi, ix. </w:t>
      </w:r>
    </w:p>
  </w:footnote>
  <w:footnote w:id="61">
    <w:p w14:paraId="214D65BD" w14:textId="1B5CA19F" w:rsidR="005C2FD7" w:rsidRPr="00893ABD" w:rsidRDefault="005C2FD7">
      <w:pPr>
        <w:pStyle w:val="FootnoteText"/>
        <w:rPr>
          <w:sz w:val="20"/>
          <w:szCs w:val="20"/>
          <w:lang w:val="en-US"/>
        </w:rPr>
      </w:pPr>
      <w:r w:rsidRPr="00893ABD">
        <w:rPr>
          <w:rStyle w:val="FootnoteReference"/>
          <w:sz w:val="20"/>
          <w:szCs w:val="20"/>
        </w:rPr>
        <w:footnoteRef/>
      </w:r>
      <w:r>
        <w:rPr>
          <w:sz w:val="20"/>
          <w:szCs w:val="20"/>
        </w:rPr>
        <w:t xml:space="preserve"> Ibid, p</w:t>
      </w:r>
      <w:r w:rsidRPr="00893ABD">
        <w:rPr>
          <w:sz w:val="20"/>
          <w:szCs w:val="20"/>
        </w:rPr>
        <w:t>18.</w:t>
      </w:r>
    </w:p>
  </w:footnote>
  <w:footnote w:id="62">
    <w:p w14:paraId="790A72A3" w14:textId="628BF7DB" w:rsidR="005C2FD7" w:rsidRPr="00893ABD" w:rsidRDefault="005C2FD7">
      <w:pPr>
        <w:pStyle w:val="FootnoteText"/>
        <w:rPr>
          <w:lang w:val="en-US"/>
        </w:rPr>
      </w:pPr>
      <w:r w:rsidRPr="00893ABD">
        <w:rPr>
          <w:rStyle w:val="FootnoteReference"/>
          <w:sz w:val="20"/>
          <w:szCs w:val="20"/>
        </w:rPr>
        <w:footnoteRef/>
      </w:r>
      <w:r>
        <w:rPr>
          <w:sz w:val="20"/>
          <w:szCs w:val="20"/>
        </w:rPr>
        <w:t xml:space="preserve"> Ibid</w:t>
      </w:r>
      <w:r w:rsidRPr="00893ABD">
        <w:rPr>
          <w:sz w:val="20"/>
          <w:szCs w:val="20"/>
        </w:rPr>
        <w:t xml:space="preserve">, </w:t>
      </w:r>
      <w:r>
        <w:rPr>
          <w:sz w:val="20"/>
          <w:szCs w:val="20"/>
        </w:rPr>
        <w:t>p</w:t>
      </w:r>
      <w:r w:rsidRPr="00893ABD">
        <w:rPr>
          <w:sz w:val="20"/>
          <w:szCs w:val="20"/>
        </w:rPr>
        <w:t>ix</w:t>
      </w:r>
      <w:r>
        <w:rPr>
          <w:sz w:val="20"/>
          <w:szCs w:val="20"/>
        </w:rPr>
        <w:t xml:space="preserve">, </w:t>
      </w:r>
      <w:r w:rsidRPr="00893ABD">
        <w:rPr>
          <w:sz w:val="20"/>
          <w:szCs w:val="20"/>
        </w:rPr>
        <w:t>italics mine</w:t>
      </w:r>
      <w:r>
        <w:rPr>
          <w:sz w:val="20"/>
          <w:szCs w:val="20"/>
        </w:rPr>
        <w:t>.</w:t>
      </w:r>
    </w:p>
  </w:footnote>
  <w:footnote w:id="63">
    <w:p w14:paraId="5B2A37C8" w14:textId="54D16BE8" w:rsidR="005C2FD7" w:rsidRPr="006373E5" w:rsidRDefault="005C2FD7">
      <w:pPr>
        <w:pStyle w:val="FootnoteText"/>
        <w:rPr>
          <w:sz w:val="20"/>
          <w:szCs w:val="20"/>
          <w:lang w:val="en-US"/>
        </w:rPr>
      </w:pPr>
      <w:r w:rsidRPr="006373E5">
        <w:rPr>
          <w:rStyle w:val="FootnoteReference"/>
          <w:sz w:val="20"/>
          <w:szCs w:val="20"/>
        </w:rPr>
        <w:footnoteRef/>
      </w:r>
      <w:r w:rsidRPr="006373E5">
        <w:rPr>
          <w:sz w:val="20"/>
          <w:szCs w:val="20"/>
        </w:rPr>
        <w:t xml:space="preserve"> Sedgwick, </w:t>
      </w:r>
      <w:r w:rsidRPr="00111346">
        <w:rPr>
          <w:i/>
          <w:sz w:val="20"/>
          <w:szCs w:val="20"/>
        </w:rPr>
        <w:t>The Weather in Proust</w:t>
      </w:r>
      <w:r>
        <w:rPr>
          <w:sz w:val="20"/>
          <w:szCs w:val="20"/>
        </w:rPr>
        <w:t>, op. cit., p</w:t>
      </w:r>
      <w:r w:rsidRPr="006373E5">
        <w:rPr>
          <w:sz w:val="20"/>
          <w:szCs w:val="20"/>
        </w:rPr>
        <w:t>127.</w:t>
      </w:r>
    </w:p>
  </w:footnote>
  <w:footnote w:id="64">
    <w:p w14:paraId="3AFE131D" w14:textId="27C8A48B" w:rsidR="005C2FD7" w:rsidRPr="006373E5" w:rsidRDefault="005C2FD7">
      <w:pPr>
        <w:pStyle w:val="FootnoteText"/>
        <w:rPr>
          <w:lang w:val="en-US"/>
        </w:rPr>
      </w:pPr>
      <w:r w:rsidRPr="006373E5">
        <w:rPr>
          <w:rStyle w:val="FootnoteReference"/>
          <w:sz w:val="20"/>
          <w:szCs w:val="20"/>
        </w:rPr>
        <w:footnoteRef/>
      </w:r>
      <w:r w:rsidRPr="006373E5">
        <w:rPr>
          <w:sz w:val="20"/>
          <w:szCs w:val="20"/>
        </w:rPr>
        <w:t xml:space="preserve"> Lewis, </w:t>
      </w:r>
      <w:r>
        <w:rPr>
          <w:sz w:val="20"/>
          <w:szCs w:val="20"/>
        </w:rPr>
        <w:t>op. cit., p37</w:t>
      </w:r>
      <w:r w:rsidRPr="006373E5">
        <w:rPr>
          <w:sz w:val="20"/>
          <w:szCs w:val="20"/>
        </w:rPr>
        <w:t>.</w:t>
      </w:r>
    </w:p>
  </w:footnote>
  <w:footnote w:id="65">
    <w:p w14:paraId="10C84361" w14:textId="54C73DB8" w:rsidR="005C2FD7" w:rsidRPr="006373E5" w:rsidRDefault="005C2FD7">
      <w:pPr>
        <w:pStyle w:val="FootnoteText"/>
        <w:rPr>
          <w:sz w:val="20"/>
          <w:szCs w:val="20"/>
          <w:lang w:val="en-US"/>
        </w:rPr>
      </w:pPr>
      <w:r w:rsidRPr="006373E5">
        <w:rPr>
          <w:rStyle w:val="FootnoteReference"/>
          <w:sz w:val="20"/>
          <w:szCs w:val="20"/>
        </w:rPr>
        <w:footnoteRef/>
      </w:r>
      <w:r>
        <w:rPr>
          <w:sz w:val="20"/>
          <w:szCs w:val="20"/>
        </w:rPr>
        <w:t xml:space="preserve"> </w:t>
      </w:r>
      <w:r w:rsidRPr="006373E5">
        <w:rPr>
          <w:sz w:val="20"/>
          <w:szCs w:val="20"/>
        </w:rPr>
        <w:t xml:space="preserve">Sedgwick, </w:t>
      </w:r>
      <w:r w:rsidRPr="00111346">
        <w:rPr>
          <w:i/>
          <w:sz w:val="20"/>
          <w:szCs w:val="20"/>
        </w:rPr>
        <w:t>The Weather in Proust</w:t>
      </w:r>
      <w:r>
        <w:rPr>
          <w:sz w:val="20"/>
          <w:szCs w:val="20"/>
        </w:rPr>
        <w:t xml:space="preserve">, op. cit., p129. </w:t>
      </w:r>
    </w:p>
  </w:footnote>
  <w:footnote w:id="66">
    <w:p w14:paraId="45D5E14C" w14:textId="7FBAA424" w:rsidR="005C2FD7" w:rsidRPr="006373E5" w:rsidRDefault="005C2FD7">
      <w:pPr>
        <w:pStyle w:val="FootnoteText"/>
        <w:rPr>
          <w:sz w:val="20"/>
          <w:szCs w:val="20"/>
          <w:lang w:val="en-US"/>
        </w:rPr>
      </w:pPr>
      <w:r w:rsidRPr="006373E5">
        <w:rPr>
          <w:rStyle w:val="FootnoteReference"/>
          <w:sz w:val="20"/>
          <w:szCs w:val="20"/>
        </w:rPr>
        <w:footnoteRef/>
      </w:r>
      <w:r w:rsidRPr="006373E5">
        <w:rPr>
          <w:sz w:val="20"/>
          <w:szCs w:val="20"/>
        </w:rPr>
        <w:t xml:space="preserve"> </w:t>
      </w:r>
      <w:r w:rsidRPr="006373E5">
        <w:rPr>
          <w:sz w:val="20"/>
          <w:szCs w:val="20"/>
          <w:lang w:val="en-US"/>
        </w:rPr>
        <w:t xml:space="preserve">See also Love, </w:t>
      </w:r>
      <w:r>
        <w:rPr>
          <w:sz w:val="20"/>
          <w:szCs w:val="20"/>
          <w:lang w:val="en-US"/>
        </w:rPr>
        <w:t>op. cit.</w:t>
      </w:r>
    </w:p>
  </w:footnote>
  <w:footnote w:id="67">
    <w:p w14:paraId="41787A9B" w14:textId="2907EF07" w:rsidR="005C2FD7" w:rsidRPr="006373E5" w:rsidRDefault="005C2FD7">
      <w:pPr>
        <w:pStyle w:val="FootnoteText"/>
        <w:rPr>
          <w:sz w:val="20"/>
          <w:szCs w:val="20"/>
          <w:lang w:val="en-US"/>
        </w:rPr>
      </w:pPr>
      <w:r w:rsidRPr="006373E5">
        <w:rPr>
          <w:rStyle w:val="FootnoteReference"/>
          <w:sz w:val="20"/>
          <w:szCs w:val="20"/>
        </w:rPr>
        <w:footnoteRef/>
      </w:r>
      <w:r w:rsidRPr="006373E5">
        <w:rPr>
          <w:sz w:val="20"/>
          <w:szCs w:val="20"/>
        </w:rPr>
        <w:t xml:space="preserve"> Sedgwick, </w:t>
      </w:r>
      <w:r w:rsidRPr="00111346">
        <w:rPr>
          <w:i/>
          <w:sz w:val="20"/>
          <w:szCs w:val="20"/>
        </w:rPr>
        <w:t>An Aesthetic Education</w:t>
      </w:r>
      <w:r>
        <w:rPr>
          <w:sz w:val="20"/>
          <w:szCs w:val="20"/>
        </w:rPr>
        <w:t>, op. cit., p</w:t>
      </w:r>
      <w:r w:rsidRPr="006373E5">
        <w:rPr>
          <w:sz w:val="20"/>
          <w:szCs w:val="20"/>
        </w:rPr>
        <w:t>135.</w:t>
      </w:r>
    </w:p>
  </w:footnote>
  <w:footnote w:id="68">
    <w:p w14:paraId="2EC03608" w14:textId="63576B2A" w:rsidR="005C2FD7" w:rsidRPr="006373E5" w:rsidRDefault="005C2FD7">
      <w:pPr>
        <w:pStyle w:val="FootnoteText"/>
        <w:rPr>
          <w:lang w:val="en-US"/>
        </w:rPr>
      </w:pPr>
      <w:r w:rsidRPr="006373E5">
        <w:rPr>
          <w:rStyle w:val="FootnoteReference"/>
          <w:sz w:val="20"/>
          <w:szCs w:val="20"/>
        </w:rPr>
        <w:footnoteRef/>
      </w:r>
      <w:r w:rsidRPr="006373E5">
        <w:rPr>
          <w:sz w:val="20"/>
          <w:szCs w:val="20"/>
        </w:rPr>
        <w:t xml:space="preserve"> Klein, </w:t>
      </w:r>
      <w:r>
        <w:rPr>
          <w:sz w:val="20"/>
          <w:szCs w:val="20"/>
        </w:rPr>
        <w:t>op. cit., p</w:t>
      </w:r>
      <w:r w:rsidRPr="006373E5">
        <w:rPr>
          <w:sz w:val="20"/>
          <w:szCs w:val="20"/>
        </w:rPr>
        <w:t>306.</w:t>
      </w:r>
    </w:p>
  </w:footnote>
  <w:footnote w:id="69">
    <w:p w14:paraId="74D11948" w14:textId="62A37A27" w:rsidR="005C2FD7" w:rsidRPr="006373E5" w:rsidRDefault="005C2FD7">
      <w:pPr>
        <w:pStyle w:val="FootnoteText"/>
        <w:rPr>
          <w:sz w:val="20"/>
          <w:szCs w:val="20"/>
          <w:lang w:val="en-US"/>
        </w:rPr>
      </w:pPr>
      <w:r w:rsidRPr="006373E5">
        <w:rPr>
          <w:rStyle w:val="FootnoteReference"/>
          <w:sz w:val="20"/>
          <w:szCs w:val="20"/>
        </w:rPr>
        <w:footnoteRef/>
      </w:r>
      <w:r w:rsidRPr="006373E5">
        <w:rPr>
          <w:sz w:val="20"/>
          <w:szCs w:val="20"/>
        </w:rPr>
        <w:t xml:space="preserve"> </w:t>
      </w:r>
      <w:r>
        <w:rPr>
          <w:sz w:val="20"/>
          <w:szCs w:val="20"/>
        </w:rPr>
        <w:t xml:space="preserve">Spivak, </w:t>
      </w:r>
      <w:r w:rsidRPr="00111346">
        <w:rPr>
          <w:i/>
          <w:sz w:val="20"/>
          <w:szCs w:val="20"/>
        </w:rPr>
        <w:t>An Aesthetic Education</w:t>
      </w:r>
      <w:r>
        <w:rPr>
          <w:sz w:val="20"/>
          <w:szCs w:val="20"/>
        </w:rPr>
        <w:t xml:space="preserve">, op. cit., p1, </w:t>
      </w:r>
      <w:r w:rsidRPr="00893ABD">
        <w:rPr>
          <w:sz w:val="20"/>
          <w:szCs w:val="20"/>
        </w:rPr>
        <w:t>italics mine</w:t>
      </w:r>
      <w:r>
        <w:rPr>
          <w:sz w:val="20"/>
          <w:szCs w:val="20"/>
        </w:rPr>
        <w:t>.</w:t>
      </w:r>
    </w:p>
  </w:footnote>
  <w:footnote w:id="70">
    <w:p w14:paraId="108EEE8A" w14:textId="61E7046E" w:rsidR="005C2FD7" w:rsidRPr="006373E5" w:rsidRDefault="005C2FD7">
      <w:pPr>
        <w:pStyle w:val="FootnoteText"/>
        <w:rPr>
          <w:sz w:val="20"/>
          <w:szCs w:val="20"/>
          <w:lang w:val="en-US"/>
        </w:rPr>
      </w:pPr>
      <w:r w:rsidRPr="006373E5">
        <w:rPr>
          <w:rStyle w:val="FootnoteReference"/>
          <w:sz w:val="20"/>
          <w:szCs w:val="20"/>
        </w:rPr>
        <w:footnoteRef/>
      </w:r>
      <w:r w:rsidRPr="006373E5">
        <w:rPr>
          <w:sz w:val="20"/>
          <w:szCs w:val="20"/>
        </w:rPr>
        <w:t xml:space="preserve"> Sedgwick, </w:t>
      </w:r>
      <w:r w:rsidRPr="00111346">
        <w:rPr>
          <w:i/>
          <w:sz w:val="20"/>
          <w:szCs w:val="20"/>
        </w:rPr>
        <w:t>The Weather in Proust</w:t>
      </w:r>
      <w:r>
        <w:rPr>
          <w:sz w:val="20"/>
          <w:szCs w:val="20"/>
        </w:rPr>
        <w:t>, op. cit., p</w:t>
      </w:r>
      <w:r w:rsidRPr="006373E5">
        <w:rPr>
          <w:sz w:val="20"/>
          <w:szCs w:val="20"/>
        </w:rPr>
        <w:t>136.</w:t>
      </w:r>
    </w:p>
  </w:footnote>
  <w:footnote w:id="71">
    <w:p w14:paraId="1B6EF2AC" w14:textId="3A00B58A" w:rsidR="005C2FD7" w:rsidRPr="006373E5" w:rsidRDefault="005C2FD7">
      <w:pPr>
        <w:pStyle w:val="FootnoteText"/>
        <w:rPr>
          <w:lang w:val="en-US"/>
        </w:rPr>
      </w:pPr>
      <w:r w:rsidRPr="006373E5">
        <w:rPr>
          <w:rStyle w:val="FootnoteReference"/>
          <w:sz w:val="20"/>
          <w:szCs w:val="20"/>
        </w:rPr>
        <w:footnoteRef/>
      </w:r>
      <w:r w:rsidRPr="006373E5">
        <w:rPr>
          <w:sz w:val="20"/>
          <w:szCs w:val="20"/>
        </w:rPr>
        <w:t xml:space="preserve"> Spivak, </w:t>
      </w:r>
      <w:r w:rsidRPr="00111346">
        <w:rPr>
          <w:i/>
          <w:sz w:val="20"/>
          <w:szCs w:val="20"/>
        </w:rPr>
        <w:t>An Aesthetic Education</w:t>
      </w:r>
      <w:r>
        <w:rPr>
          <w:sz w:val="20"/>
          <w:szCs w:val="20"/>
        </w:rPr>
        <w:t>, op. cit., p</w:t>
      </w:r>
      <w:r w:rsidRPr="006373E5">
        <w:rPr>
          <w:sz w:val="20"/>
          <w:szCs w:val="20"/>
        </w:rPr>
        <w:t>241.</w:t>
      </w:r>
    </w:p>
  </w:footnote>
  <w:footnote w:id="72">
    <w:p w14:paraId="29BD347A" w14:textId="09FB5CC1" w:rsidR="005C2FD7" w:rsidRPr="006373E5" w:rsidRDefault="005C2FD7">
      <w:pPr>
        <w:pStyle w:val="FootnoteText"/>
        <w:rPr>
          <w:sz w:val="20"/>
          <w:szCs w:val="20"/>
          <w:lang w:val="en-US"/>
        </w:rPr>
      </w:pPr>
      <w:r w:rsidRPr="00A13C36">
        <w:rPr>
          <w:rStyle w:val="FootnoteReference"/>
          <w:sz w:val="20"/>
          <w:szCs w:val="20"/>
        </w:rPr>
        <w:footnoteRef/>
      </w:r>
      <w:r w:rsidRPr="00A13C36">
        <w:rPr>
          <w:sz w:val="20"/>
          <w:szCs w:val="20"/>
        </w:rPr>
        <w:t xml:space="preserve"> Luce Irigaray cited in</w:t>
      </w:r>
      <w:r w:rsidRPr="00A13C36">
        <w:rPr>
          <w:rFonts w:eastAsia="ヒラギノ角ゴ Pro W3"/>
          <w:sz w:val="20"/>
          <w:szCs w:val="20"/>
          <w:lang w:val="en-US"/>
        </w:rPr>
        <w:t xml:space="preserve"> Rosfort</w:t>
      </w:r>
      <w:r>
        <w:rPr>
          <w:rFonts w:eastAsia="ヒラギノ角ゴ Pro W3"/>
          <w:sz w:val="20"/>
          <w:szCs w:val="20"/>
          <w:lang w:val="en-US"/>
        </w:rPr>
        <w:t xml:space="preserve"> and Stanghellini, op. cit., p</w:t>
      </w:r>
      <w:r w:rsidRPr="00A13C36">
        <w:rPr>
          <w:rFonts w:eastAsia="ヒラギノ角ゴ Pro W3"/>
          <w:sz w:val="20"/>
          <w:szCs w:val="20"/>
          <w:lang w:val="en-US"/>
        </w:rPr>
        <w:t>410.</w:t>
      </w:r>
    </w:p>
  </w:footnote>
  <w:footnote w:id="73">
    <w:p w14:paraId="2B7F51B7" w14:textId="36C41344" w:rsidR="005C2FD7" w:rsidRPr="006373E5" w:rsidRDefault="005C2FD7">
      <w:pPr>
        <w:pStyle w:val="FootnoteText"/>
        <w:rPr>
          <w:sz w:val="20"/>
          <w:szCs w:val="20"/>
          <w:lang w:val="en-US"/>
        </w:rPr>
      </w:pPr>
      <w:r w:rsidRPr="006373E5">
        <w:rPr>
          <w:rStyle w:val="FootnoteReference"/>
          <w:sz w:val="20"/>
          <w:szCs w:val="20"/>
        </w:rPr>
        <w:footnoteRef/>
      </w:r>
      <w:r>
        <w:rPr>
          <w:sz w:val="20"/>
          <w:szCs w:val="20"/>
        </w:rPr>
        <w:t xml:space="preserve"> </w:t>
      </w:r>
      <w:r w:rsidRPr="006373E5">
        <w:rPr>
          <w:sz w:val="20"/>
          <w:szCs w:val="20"/>
        </w:rPr>
        <w:t xml:space="preserve">Spivak, </w:t>
      </w:r>
      <w:r w:rsidRPr="00111346">
        <w:rPr>
          <w:i/>
          <w:sz w:val="20"/>
          <w:szCs w:val="20"/>
        </w:rPr>
        <w:t>An Aesthetic Education</w:t>
      </w:r>
      <w:r>
        <w:rPr>
          <w:sz w:val="20"/>
          <w:szCs w:val="20"/>
        </w:rPr>
        <w:t>, op. cit., p</w:t>
      </w:r>
      <w:r w:rsidRPr="006373E5">
        <w:rPr>
          <w:sz w:val="20"/>
          <w:szCs w:val="20"/>
        </w:rPr>
        <w:t>10.</w:t>
      </w:r>
    </w:p>
  </w:footnote>
  <w:footnote w:id="74">
    <w:p w14:paraId="0B23001A" w14:textId="77777777" w:rsidR="005C2FD7" w:rsidRPr="00111346" w:rsidRDefault="005C2FD7" w:rsidP="005C2FD7">
      <w:pPr>
        <w:pStyle w:val="FootnoteText"/>
        <w:rPr>
          <w:sz w:val="20"/>
          <w:szCs w:val="20"/>
          <w:lang w:val="en-US"/>
        </w:rPr>
      </w:pPr>
      <w:r w:rsidRPr="00111346">
        <w:rPr>
          <w:rStyle w:val="FootnoteReference"/>
          <w:sz w:val="20"/>
          <w:szCs w:val="20"/>
        </w:rPr>
        <w:footnoteRef/>
      </w:r>
      <w:r w:rsidRPr="00111346">
        <w:rPr>
          <w:sz w:val="20"/>
          <w:szCs w:val="20"/>
        </w:rPr>
        <w:t xml:space="preserve"> F</w:t>
      </w:r>
      <w:r>
        <w:rPr>
          <w:sz w:val="20"/>
          <w:szCs w:val="20"/>
        </w:rPr>
        <w:t>elski and Fraimon, op. cit., p</w:t>
      </w:r>
      <w:r w:rsidRPr="00111346">
        <w:rPr>
          <w:sz w:val="20"/>
          <w:szCs w:val="20"/>
        </w:rPr>
        <w:t>vii.</w:t>
      </w:r>
    </w:p>
  </w:footnote>
  <w:footnote w:id="75">
    <w:p w14:paraId="602B5D3A" w14:textId="3DA48315" w:rsidR="005C2FD7" w:rsidRPr="00111346" w:rsidRDefault="005C2FD7">
      <w:pPr>
        <w:pStyle w:val="FootnoteText"/>
        <w:rPr>
          <w:sz w:val="20"/>
          <w:szCs w:val="20"/>
          <w:lang w:val="en-US"/>
        </w:rPr>
      </w:pPr>
      <w:r w:rsidRPr="00111346">
        <w:rPr>
          <w:rStyle w:val="FootnoteReference"/>
          <w:sz w:val="20"/>
          <w:szCs w:val="20"/>
        </w:rPr>
        <w:footnoteRef/>
      </w:r>
      <w:r w:rsidRPr="00111346">
        <w:rPr>
          <w:sz w:val="20"/>
          <w:szCs w:val="20"/>
        </w:rPr>
        <w:t xml:space="preserve"> Clare Hemmings, ‘In the Mood for Revolution: Emma Goldman’s Passion’, </w:t>
      </w:r>
      <w:r w:rsidRPr="00111346">
        <w:rPr>
          <w:i/>
          <w:sz w:val="20"/>
          <w:szCs w:val="20"/>
        </w:rPr>
        <w:t>New Literary History</w:t>
      </w:r>
      <w:r>
        <w:rPr>
          <w:sz w:val="20"/>
          <w:szCs w:val="20"/>
        </w:rPr>
        <w:t>, 43, 3</w:t>
      </w:r>
      <w:r w:rsidRPr="00111346">
        <w:rPr>
          <w:sz w:val="20"/>
          <w:szCs w:val="20"/>
        </w:rPr>
        <w:t xml:space="preserve"> (2012), p527.</w:t>
      </w:r>
    </w:p>
  </w:footnote>
  <w:footnote w:id="76">
    <w:p w14:paraId="5A186BBA" w14:textId="1D0E197E" w:rsidR="005C2FD7" w:rsidRPr="00111346" w:rsidRDefault="005C2FD7">
      <w:pPr>
        <w:pStyle w:val="FootnoteText"/>
        <w:rPr>
          <w:sz w:val="20"/>
          <w:szCs w:val="20"/>
          <w:lang w:val="en-US"/>
        </w:rPr>
      </w:pPr>
      <w:r w:rsidRPr="00111346">
        <w:rPr>
          <w:rStyle w:val="FootnoteReference"/>
          <w:sz w:val="20"/>
          <w:szCs w:val="20"/>
        </w:rPr>
        <w:footnoteRef/>
      </w:r>
      <w:r w:rsidRPr="00111346">
        <w:rPr>
          <w:sz w:val="20"/>
          <w:szCs w:val="20"/>
        </w:rPr>
        <w:t xml:space="preserve"> Michael Flatley, ‘How a Revolutionary Counter-Mood is Made’, </w:t>
      </w:r>
      <w:r w:rsidRPr="00111346">
        <w:rPr>
          <w:i/>
          <w:sz w:val="20"/>
          <w:szCs w:val="20"/>
        </w:rPr>
        <w:t>New Literary History</w:t>
      </w:r>
      <w:r w:rsidRPr="00111346">
        <w:rPr>
          <w:sz w:val="20"/>
          <w:szCs w:val="20"/>
        </w:rPr>
        <w:t xml:space="preserve">, 43, 3, (2012), </w:t>
      </w:r>
      <w:r>
        <w:rPr>
          <w:sz w:val="20"/>
          <w:szCs w:val="20"/>
        </w:rPr>
        <w:t>p</w:t>
      </w:r>
      <w:r w:rsidRPr="00111346">
        <w:rPr>
          <w:sz w:val="20"/>
          <w:szCs w:val="20"/>
        </w:rPr>
        <w:t>505.</w:t>
      </w:r>
    </w:p>
  </w:footnote>
  <w:footnote w:id="77">
    <w:p w14:paraId="4E496D6D" w14:textId="7BD0758E" w:rsidR="005C2FD7" w:rsidRPr="006373E5" w:rsidRDefault="005C2FD7">
      <w:pPr>
        <w:pStyle w:val="FootnoteText"/>
        <w:rPr>
          <w:lang w:val="en-US"/>
        </w:rPr>
      </w:pPr>
      <w:r w:rsidRPr="00111346">
        <w:rPr>
          <w:rStyle w:val="FootnoteReference"/>
          <w:sz w:val="20"/>
          <w:szCs w:val="20"/>
        </w:rPr>
        <w:footnoteRef/>
      </w:r>
      <w:r>
        <w:rPr>
          <w:sz w:val="20"/>
          <w:szCs w:val="20"/>
        </w:rPr>
        <w:t xml:space="preserve"> Svendesen, op. cit., p</w:t>
      </w:r>
      <w:r w:rsidRPr="00111346">
        <w:rPr>
          <w:sz w:val="20"/>
          <w:szCs w:val="20"/>
        </w:rPr>
        <w:t>423.</w:t>
      </w:r>
    </w:p>
  </w:footnote>
  <w:footnote w:id="78">
    <w:p w14:paraId="330F6649" w14:textId="22895B64" w:rsidR="005C2FD7" w:rsidRDefault="005C2FD7" w:rsidP="00332B1F">
      <w:pPr>
        <w:pStyle w:val="FootnoteText"/>
      </w:pPr>
      <w:r w:rsidRPr="00065026">
        <w:rPr>
          <w:rStyle w:val="FootnoteReference"/>
          <w:sz w:val="20"/>
        </w:rPr>
        <w:footnoteRef/>
      </w:r>
      <w:r>
        <w:rPr>
          <w:sz w:val="20"/>
        </w:rPr>
        <w:t xml:space="preserve"> </w:t>
      </w:r>
      <w:r w:rsidRPr="001F692C">
        <w:rPr>
          <w:sz w:val="20"/>
        </w:rPr>
        <w:t>Marianne Lilijestrom and Susanna Paasonon, ‘Introduction: Feeling Differences – affect and feminist reading’ in M L Lilijestrom</w:t>
      </w:r>
      <w:r w:rsidRPr="001F692C">
        <w:rPr>
          <w:i/>
          <w:sz w:val="20"/>
        </w:rPr>
        <w:t xml:space="preserve"> </w:t>
      </w:r>
      <w:r w:rsidRPr="001F692C">
        <w:rPr>
          <w:sz w:val="20"/>
        </w:rPr>
        <w:t>and S. Paasonon</w:t>
      </w:r>
      <w:r w:rsidRPr="001F692C">
        <w:rPr>
          <w:i/>
          <w:sz w:val="20"/>
        </w:rPr>
        <w:t xml:space="preserve"> </w:t>
      </w:r>
      <w:r w:rsidRPr="001F692C">
        <w:rPr>
          <w:sz w:val="20"/>
        </w:rPr>
        <w:t xml:space="preserve">(eds.) </w:t>
      </w:r>
      <w:r w:rsidRPr="001F692C">
        <w:rPr>
          <w:i/>
          <w:sz w:val="20"/>
        </w:rPr>
        <w:t>Working with Affect with Feminist Readings: Disturbing Differences</w:t>
      </w:r>
      <w:r w:rsidRPr="001F692C">
        <w:rPr>
          <w:sz w:val="20"/>
        </w:rPr>
        <w:t>, London, Routledge, 2010, p2.</w:t>
      </w:r>
    </w:p>
  </w:footnote>
  <w:footnote w:id="79">
    <w:p w14:paraId="1BC5CBED" w14:textId="714BC433" w:rsidR="005C2FD7" w:rsidRPr="006373E5" w:rsidRDefault="005C2FD7" w:rsidP="00C47AD3">
      <w:pPr>
        <w:pStyle w:val="FootnoteText"/>
        <w:rPr>
          <w:sz w:val="20"/>
          <w:szCs w:val="20"/>
          <w:lang w:val="en-US"/>
        </w:rPr>
      </w:pPr>
      <w:r w:rsidRPr="006373E5">
        <w:rPr>
          <w:rStyle w:val="FootnoteReference"/>
          <w:sz w:val="20"/>
          <w:szCs w:val="20"/>
        </w:rPr>
        <w:footnoteRef/>
      </w:r>
      <w:r>
        <w:rPr>
          <w:sz w:val="20"/>
          <w:szCs w:val="20"/>
        </w:rPr>
        <w:t xml:space="preserve"> Sedgwick, </w:t>
      </w:r>
      <w:r w:rsidRPr="00111346">
        <w:rPr>
          <w:i/>
          <w:sz w:val="20"/>
          <w:szCs w:val="20"/>
        </w:rPr>
        <w:t>Touching Feeling</w:t>
      </w:r>
      <w:r w:rsidR="00CD70C8">
        <w:rPr>
          <w:sz w:val="20"/>
          <w:szCs w:val="20"/>
        </w:rPr>
        <w:t>, op. cit., p1, 128-</w:t>
      </w:r>
      <w:r>
        <w:rPr>
          <w:sz w:val="20"/>
          <w:szCs w:val="20"/>
        </w:rPr>
        <w:t>29.</w:t>
      </w:r>
    </w:p>
  </w:footnote>
  <w:footnote w:id="80">
    <w:p w14:paraId="4DEAA933" w14:textId="0BEB731C" w:rsidR="005C2FD7" w:rsidRPr="006373E5" w:rsidRDefault="005C2FD7" w:rsidP="00E94076">
      <w:pPr>
        <w:pStyle w:val="FootnoteText"/>
        <w:rPr>
          <w:sz w:val="20"/>
          <w:szCs w:val="20"/>
          <w:lang w:val="en-US"/>
        </w:rPr>
      </w:pPr>
      <w:r w:rsidRPr="006373E5">
        <w:rPr>
          <w:rStyle w:val="FootnoteReference"/>
          <w:sz w:val="20"/>
          <w:szCs w:val="20"/>
        </w:rPr>
        <w:footnoteRef/>
      </w:r>
      <w:r w:rsidRPr="006373E5">
        <w:rPr>
          <w:sz w:val="20"/>
          <w:szCs w:val="20"/>
        </w:rPr>
        <w:t xml:space="preserve"> Sedgwick, </w:t>
      </w:r>
      <w:r w:rsidRPr="00111346">
        <w:rPr>
          <w:i/>
          <w:sz w:val="20"/>
          <w:szCs w:val="20"/>
        </w:rPr>
        <w:t>The Weather in Proust</w:t>
      </w:r>
      <w:r>
        <w:rPr>
          <w:sz w:val="20"/>
          <w:szCs w:val="20"/>
        </w:rPr>
        <w:t>, op. cit., p</w:t>
      </w:r>
      <w:r w:rsidRPr="006373E5">
        <w:rPr>
          <w:sz w:val="20"/>
          <w:szCs w:val="20"/>
        </w:rPr>
        <w:t>130.</w:t>
      </w:r>
    </w:p>
  </w:footnote>
  <w:footnote w:id="81">
    <w:p w14:paraId="39634085" w14:textId="77FE1E4C" w:rsidR="005C2FD7" w:rsidRPr="00065026" w:rsidRDefault="005C2FD7">
      <w:pPr>
        <w:pStyle w:val="FootnoteText"/>
        <w:rPr>
          <w:sz w:val="20"/>
          <w:szCs w:val="20"/>
          <w:lang w:val="en-US"/>
        </w:rPr>
      </w:pPr>
      <w:r w:rsidRPr="00065026">
        <w:rPr>
          <w:rStyle w:val="FootnoteReference"/>
          <w:sz w:val="20"/>
          <w:szCs w:val="20"/>
        </w:rPr>
        <w:footnoteRef/>
      </w:r>
      <w:r>
        <w:rPr>
          <w:sz w:val="20"/>
          <w:szCs w:val="20"/>
        </w:rPr>
        <w:t xml:space="preserve"> Sedgwick, </w:t>
      </w:r>
      <w:r w:rsidRPr="00111346">
        <w:rPr>
          <w:i/>
          <w:sz w:val="20"/>
          <w:szCs w:val="20"/>
        </w:rPr>
        <w:t>Touching Feeling</w:t>
      </w:r>
      <w:r>
        <w:rPr>
          <w:sz w:val="20"/>
          <w:szCs w:val="20"/>
        </w:rPr>
        <w:t>, op. cit., p</w:t>
      </w:r>
      <w:r w:rsidRPr="00065026">
        <w:rPr>
          <w:sz w:val="20"/>
          <w:szCs w:val="20"/>
        </w:rPr>
        <w:t>8.</w:t>
      </w:r>
    </w:p>
  </w:footnote>
  <w:footnote w:id="82">
    <w:p w14:paraId="1C21A455" w14:textId="42AB2D3F" w:rsidR="005C2FD7" w:rsidRPr="00065026" w:rsidRDefault="005C2FD7">
      <w:pPr>
        <w:pStyle w:val="FootnoteText"/>
        <w:rPr>
          <w:lang w:val="en-US"/>
        </w:rPr>
      </w:pPr>
      <w:r w:rsidRPr="00065026">
        <w:rPr>
          <w:rStyle w:val="FootnoteReference"/>
          <w:sz w:val="20"/>
          <w:szCs w:val="20"/>
        </w:rPr>
        <w:footnoteRef/>
      </w:r>
      <w:r w:rsidRPr="00065026">
        <w:rPr>
          <w:sz w:val="20"/>
          <w:szCs w:val="20"/>
        </w:rPr>
        <w:t xml:space="preserve"> Spivak, </w:t>
      </w:r>
      <w:r w:rsidRPr="00111346">
        <w:rPr>
          <w:i/>
          <w:sz w:val="20"/>
          <w:szCs w:val="20"/>
        </w:rPr>
        <w:t>An Aesthetic Education</w:t>
      </w:r>
      <w:r>
        <w:rPr>
          <w:sz w:val="20"/>
          <w:szCs w:val="20"/>
        </w:rPr>
        <w:t>, op. cit., p</w:t>
      </w:r>
      <w:r w:rsidRPr="00065026">
        <w:rPr>
          <w:sz w:val="20"/>
          <w:szCs w:val="20"/>
        </w:rPr>
        <w:t>519.</w:t>
      </w:r>
    </w:p>
  </w:footnote>
  <w:footnote w:id="83">
    <w:p w14:paraId="2188B98D" w14:textId="7A51BCBC" w:rsidR="005C2FD7" w:rsidRPr="00065026" w:rsidRDefault="005C2FD7">
      <w:pPr>
        <w:pStyle w:val="FootnoteText"/>
        <w:rPr>
          <w:sz w:val="20"/>
          <w:szCs w:val="20"/>
          <w:lang w:val="en-US"/>
        </w:rPr>
      </w:pPr>
      <w:r w:rsidRPr="00065026">
        <w:rPr>
          <w:rStyle w:val="FootnoteReference"/>
          <w:sz w:val="20"/>
          <w:szCs w:val="20"/>
        </w:rPr>
        <w:footnoteRef/>
      </w:r>
      <w:r w:rsidRPr="00065026">
        <w:rPr>
          <w:sz w:val="20"/>
          <w:szCs w:val="20"/>
        </w:rPr>
        <w:t xml:space="preserve"> Stacey, </w:t>
      </w:r>
      <w:r>
        <w:rPr>
          <w:sz w:val="20"/>
          <w:szCs w:val="20"/>
        </w:rPr>
        <w:t>op, cit., p43.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7"/>
      <w:numFmt w:val="lowerRoman"/>
      <w:lvlText w:val="(%1)"/>
      <w:lvlJc w:val="left"/>
      <w:pPr>
        <w:tabs>
          <w:tab w:val="num" w:pos="453"/>
        </w:tabs>
        <w:ind w:left="453" w:firstLine="0"/>
      </w:pPr>
      <w:rPr>
        <w:rFonts w:hint="default"/>
        <w:position w:val="0"/>
      </w:rPr>
    </w:lvl>
    <w:lvl w:ilvl="1">
      <w:start w:val="1"/>
      <w:numFmt w:val="lowerRoman"/>
      <w:lvlText w:val="(%2)"/>
      <w:lvlJc w:val="left"/>
      <w:pPr>
        <w:tabs>
          <w:tab w:val="num" w:pos="453"/>
        </w:tabs>
        <w:ind w:left="453" w:firstLine="720"/>
      </w:pPr>
      <w:rPr>
        <w:rFonts w:hint="default"/>
        <w:position w:val="0"/>
      </w:rPr>
    </w:lvl>
    <w:lvl w:ilvl="2">
      <w:start w:val="1"/>
      <w:numFmt w:val="lowerRoman"/>
      <w:lvlText w:val="(%3)"/>
      <w:lvlJc w:val="left"/>
      <w:pPr>
        <w:tabs>
          <w:tab w:val="num" w:pos="453"/>
        </w:tabs>
        <w:ind w:left="453" w:firstLine="1440"/>
      </w:pPr>
      <w:rPr>
        <w:rFonts w:hint="default"/>
        <w:position w:val="0"/>
      </w:rPr>
    </w:lvl>
    <w:lvl w:ilvl="3">
      <w:start w:val="1"/>
      <w:numFmt w:val="lowerRoman"/>
      <w:lvlText w:val="(%4)"/>
      <w:lvlJc w:val="left"/>
      <w:pPr>
        <w:tabs>
          <w:tab w:val="num" w:pos="453"/>
        </w:tabs>
        <w:ind w:left="453" w:firstLine="2160"/>
      </w:pPr>
      <w:rPr>
        <w:rFonts w:hint="default"/>
        <w:position w:val="0"/>
      </w:rPr>
    </w:lvl>
    <w:lvl w:ilvl="4">
      <w:start w:val="1"/>
      <w:numFmt w:val="lowerRoman"/>
      <w:lvlText w:val="(%5)"/>
      <w:lvlJc w:val="left"/>
      <w:pPr>
        <w:tabs>
          <w:tab w:val="num" w:pos="453"/>
        </w:tabs>
        <w:ind w:left="453" w:firstLine="2880"/>
      </w:pPr>
      <w:rPr>
        <w:rFonts w:hint="default"/>
        <w:position w:val="0"/>
      </w:rPr>
    </w:lvl>
    <w:lvl w:ilvl="5">
      <w:start w:val="1"/>
      <w:numFmt w:val="lowerRoman"/>
      <w:lvlText w:val="(%6)"/>
      <w:lvlJc w:val="left"/>
      <w:pPr>
        <w:tabs>
          <w:tab w:val="num" w:pos="453"/>
        </w:tabs>
        <w:ind w:left="453" w:firstLine="3600"/>
      </w:pPr>
      <w:rPr>
        <w:rFonts w:hint="default"/>
        <w:position w:val="0"/>
      </w:rPr>
    </w:lvl>
    <w:lvl w:ilvl="6">
      <w:start w:val="1"/>
      <w:numFmt w:val="lowerRoman"/>
      <w:lvlText w:val="(%7)"/>
      <w:lvlJc w:val="left"/>
      <w:pPr>
        <w:tabs>
          <w:tab w:val="num" w:pos="453"/>
        </w:tabs>
        <w:ind w:left="453" w:firstLine="4320"/>
      </w:pPr>
      <w:rPr>
        <w:rFonts w:hint="default"/>
        <w:position w:val="0"/>
      </w:rPr>
    </w:lvl>
    <w:lvl w:ilvl="7">
      <w:start w:val="1"/>
      <w:numFmt w:val="lowerRoman"/>
      <w:lvlText w:val="(%8)"/>
      <w:lvlJc w:val="left"/>
      <w:pPr>
        <w:tabs>
          <w:tab w:val="num" w:pos="453"/>
        </w:tabs>
        <w:ind w:left="453" w:firstLine="5040"/>
      </w:pPr>
      <w:rPr>
        <w:rFonts w:hint="default"/>
        <w:position w:val="0"/>
      </w:rPr>
    </w:lvl>
    <w:lvl w:ilvl="8">
      <w:start w:val="1"/>
      <w:numFmt w:val="lowerRoman"/>
      <w:lvlText w:val="(%9)"/>
      <w:lvlJc w:val="left"/>
      <w:pPr>
        <w:tabs>
          <w:tab w:val="num" w:pos="453"/>
        </w:tabs>
        <w:ind w:left="453" w:firstLine="5760"/>
      </w:pPr>
      <w:rPr>
        <w:rFonts w:hint="default"/>
        <w:position w:val="0"/>
      </w:rPr>
    </w:lvl>
  </w:abstractNum>
  <w:abstractNum w:abstractNumId="1" w15:restartNumberingAfterBreak="0">
    <w:nsid w:val="00000002"/>
    <w:multiLevelType w:val="multilevel"/>
    <w:tmpl w:val="894EE874"/>
    <w:lvl w:ilvl="0">
      <w:start w:val="8"/>
      <w:numFmt w:val="lowerRoman"/>
      <w:lvlText w:val="(%1)"/>
      <w:lvlJc w:val="left"/>
      <w:pPr>
        <w:tabs>
          <w:tab w:val="num" w:pos="506"/>
        </w:tabs>
        <w:ind w:left="506" w:firstLine="0"/>
      </w:pPr>
      <w:rPr>
        <w:rFonts w:hint="default"/>
        <w:position w:val="0"/>
      </w:rPr>
    </w:lvl>
    <w:lvl w:ilvl="1">
      <w:start w:val="1"/>
      <w:numFmt w:val="lowerRoman"/>
      <w:lvlText w:val="(%2)"/>
      <w:lvlJc w:val="left"/>
      <w:pPr>
        <w:tabs>
          <w:tab w:val="num" w:pos="506"/>
        </w:tabs>
        <w:ind w:left="506" w:firstLine="720"/>
      </w:pPr>
      <w:rPr>
        <w:rFonts w:hint="default"/>
        <w:position w:val="0"/>
      </w:rPr>
    </w:lvl>
    <w:lvl w:ilvl="2">
      <w:start w:val="1"/>
      <w:numFmt w:val="lowerRoman"/>
      <w:lvlText w:val="(%3)"/>
      <w:lvlJc w:val="left"/>
      <w:pPr>
        <w:tabs>
          <w:tab w:val="num" w:pos="506"/>
        </w:tabs>
        <w:ind w:left="506" w:firstLine="1440"/>
      </w:pPr>
      <w:rPr>
        <w:rFonts w:hint="default"/>
        <w:position w:val="0"/>
      </w:rPr>
    </w:lvl>
    <w:lvl w:ilvl="3">
      <w:start w:val="1"/>
      <w:numFmt w:val="lowerRoman"/>
      <w:lvlText w:val="(%4)"/>
      <w:lvlJc w:val="left"/>
      <w:pPr>
        <w:tabs>
          <w:tab w:val="num" w:pos="506"/>
        </w:tabs>
        <w:ind w:left="506" w:firstLine="2160"/>
      </w:pPr>
      <w:rPr>
        <w:rFonts w:hint="default"/>
        <w:position w:val="0"/>
      </w:rPr>
    </w:lvl>
    <w:lvl w:ilvl="4">
      <w:start w:val="1"/>
      <w:numFmt w:val="lowerRoman"/>
      <w:lvlText w:val="(%5)"/>
      <w:lvlJc w:val="left"/>
      <w:pPr>
        <w:tabs>
          <w:tab w:val="num" w:pos="506"/>
        </w:tabs>
        <w:ind w:left="506" w:firstLine="2880"/>
      </w:pPr>
      <w:rPr>
        <w:rFonts w:hint="default"/>
        <w:position w:val="0"/>
      </w:rPr>
    </w:lvl>
    <w:lvl w:ilvl="5">
      <w:start w:val="1"/>
      <w:numFmt w:val="lowerRoman"/>
      <w:lvlText w:val="(%6)"/>
      <w:lvlJc w:val="left"/>
      <w:pPr>
        <w:tabs>
          <w:tab w:val="num" w:pos="506"/>
        </w:tabs>
        <w:ind w:left="506" w:firstLine="3600"/>
      </w:pPr>
      <w:rPr>
        <w:rFonts w:hint="default"/>
        <w:position w:val="0"/>
      </w:rPr>
    </w:lvl>
    <w:lvl w:ilvl="6">
      <w:start w:val="1"/>
      <w:numFmt w:val="lowerRoman"/>
      <w:lvlText w:val="(%7)"/>
      <w:lvlJc w:val="left"/>
      <w:pPr>
        <w:tabs>
          <w:tab w:val="num" w:pos="506"/>
        </w:tabs>
        <w:ind w:left="506" w:firstLine="4320"/>
      </w:pPr>
      <w:rPr>
        <w:rFonts w:hint="default"/>
        <w:position w:val="0"/>
      </w:rPr>
    </w:lvl>
    <w:lvl w:ilvl="7">
      <w:start w:val="1"/>
      <w:numFmt w:val="lowerRoman"/>
      <w:lvlText w:val="(%8)"/>
      <w:lvlJc w:val="left"/>
      <w:pPr>
        <w:tabs>
          <w:tab w:val="num" w:pos="506"/>
        </w:tabs>
        <w:ind w:left="506" w:firstLine="5040"/>
      </w:pPr>
      <w:rPr>
        <w:rFonts w:hint="default"/>
        <w:position w:val="0"/>
      </w:rPr>
    </w:lvl>
    <w:lvl w:ilvl="8">
      <w:start w:val="1"/>
      <w:numFmt w:val="lowerRoman"/>
      <w:lvlText w:val="(%9)"/>
      <w:lvlJc w:val="left"/>
      <w:pPr>
        <w:tabs>
          <w:tab w:val="num" w:pos="506"/>
        </w:tabs>
        <w:ind w:left="506" w:firstLine="5760"/>
      </w:pPr>
      <w:rPr>
        <w:rFonts w:hint="default"/>
        <w:position w:val="0"/>
      </w:rPr>
    </w:lvl>
  </w:abstractNum>
  <w:abstractNum w:abstractNumId="2" w15:restartNumberingAfterBreak="0">
    <w:nsid w:val="00000009"/>
    <w:multiLevelType w:val="multilevel"/>
    <w:tmpl w:val="894EE87B"/>
    <w:lvl w:ilvl="0">
      <w:start w:val="12"/>
      <w:numFmt w:val="lowerRoman"/>
      <w:lvlText w:val="(%1)"/>
      <w:lvlJc w:val="left"/>
      <w:pPr>
        <w:tabs>
          <w:tab w:val="num" w:pos="453"/>
        </w:tabs>
        <w:ind w:left="453" w:firstLine="0"/>
      </w:pPr>
      <w:rPr>
        <w:rFonts w:hint="default"/>
        <w:position w:val="0"/>
      </w:rPr>
    </w:lvl>
    <w:lvl w:ilvl="1">
      <w:start w:val="1"/>
      <w:numFmt w:val="lowerRoman"/>
      <w:lvlText w:val="(%2)"/>
      <w:lvlJc w:val="left"/>
      <w:pPr>
        <w:tabs>
          <w:tab w:val="num" w:pos="453"/>
        </w:tabs>
        <w:ind w:left="453" w:firstLine="720"/>
      </w:pPr>
      <w:rPr>
        <w:rFonts w:hint="default"/>
        <w:position w:val="0"/>
      </w:rPr>
    </w:lvl>
    <w:lvl w:ilvl="2">
      <w:start w:val="1"/>
      <w:numFmt w:val="lowerRoman"/>
      <w:lvlText w:val="(%3)"/>
      <w:lvlJc w:val="left"/>
      <w:pPr>
        <w:tabs>
          <w:tab w:val="num" w:pos="453"/>
        </w:tabs>
        <w:ind w:left="453" w:firstLine="1440"/>
      </w:pPr>
      <w:rPr>
        <w:rFonts w:hint="default"/>
        <w:position w:val="0"/>
      </w:rPr>
    </w:lvl>
    <w:lvl w:ilvl="3">
      <w:start w:val="1"/>
      <w:numFmt w:val="lowerRoman"/>
      <w:lvlText w:val="(%4)"/>
      <w:lvlJc w:val="left"/>
      <w:pPr>
        <w:tabs>
          <w:tab w:val="num" w:pos="453"/>
        </w:tabs>
        <w:ind w:left="453" w:firstLine="2160"/>
      </w:pPr>
      <w:rPr>
        <w:rFonts w:hint="default"/>
        <w:position w:val="0"/>
      </w:rPr>
    </w:lvl>
    <w:lvl w:ilvl="4">
      <w:start w:val="1"/>
      <w:numFmt w:val="lowerRoman"/>
      <w:lvlText w:val="(%5)"/>
      <w:lvlJc w:val="left"/>
      <w:pPr>
        <w:tabs>
          <w:tab w:val="num" w:pos="453"/>
        </w:tabs>
        <w:ind w:left="453" w:firstLine="2880"/>
      </w:pPr>
      <w:rPr>
        <w:rFonts w:hint="default"/>
        <w:position w:val="0"/>
      </w:rPr>
    </w:lvl>
    <w:lvl w:ilvl="5">
      <w:start w:val="1"/>
      <w:numFmt w:val="lowerRoman"/>
      <w:lvlText w:val="(%6)"/>
      <w:lvlJc w:val="left"/>
      <w:pPr>
        <w:tabs>
          <w:tab w:val="num" w:pos="453"/>
        </w:tabs>
        <w:ind w:left="453" w:firstLine="3600"/>
      </w:pPr>
      <w:rPr>
        <w:rFonts w:hint="default"/>
        <w:position w:val="0"/>
      </w:rPr>
    </w:lvl>
    <w:lvl w:ilvl="6">
      <w:start w:val="1"/>
      <w:numFmt w:val="lowerRoman"/>
      <w:lvlText w:val="(%7)"/>
      <w:lvlJc w:val="left"/>
      <w:pPr>
        <w:tabs>
          <w:tab w:val="num" w:pos="453"/>
        </w:tabs>
        <w:ind w:left="453" w:firstLine="4320"/>
      </w:pPr>
      <w:rPr>
        <w:rFonts w:hint="default"/>
        <w:position w:val="0"/>
      </w:rPr>
    </w:lvl>
    <w:lvl w:ilvl="7">
      <w:start w:val="1"/>
      <w:numFmt w:val="lowerRoman"/>
      <w:lvlText w:val="(%8)"/>
      <w:lvlJc w:val="left"/>
      <w:pPr>
        <w:tabs>
          <w:tab w:val="num" w:pos="453"/>
        </w:tabs>
        <w:ind w:left="453" w:firstLine="5040"/>
      </w:pPr>
      <w:rPr>
        <w:rFonts w:hint="default"/>
        <w:position w:val="0"/>
      </w:rPr>
    </w:lvl>
    <w:lvl w:ilvl="8">
      <w:start w:val="1"/>
      <w:numFmt w:val="lowerRoman"/>
      <w:lvlText w:val="(%9)"/>
      <w:lvlJc w:val="left"/>
      <w:pPr>
        <w:tabs>
          <w:tab w:val="num" w:pos="453"/>
        </w:tabs>
        <w:ind w:left="453" w:firstLine="5760"/>
      </w:pPr>
      <w:rPr>
        <w:rFonts w:hint="default"/>
        <w:position w:val="0"/>
      </w:rPr>
    </w:lvl>
  </w:abstractNum>
  <w:abstractNum w:abstractNumId="3" w15:restartNumberingAfterBreak="0">
    <w:nsid w:val="221C4DED"/>
    <w:multiLevelType w:val="hybridMultilevel"/>
    <w:tmpl w:val="53EC0276"/>
    <w:lvl w:ilvl="0" w:tplc="8926D796">
      <w:start w:val="2012"/>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CE"/>
    <w:rsid w:val="000015D9"/>
    <w:rsid w:val="00002F03"/>
    <w:rsid w:val="000037A4"/>
    <w:rsid w:val="00010809"/>
    <w:rsid w:val="00010AE3"/>
    <w:rsid w:val="00012273"/>
    <w:rsid w:val="0001451D"/>
    <w:rsid w:val="00014CF8"/>
    <w:rsid w:val="00016FC5"/>
    <w:rsid w:val="00032819"/>
    <w:rsid w:val="00036A36"/>
    <w:rsid w:val="00037251"/>
    <w:rsid w:val="00043214"/>
    <w:rsid w:val="00047E04"/>
    <w:rsid w:val="0006143C"/>
    <w:rsid w:val="00065026"/>
    <w:rsid w:val="00067623"/>
    <w:rsid w:val="00070721"/>
    <w:rsid w:val="00071FBE"/>
    <w:rsid w:val="000723CC"/>
    <w:rsid w:val="000757D2"/>
    <w:rsid w:val="00084360"/>
    <w:rsid w:val="00095218"/>
    <w:rsid w:val="00096BE6"/>
    <w:rsid w:val="000A4880"/>
    <w:rsid w:val="000A4BB1"/>
    <w:rsid w:val="000B12B0"/>
    <w:rsid w:val="000B4942"/>
    <w:rsid w:val="000B4FBB"/>
    <w:rsid w:val="000B690F"/>
    <w:rsid w:val="000B737E"/>
    <w:rsid w:val="000C11D9"/>
    <w:rsid w:val="000C27B3"/>
    <w:rsid w:val="000C5780"/>
    <w:rsid w:val="000D57DF"/>
    <w:rsid w:val="000E2602"/>
    <w:rsid w:val="000E6937"/>
    <w:rsid w:val="000F01BD"/>
    <w:rsid w:val="000F293E"/>
    <w:rsid w:val="00101241"/>
    <w:rsid w:val="001030F5"/>
    <w:rsid w:val="001044B5"/>
    <w:rsid w:val="00106C26"/>
    <w:rsid w:val="00107A3A"/>
    <w:rsid w:val="00111346"/>
    <w:rsid w:val="00111E75"/>
    <w:rsid w:val="00114F9A"/>
    <w:rsid w:val="00122D33"/>
    <w:rsid w:val="00127668"/>
    <w:rsid w:val="001332FA"/>
    <w:rsid w:val="001343C7"/>
    <w:rsid w:val="00140B55"/>
    <w:rsid w:val="00142615"/>
    <w:rsid w:val="00142A21"/>
    <w:rsid w:val="00143B71"/>
    <w:rsid w:val="001467EF"/>
    <w:rsid w:val="001539FB"/>
    <w:rsid w:val="0015613D"/>
    <w:rsid w:val="0015749F"/>
    <w:rsid w:val="00161213"/>
    <w:rsid w:val="00165214"/>
    <w:rsid w:val="00171D5B"/>
    <w:rsid w:val="00181564"/>
    <w:rsid w:val="00186002"/>
    <w:rsid w:val="00187828"/>
    <w:rsid w:val="001A0AAF"/>
    <w:rsid w:val="001A1777"/>
    <w:rsid w:val="001A6D4D"/>
    <w:rsid w:val="001B0664"/>
    <w:rsid w:val="001B262C"/>
    <w:rsid w:val="001B3C37"/>
    <w:rsid w:val="001B5180"/>
    <w:rsid w:val="001B79E4"/>
    <w:rsid w:val="001C251D"/>
    <w:rsid w:val="001C4629"/>
    <w:rsid w:val="001C4B7A"/>
    <w:rsid w:val="001C69B7"/>
    <w:rsid w:val="001D6533"/>
    <w:rsid w:val="001D7F45"/>
    <w:rsid w:val="001E1998"/>
    <w:rsid w:val="001E356B"/>
    <w:rsid w:val="001E4228"/>
    <w:rsid w:val="001E46ED"/>
    <w:rsid w:val="001E7CFB"/>
    <w:rsid w:val="001F0D5E"/>
    <w:rsid w:val="001F2FE9"/>
    <w:rsid w:val="001F34D8"/>
    <w:rsid w:val="001F4693"/>
    <w:rsid w:val="001F52D6"/>
    <w:rsid w:val="001F692C"/>
    <w:rsid w:val="001F6F73"/>
    <w:rsid w:val="00202EA7"/>
    <w:rsid w:val="00204E31"/>
    <w:rsid w:val="00204FE3"/>
    <w:rsid w:val="002079AE"/>
    <w:rsid w:val="00210574"/>
    <w:rsid w:val="00214258"/>
    <w:rsid w:val="002159D1"/>
    <w:rsid w:val="00215D22"/>
    <w:rsid w:val="0022184C"/>
    <w:rsid w:val="00221CC8"/>
    <w:rsid w:val="00225B59"/>
    <w:rsid w:val="002261B0"/>
    <w:rsid w:val="0022668B"/>
    <w:rsid w:val="00231E1F"/>
    <w:rsid w:val="00233C21"/>
    <w:rsid w:val="00234D32"/>
    <w:rsid w:val="00251E60"/>
    <w:rsid w:val="0025589A"/>
    <w:rsid w:val="00255DA1"/>
    <w:rsid w:val="00261BA8"/>
    <w:rsid w:val="0026333B"/>
    <w:rsid w:val="002637B6"/>
    <w:rsid w:val="0026584D"/>
    <w:rsid w:val="00280F74"/>
    <w:rsid w:val="002817C5"/>
    <w:rsid w:val="00282076"/>
    <w:rsid w:val="00286D86"/>
    <w:rsid w:val="002933FB"/>
    <w:rsid w:val="0029439F"/>
    <w:rsid w:val="0029570B"/>
    <w:rsid w:val="00295AFB"/>
    <w:rsid w:val="00297E03"/>
    <w:rsid w:val="002A4CEB"/>
    <w:rsid w:val="002B123D"/>
    <w:rsid w:val="002B4B00"/>
    <w:rsid w:val="002C61EC"/>
    <w:rsid w:val="002D0E29"/>
    <w:rsid w:val="002E04C1"/>
    <w:rsid w:val="002E05AC"/>
    <w:rsid w:val="002E11B1"/>
    <w:rsid w:val="002E1575"/>
    <w:rsid w:val="002E2AD0"/>
    <w:rsid w:val="002F750C"/>
    <w:rsid w:val="00303249"/>
    <w:rsid w:val="00304BC3"/>
    <w:rsid w:val="00306334"/>
    <w:rsid w:val="003102A7"/>
    <w:rsid w:val="003141D3"/>
    <w:rsid w:val="00315361"/>
    <w:rsid w:val="00316224"/>
    <w:rsid w:val="003208CB"/>
    <w:rsid w:val="00321CC1"/>
    <w:rsid w:val="00321E49"/>
    <w:rsid w:val="00332B1F"/>
    <w:rsid w:val="0033521C"/>
    <w:rsid w:val="00336688"/>
    <w:rsid w:val="0034338E"/>
    <w:rsid w:val="00347269"/>
    <w:rsid w:val="00351322"/>
    <w:rsid w:val="00352F7E"/>
    <w:rsid w:val="0035588C"/>
    <w:rsid w:val="00363186"/>
    <w:rsid w:val="003676CF"/>
    <w:rsid w:val="00375E00"/>
    <w:rsid w:val="0037742A"/>
    <w:rsid w:val="00377E75"/>
    <w:rsid w:val="00381999"/>
    <w:rsid w:val="00383909"/>
    <w:rsid w:val="00397414"/>
    <w:rsid w:val="00397E06"/>
    <w:rsid w:val="003A48B4"/>
    <w:rsid w:val="003A550C"/>
    <w:rsid w:val="003A68DA"/>
    <w:rsid w:val="003B151F"/>
    <w:rsid w:val="003B3360"/>
    <w:rsid w:val="003C021C"/>
    <w:rsid w:val="003C128B"/>
    <w:rsid w:val="003C18F4"/>
    <w:rsid w:val="003C31CD"/>
    <w:rsid w:val="003C3C70"/>
    <w:rsid w:val="003C713F"/>
    <w:rsid w:val="003D2DC9"/>
    <w:rsid w:val="003D4A57"/>
    <w:rsid w:val="003D5A71"/>
    <w:rsid w:val="003E29F2"/>
    <w:rsid w:val="003E66FE"/>
    <w:rsid w:val="003F0CED"/>
    <w:rsid w:val="003F0FF7"/>
    <w:rsid w:val="003F2CC7"/>
    <w:rsid w:val="003F5FC7"/>
    <w:rsid w:val="004052BD"/>
    <w:rsid w:val="00412D93"/>
    <w:rsid w:val="0041305A"/>
    <w:rsid w:val="00413E3D"/>
    <w:rsid w:val="00415368"/>
    <w:rsid w:val="00415476"/>
    <w:rsid w:val="004171C1"/>
    <w:rsid w:val="00417A21"/>
    <w:rsid w:val="00420562"/>
    <w:rsid w:val="004239A9"/>
    <w:rsid w:val="00425C3F"/>
    <w:rsid w:val="00425EFE"/>
    <w:rsid w:val="00442F3E"/>
    <w:rsid w:val="0044328C"/>
    <w:rsid w:val="0044676E"/>
    <w:rsid w:val="00446FFD"/>
    <w:rsid w:val="00450102"/>
    <w:rsid w:val="00451568"/>
    <w:rsid w:val="00451F22"/>
    <w:rsid w:val="004528F8"/>
    <w:rsid w:val="004535E9"/>
    <w:rsid w:val="00453B89"/>
    <w:rsid w:val="00453E28"/>
    <w:rsid w:val="004571CF"/>
    <w:rsid w:val="00457699"/>
    <w:rsid w:val="004617E8"/>
    <w:rsid w:val="004762DD"/>
    <w:rsid w:val="004765AF"/>
    <w:rsid w:val="00476786"/>
    <w:rsid w:val="00476A58"/>
    <w:rsid w:val="00480D18"/>
    <w:rsid w:val="00482E54"/>
    <w:rsid w:val="00484150"/>
    <w:rsid w:val="00485D97"/>
    <w:rsid w:val="00490372"/>
    <w:rsid w:val="0049090C"/>
    <w:rsid w:val="0049124F"/>
    <w:rsid w:val="004928AF"/>
    <w:rsid w:val="004A00CE"/>
    <w:rsid w:val="004A0B4C"/>
    <w:rsid w:val="004A3528"/>
    <w:rsid w:val="004B3D68"/>
    <w:rsid w:val="004B594F"/>
    <w:rsid w:val="004B6EDA"/>
    <w:rsid w:val="004C3E61"/>
    <w:rsid w:val="004C5097"/>
    <w:rsid w:val="004C7DE6"/>
    <w:rsid w:val="004D0511"/>
    <w:rsid w:val="004D1D20"/>
    <w:rsid w:val="004D565F"/>
    <w:rsid w:val="004D5A43"/>
    <w:rsid w:val="004E3A94"/>
    <w:rsid w:val="004E55DF"/>
    <w:rsid w:val="004F0938"/>
    <w:rsid w:val="004F4059"/>
    <w:rsid w:val="00503059"/>
    <w:rsid w:val="005069F4"/>
    <w:rsid w:val="005107B1"/>
    <w:rsid w:val="00510C9B"/>
    <w:rsid w:val="0051110C"/>
    <w:rsid w:val="00512310"/>
    <w:rsid w:val="00513725"/>
    <w:rsid w:val="005140C0"/>
    <w:rsid w:val="00516584"/>
    <w:rsid w:val="0052186A"/>
    <w:rsid w:val="00524888"/>
    <w:rsid w:val="00525910"/>
    <w:rsid w:val="00525E19"/>
    <w:rsid w:val="005268BC"/>
    <w:rsid w:val="00531309"/>
    <w:rsid w:val="005408B0"/>
    <w:rsid w:val="00542669"/>
    <w:rsid w:val="00544A29"/>
    <w:rsid w:val="00545347"/>
    <w:rsid w:val="00546547"/>
    <w:rsid w:val="005475B6"/>
    <w:rsid w:val="00551311"/>
    <w:rsid w:val="00552BE0"/>
    <w:rsid w:val="00554955"/>
    <w:rsid w:val="00556147"/>
    <w:rsid w:val="00560DE4"/>
    <w:rsid w:val="00565702"/>
    <w:rsid w:val="00566F02"/>
    <w:rsid w:val="005761D9"/>
    <w:rsid w:val="00577D9D"/>
    <w:rsid w:val="005839D8"/>
    <w:rsid w:val="00590C1E"/>
    <w:rsid w:val="005949EC"/>
    <w:rsid w:val="005964CB"/>
    <w:rsid w:val="005A20E9"/>
    <w:rsid w:val="005A21DC"/>
    <w:rsid w:val="005A6456"/>
    <w:rsid w:val="005B4470"/>
    <w:rsid w:val="005B4704"/>
    <w:rsid w:val="005B7F36"/>
    <w:rsid w:val="005C0045"/>
    <w:rsid w:val="005C1E35"/>
    <w:rsid w:val="005C2FD7"/>
    <w:rsid w:val="005C3362"/>
    <w:rsid w:val="005C3381"/>
    <w:rsid w:val="005C44C4"/>
    <w:rsid w:val="005C69A7"/>
    <w:rsid w:val="005C7A28"/>
    <w:rsid w:val="005D5932"/>
    <w:rsid w:val="005D5DFD"/>
    <w:rsid w:val="005E0099"/>
    <w:rsid w:val="005E3D36"/>
    <w:rsid w:val="005E5342"/>
    <w:rsid w:val="005E5F7E"/>
    <w:rsid w:val="005F0DE3"/>
    <w:rsid w:val="005F4B0F"/>
    <w:rsid w:val="005F4E5C"/>
    <w:rsid w:val="005F6434"/>
    <w:rsid w:val="006041F1"/>
    <w:rsid w:val="006123BB"/>
    <w:rsid w:val="00620EAC"/>
    <w:rsid w:val="00621852"/>
    <w:rsid w:val="0063078C"/>
    <w:rsid w:val="006309D5"/>
    <w:rsid w:val="006330C1"/>
    <w:rsid w:val="00635771"/>
    <w:rsid w:val="006373E5"/>
    <w:rsid w:val="00637AD2"/>
    <w:rsid w:val="00641483"/>
    <w:rsid w:val="00641A8E"/>
    <w:rsid w:val="006426E2"/>
    <w:rsid w:val="00643628"/>
    <w:rsid w:val="00647CE9"/>
    <w:rsid w:val="006528A1"/>
    <w:rsid w:val="00653281"/>
    <w:rsid w:val="00661560"/>
    <w:rsid w:val="00662164"/>
    <w:rsid w:val="00665BE1"/>
    <w:rsid w:val="00670B3D"/>
    <w:rsid w:val="00672412"/>
    <w:rsid w:val="006803B8"/>
    <w:rsid w:val="00681DA4"/>
    <w:rsid w:val="00683262"/>
    <w:rsid w:val="00684188"/>
    <w:rsid w:val="006847F1"/>
    <w:rsid w:val="00690C92"/>
    <w:rsid w:val="006914F6"/>
    <w:rsid w:val="006923B0"/>
    <w:rsid w:val="0069463A"/>
    <w:rsid w:val="00694E82"/>
    <w:rsid w:val="00697743"/>
    <w:rsid w:val="006A0249"/>
    <w:rsid w:val="006A0FB6"/>
    <w:rsid w:val="006A27A9"/>
    <w:rsid w:val="006A4BF4"/>
    <w:rsid w:val="006A4FA3"/>
    <w:rsid w:val="006A6B8C"/>
    <w:rsid w:val="006A71D0"/>
    <w:rsid w:val="006B1517"/>
    <w:rsid w:val="006C4ABE"/>
    <w:rsid w:val="006C6DB1"/>
    <w:rsid w:val="006D097C"/>
    <w:rsid w:val="006D0A4C"/>
    <w:rsid w:val="006D1EEC"/>
    <w:rsid w:val="006D2951"/>
    <w:rsid w:val="006D50C7"/>
    <w:rsid w:val="006E4E2C"/>
    <w:rsid w:val="006E558E"/>
    <w:rsid w:val="006F0F84"/>
    <w:rsid w:val="006F331F"/>
    <w:rsid w:val="006F659E"/>
    <w:rsid w:val="006F6648"/>
    <w:rsid w:val="007011AB"/>
    <w:rsid w:val="0070280F"/>
    <w:rsid w:val="00702C88"/>
    <w:rsid w:val="00705EB3"/>
    <w:rsid w:val="00714E74"/>
    <w:rsid w:val="007310EB"/>
    <w:rsid w:val="00735C09"/>
    <w:rsid w:val="00735E5A"/>
    <w:rsid w:val="00736CD3"/>
    <w:rsid w:val="007377E2"/>
    <w:rsid w:val="00742625"/>
    <w:rsid w:val="00743967"/>
    <w:rsid w:val="00751C40"/>
    <w:rsid w:val="007554EF"/>
    <w:rsid w:val="007558BA"/>
    <w:rsid w:val="00756877"/>
    <w:rsid w:val="00762D0B"/>
    <w:rsid w:val="007632E0"/>
    <w:rsid w:val="007636E2"/>
    <w:rsid w:val="00763867"/>
    <w:rsid w:val="007646B6"/>
    <w:rsid w:val="007668FA"/>
    <w:rsid w:val="007673A9"/>
    <w:rsid w:val="00771648"/>
    <w:rsid w:val="007755F9"/>
    <w:rsid w:val="00777C8F"/>
    <w:rsid w:val="00781739"/>
    <w:rsid w:val="00785F27"/>
    <w:rsid w:val="00791D7E"/>
    <w:rsid w:val="007934A3"/>
    <w:rsid w:val="00795784"/>
    <w:rsid w:val="00796550"/>
    <w:rsid w:val="007A08A8"/>
    <w:rsid w:val="007A22C0"/>
    <w:rsid w:val="007A35C7"/>
    <w:rsid w:val="007A70AB"/>
    <w:rsid w:val="007B4125"/>
    <w:rsid w:val="007B55D4"/>
    <w:rsid w:val="007C4E3D"/>
    <w:rsid w:val="007D1723"/>
    <w:rsid w:val="007D1EBE"/>
    <w:rsid w:val="007D24DE"/>
    <w:rsid w:val="007D6540"/>
    <w:rsid w:val="007E0E8C"/>
    <w:rsid w:val="007F0774"/>
    <w:rsid w:val="007F52A9"/>
    <w:rsid w:val="007F5AF0"/>
    <w:rsid w:val="007F77E4"/>
    <w:rsid w:val="008000FF"/>
    <w:rsid w:val="00815BBF"/>
    <w:rsid w:val="00821E47"/>
    <w:rsid w:val="00832934"/>
    <w:rsid w:val="00832A39"/>
    <w:rsid w:val="0083320E"/>
    <w:rsid w:val="00842723"/>
    <w:rsid w:val="00846519"/>
    <w:rsid w:val="00854D64"/>
    <w:rsid w:val="008659D7"/>
    <w:rsid w:val="00867409"/>
    <w:rsid w:val="00867EA0"/>
    <w:rsid w:val="008744A0"/>
    <w:rsid w:val="00876D45"/>
    <w:rsid w:val="0088429C"/>
    <w:rsid w:val="008845BC"/>
    <w:rsid w:val="00893A2B"/>
    <w:rsid w:val="00893ABD"/>
    <w:rsid w:val="0089629B"/>
    <w:rsid w:val="00896A5C"/>
    <w:rsid w:val="008979DD"/>
    <w:rsid w:val="008A0F91"/>
    <w:rsid w:val="008A4356"/>
    <w:rsid w:val="008A4FA5"/>
    <w:rsid w:val="008A5705"/>
    <w:rsid w:val="008A7114"/>
    <w:rsid w:val="008B23E1"/>
    <w:rsid w:val="008B3F60"/>
    <w:rsid w:val="008B444A"/>
    <w:rsid w:val="008C29EF"/>
    <w:rsid w:val="008C2A5C"/>
    <w:rsid w:val="008C3B5D"/>
    <w:rsid w:val="008C6EE3"/>
    <w:rsid w:val="008D1926"/>
    <w:rsid w:val="008E3347"/>
    <w:rsid w:val="008E40FA"/>
    <w:rsid w:val="008F05BC"/>
    <w:rsid w:val="008F0D69"/>
    <w:rsid w:val="008F4503"/>
    <w:rsid w:val="008F66A3"/>
    <w:rsid w:val="008F7CB3"/>
    <w:rsid w:val="009017E3"/>
    <w:rsid w:val="00903375"/>
    <w:rsid w:val="00907ADC"/>
    <w:rsid w:val="00914AF3"/>
    <w:rsid w:val="00925B05"/>
    <w:rsid w:val="009313B2"/>
    <w:rsid w:val="00934242"/>
    <w:rsid w:val="00940FEA"/>
    <w:rsid w:val="0094623E"/>
    <w:rsid w:val="00947071"/>
    <w:rsid w:val="00950B1C"/>
    <w:rsid w:val="00954A30"/>
    <w:rsid w:val="009550EB"/>
    <w:rsid w:val="009619F0"/>
    <w:rsid w:val="0096272F"/>
    <w:rsid w:val="00964DD0"/>
    <w:rsid w:val="009700FF"/>
    <w:rsid w:val="00970ECE"/>
    <w:rsid w:val="00972219"/>
    <w:rsid w:val="00974F8D"/>
    <w:rsid w:val="00976C6D"/>
    <w:rsid w:val="00977136"/>
    <w:rsid w:val="009825DA"/>
    <w:rsid w:val="009829A6"/>
    <w:rsid w:val="00987D8C"/>
    <w:rsid w:val="00996E53"/>
    <w:rsid w:val="009A69C0"/>
    <w:rsid w:val="009B0040"/>
    <w:rsid w:val="009B0B6C"/>
    <w:rsid w:val="009B3DC2"/>
    <w:rsid w:val="009D55B4"/>
    <w:rsid w:val="009D6964"/>
    <w:rsid w:val="009D6D55"/>
    <w:rsid w:val="009D75F2"/>
    <w:rsid w:val="009E4061"/>
    <w:rsid w:val="009E492A"/>
    <w:rsid w:val="009F14D6"/>
    <w:rsid w:val="009F4454"/>
    <w:rsid w:val="00A00611"/>
    <w:rsid w:val="00A031E2"/>
    <w:rsid w:val="00A062DE"/>
    <w:rsid w:val="00A10B24"/>
    <w:rsid w:val="00A11F27"/>
    <w:rsid w:val="00A128FD"/>
    <w:rsid w:val="00A135F6"/>
    <w:rsid w:val="00A13C36"/>
    <w:rsid w:val="00A166F0"/>
    <w:rsid w:val="00A20974"/>
    <w:rsid w:val="00A20E99"/>
    <w:rsid w:val="00A21C62"/>
    <w:rsid w:val="00A341A4"/>
    <w:rsid w:val="00A40C04"/>
    <w:rsid w:val="00A40C07"/>
    <w:rsid w:val="00A4201C"/>
    <w:rsid w:val="00A429E5"/>
    <w:rsid w:val="00A44150"/>
    <w:rsid w:val="00A45EE8"/>
    <w:rsid w:val="00A4613D"/>
    <w:rsid w:val="00A4712D"/>
    <w:rsid w:val="00A50A45"/>
    <w:rsid w:val="00A54C6E"/>
    <w:rsid w:val="00A57F31"/>
    <w:rsid w:val="00A605B3"/>
    <w:rsid w:val="00A611E0"/>
    <w:rsid w:val="00A6186A"/>
    <w:rsid w:val="00A62C58"/>
    <w:rsid w:val="00A70D3F"/>
    <w:rsid w:val="00A71738"/>
    <w:rsid w:val="00A72ADC"/>
    <w:rsid w:val="00A81709"/>
    <w:rsid w:val="00A85327"/>
    <w:rsid w:val="00A900B0"/>
    <w:rsid w:val="00A91953"/>
    <w:rsid w:val="00A9416C"/>
    <w:rsid w:val="00A97ABF"/>
    <w:rsid w:val="00AA2B2F"/>
    <w:rsid w:val="00AB09A7"/>
    <w:rsid w:val="00AB27F6"/>
    <w:rsid w:val="00AB3782"/>
    <w:rsid w:val="00AB393C"/>
    <w:rsid w:val="00AB4A20"/>
    <w:rsid w:val="00AB6A90"/>
    <w:rsid w:val="00AB6C3A"/>
    <w:rsid w:val="00AC0C02"/>
    <w:rsid w:val="00AC142F"/>
    <w:rsid w:val="00AC2576"/>
    <w:rsid w:val="00AC2EF3"/>
    <w:rsid w:val="00AC32CD"/>
    <w:rsid w:val="00AC5904"/>
    <w:rsid w:val="00AC6F5D"/>
    <w:rsid w:val="00AD4B50"/>
    <w:rsid w:val="00AE03AF"/>
    <w:rsid w:val="00AE23A0"/>
    <w:rsid w:val="00AE60A2"/>
    <w:rsid w:val="00AE6766"/>
    <w:rsid w:val="00AF24F1"/>
    <w:rsid w:val="00AF48CD"/>
    <w:rsid w:val="00AF60C2"/>
    <w:rsid w:val="00B01F2F"/>
    <w:rsid w:val="00B10645"/>
    <w:rsid w:val="00B15449"/>
    <w:rsid w:val="00B162F5"/>
    <w:rsid w:val="00B16BDC"/>
    <w:rsid w:val="00B2321C"/>
    <w:rsid w:val="00B3064C"/>
    <w:rsid w:val="00B33817"/>
    <w:rsid w:val="00B46037"/>
    <w:rsid w:val="00B5052B"/>
    <w:rsid w:val="00B57F0B"/>
    <w:rsid w:val="00B57F86"/>
    <w:rsid w:val="00B603B2"/>
    <w:rsid w:val="00B603EB"/>
    <w:rsid w:val="00B60D7A"/>
    <w:rsid w:val="00B64495"/>
    <w:rsid w:val="00B66A2F"/>
    <w:rsid w:val="00B700C5"/>
    <w:rsid w:val="00B738C9"/>
    <w:rsid w:val="00B80872"/>
    <w:rsid w:val="00B81DCB"/>
    <w:rsid w:val="00B84902"/>
    <w:rsid w:val="00B84EEC"/>
    <w:rsid w:val="00B92061"/>
    <w:rsid w:val="00B94FA6"/>
    <w:rsid w:val="00B97FF4"/>
    <w:rsid w:val="00BA46BE"/>
    <w:rsid w:val="00BA5D5C"/>
    <w:rsid w:val="00BB5733"/>
    <w:rsid w:val="00BC1D94"/>
    <w:rsid w:val="00BC4AED"/>
    <w:rsid w:val="00BD1AD2"/>
    <w:rsid w:val="00BD2870"/>
    <w:rsid w:val="00BD39FC"/>
    <w:rsid w:val="00BD52EF"/>
    <w:rsid w:val="00BD579B"/>
    <w:rsid w:val="00BD7831"/>
    <w:rsid w:val="00BE0881"/>
    <w:rsid w:val="00BE7817"/>
    <w:rsid w:val="00BF0BC3"/>
    <w:rsid w:val="00BF2513"/>
    <w:rsid w:val="00C01024"/>
    <w:rsid w:val="00C013A9"/>
    <w:rsid w:val="00C02E6C"/>
    <w:rsid w:val="00C05EF3"/>
    <w:rsid w:val="00C073CE"/>
    <w:rsid w:val="00C1063A"/>
    <w:rsid w:val="00C14051"/>
    <w:rsid w:val="00C208EB"/>
    <w:rsid w:val="00C25BF2"/>
    <w:rsid w:val="00C30764"/>
    <w:rsid w:val="00C32B80"/>
    <w:rsid w:val="00C34275"/>
    <w:rsid w:val="00C447E9"/>
    <w:rsid w:val="00C459B5"/>
    <w:rsid w:val="00C47AD3"/>
    <w:rsid w:val="00C506E5"/>
    <w:rsid w:val="00C5497B"/>
    <w:rsid w:val="00C6180A"/>
    <w:rsid w:val="00C61CC2"/>
    <w:rsid w:val="00C62D5A"/>
    <w:rsid w:val="00C630AE"/>
    <w:rsid w:val="00C65639"/>
    <w:rsid w:val="00C67AE5"/>
    <w:rsid w:val="00C75151"/>
    <w:rsid w:val="00C850D8"/>
    <w:rsid w:val="00C879E9"/>
    <w:rsid w:val="00C87B11"/>
    <w:rsid w:val="00C90F12"/>
    <w:rsid w:val="00CA2CA6"/>
    <w:rsid w:val="00CA69B3"/>
    <w:rsid w:val="00CA6B99"/>
    <w:rsid w:val="00CB25BF"/>
    <w:rsid w:val="00CB48FF"/>
    <w:rsid w:val="00CB5E17"/>
    <w:rsid w:val="00CC789A"/>
    <w:rsid w:val="00CD277A"/>
    <w:rsid w:val="00CD2922"/>
    <w:rsid w:val="00CD65A8"/>
    <w:rsid w:val="00CD70C8"/>
    <w:rsid w:val="00CE3E6E"/>
    <w:rsid w:val="00CE5CF3"/>
    <w:rsid w:val="00CF17B3"/>
    <w:rsid w:val="00CF6DA6"/>
    <w:rsid w:val="00CF7C35"/>
    <w:rsid w:val="00D12EDC"/>
    <w:rsid w:val="00D1376B"/>
    <w:rsid w:val="00D1760D"/>
    <w:rsid w:val="00D17E2C"/>
    <w:rsid w:val="00D230D4"/>
    <w:rsid w:val="00D25FB1"/>
    <w:rsid w:val="00D27464"/>
    <w:rsid w:val="00D314FB"/>
    <w:rsid w:val="00D332F6"/>
    <w:rsid w:val="00D4092D"/>
    <w:rsid w:val="00D447C9"/>
    <w:rsid w:val="00D517DC"/>
    <w:rsid w:val="00D538A5"/>
    <w:rsid w:val="00D56021"/>
    <w:rsid w:val="00D57385"/>
    <w:rsid w:val="00D60CEE"/>
    <w:rsid w:val="00D7309D"/>
    <w:rsid w:val="00D83A36"/>
    <w:rsid w:val="00D85C6D"/>
    <w:rsid w:val="00D908B0"/>
    <w:rsid w:val="00D95469"/>
    <w:rsid w:val="00D9583C"/>
    <w:rsid w:val="00D97A55"/>
    <w:rsid w:val="00DA435A"/>
    <w:rsid w:val="00DA4583"/>
    <w:rsid w:val="00DB1A55"/>
    <w:rsid w:val="00DB4008"/>
    <w:rsid w:val="00DB4637"/>
    <w:rsid w:val="00DB5465"/>
    <w:rsid w:val="00DB79FB"/>
    <w:rsid w:val="00DC4D22"/>
    <w:rsid w:val="00DC54C6"/>
    <w:rsid w:val="00DC7766"/>
    <w:rsid w:val="00DC7863"/>
    <w:rsid w:val="00DE1A6E"/>
    <w:rsid w:val="00DE23F5"/>
    <w:rsid w:val="00DE2DA1"/>
    <w:rsid w:val="00DE4408"/>
    <w:rsid w:val="00DE5E30"/>
    <w:rsid w:val="00DE6443"/>
    <w:rsid w:val="00DE7D83"/>
    <w:rsid w:val="00DF29D4"/>
    <w:rsid w:val="00DF3273"/>
    <w:rsid w:val="00DF43F5"/>
    <w:rsid w:val="00DF49AB"/>
    <w:rsid w:val="00DF744F"/>
    <w:rsid w:val="00E02FAD"/>
    <w:rsid w:val="00E1656E"/>
    <w:rsid w:val="00E24C6B"/>
    <w:rsid w:val="00E31612"/>
    <w:rsid w:val="00E35304"/>
    <w:rsid w:val="00E3789E"/>
    <w:rsid w:val="00E42E7D"/>
    <w:rsid w:val="00E511AF"/>
    <w:rsid w:val="00E516E9"/>
    <w:rsid w:val="00E53AC9"/>
    <w:rsid w:val="00E549BF"/>
    <w:rsid w:val="00E55691"/>
    <w:rsid w:val="00E575B2"/>
    <w:rsid w:val="00E57FA8"/>
    <w:rsid w:val="00E631FB"/>
    <w:rsid w:val="00E63582"/>
    <w:rsid w:val="00E65B6F"/>
    <w:rsid w:val="00E72701"/>
    <w:rsid w:val="00E804E4"/>
    <w:rsid w:val="00E822B5"/>
    <w:rsid w:val="00E827B0"/>
    <w:rsid w:val="00E85433"/>
    <w:rsid w:val="00E90BA6"/>
    <w:rsid w:val="00E94076"/>
    <w:rsid w:val="00E9451B"/>
    <w:rsid w:val="00E963FE"/>
    <w:rsid w:val="00EA282A"/>
    <w:rsid w:val="00EA526E"/>
    <w:rsid w:val="00EA6746"/>
    <w:rsid w:val="00EA7C9F"/>
    <w:rsid w:val="00EB466C"/>
    <w:rsid w:val="00EB7EC6"/>
    <w:rsid w:val="00EC2203"/>
    <w:rsid w:val="00ED1CCD"/>
    <w:rsid w:val="00ED7151"/>
    <w:rsid w:val="00EE44D6"/>
    <w:rsid w:val="00EF28F6"/>
    <w:rsid w:val="00EF2EF4"/>
    <w:rsid w:val="00EF4AC1"/>
    <w:rsid w:val="00F01B20"/>
    <w:rsid w:val="00F0718E"/>
    <w:rsid w:val="00F113D1"/>
    <w:rsid w:val="00F12A11"/>
    <w:rsid w:val="00F12F1E"/>
    <w:rsid w:val="00F147CB"/>
    <w:rsid w:val="00F1607B"/>
    <w:rsid w:val="00F20BEB"/>
    <w:rsid w:val="00F21E37"/>
    <w:rsid w:val="00F26D94"/>
    <w:rsid w:val="00F33E43"/>
    <w:rsid w:val="00F371A9"/>
    <w:rsid w:val="00F41C6C"/>
    <w:rsid w:val="00F424CB"/>
    <w:rsid w:val="00F44F60"/>
    <w:rsid w:val="00F4644E"/>
    <w:rsid w:val="00F504EB"/>
    <w:rsid w:val="00F54B40"/>
    <w:rsid w:val="00F54CBA"/>
    <w:rsid w:val="00F6401B"/>
    <w:rsid w:val="00F715FA"/>
    <w:rsid w:val="00F725A6"/>
    <w:rsid w:val="00F77DE7"/>
    <w:rsid w:val="00F8092E"/>
    <w:rsid w:val="00F809A2"/>
    <w:rsid w:val="00F83641"/>
    <w:rsid w:val="00F8418D"/>
    <w:rsid w:val="00F8788E"/>
    <w:rsid w:val="00F92246"/>
    <w:rsid w:val="00FA1599"/>
    <w:rsid w:val="00FA1BEB"/>
    <w:rsid w:val="00FA276A"/>
    <w:rsid w:val="00FB03E4"/>
    <w:rsid w:val="00FB0739"/>
    <w:rsid w:val="00FB1EC7"/>
    <w:rsid w:val="00FB3B64"/>
    <w:rsid w:val="00FC56C6"/>
    <w:rsid w:val="00FC6024"/>
    <w:rsid w:val="00FD2946"/>
    <w:rsid w:val="00FD2C5C"/>
    <w:rsid w:val="00FD3C4B"/>
    <w:rsid w:val="00FE1E4B"/>
    <w:rsid w:val="00FE328A"/>
    <w:rsid w:val="00FF04B1"/>
    <w:rsid w:val="00FF54B1"/>
    <w:rsid w:val="00FF63B0"/>
    <w:rsid w:val="00FF7306"/>
    <w:rsid w:val="00FF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0C9C5"/>
  <w14:defaultImageDpi w14:val="300"/>
  <w15:docId w15:val="{F8F61CE6-FE8F-4B81-86B1-61E4E225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B3D"/>
    <w:rPr>
      <w:rFonts w:ascii="Times New Roman" w:eastAsia="Calibri"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70ECE"/>
    <w:rPr>
      <w:rFonts w:ascii="Helvetica" w:eastAsia="ヒラギノ角ゴ Pro W3" w:hAnsi="Helvetica" w:cs="Times New Roman"/>
      <w:color w:val="000000"/>
      <w:szCs w:val="20"/>
    </w:rPr>
  </w:style>
  <w:style w:type="paragraph" w:customStyle="1" w:styleId="FreeFormA">
    <w:name w:val="Free Form A"/>
    <w:rsid w:val="00970ECE"/>
    <w:rPr>
      <w:rFonts w:ascii="Helvetica" w:eastAsia="ヒラギノ角ゴ Pro W3" w:hAnsi="Helvetica" w:cs="Times New Roman"/>
      <w:color w:val="000000"/>
      <w:szCs w:val="20"/>
    </w:rPr>
  </w:style>
  <w:style w:type="paragraph" w:customStyle="1" w:styleId="BodyA">
    <w:name w:val="Body A"/>
    <w:rsid w:val="003E29F2"/>
    <w:rPr>
      <w:rFonts w:ascii="Helvetica" w:eastAsia="ヒラギノ角ゴ Pro W3" w:hAnsi="Helvetica" w:cs="Times New Roman"/>
      <w:color w:val="000000"/>
      <w:szCs w:val="20"/>
    </w:rPr>
  </w:style>
  <w:style w:type="paragraph" w:styleId="FootnoteText">
    <w:name w:val="footnote text"/>
    <w:basedOn w:val="Normal"/>
    <w:link w:val="FootnoteTextChar"/>
    <w:uiPriority w:val="99"/>
    <w:unhideWhenUsed/>
    <w:rsid w:val="00AC5904"/>
  </w:style>
  <w:style w:type="character" w:customStyle="1" w:styleId="FootnoteTextChar">
    <w:name w:val="Footnote Text Char"/>
    <w:basedOn w:val="DefaultParagraphFont"/>
    <w:link w:val="FootnoteText"/>
    <w:uiPriority w:val="99"/>
    <w:rsid w:val="00AC5904"/>
    <w:rPr>
      <w:rFonts w:ascii="Times New Roman" w:eastAsia="Calibri" w:hAnsi="Times New Roman" w:cs="Times New Roman"/>
      <w:lang w:val="en-GB"/>
    </w:rPr>
  </w:style>
  <w:style w:type="character" w:styleId="FootnoteReference">
    <w:name w:val="footnote reference"/>
    <w:basedOn w:val="DefaultParagraphFont"/>
    <w:uiPriority w:val="99"/>
    <w:unhideWhenUsed/>
    <w:rsid w:val="00AC5904"/>
    <w:rPr>
      <w:vertAlign w:val="superscript"/>
    </w:rPr>
  </w:style>
  <w:style w:type="paragraph" w:customStyle="1" w:styleId="FreeFormB">
    <w:name w:val="Free Form B"/>
    <w:rsid w:val="00047E04"/>
    <w:rPr>
      <w:rFonts w:ascii="Times New Roman" w:eastAsia="ヒラギノ角ゴ Pro W3" w:hAnsi="Times New Roman" w:cs="Times New Roman"/>
      <w:color w:val="000000"/>
      <w:sz w:val="20"/>
      <w:szCs w:val="20"/>
      <w:lang w:val="en-GB"/>
    </w:rPr>
  </w:style>
  <w:style w:type="character" w:customStyle="1" w:styleId="FootnoteReference2">
    <w:name w:val="Footnote Reference2"/>
    <w:rsid w:val="00F8418D"/>
    <w:rPr>
      <w:color w:val="000000"/>
      <w:sz w:val="20"/>
      <w:vertAlign w:val="superscript"/>
    </w:rPr>
  </w:style>
  <w:style w:type="paragraph" w:customStyle="1" w:styleId="FootnoteTextD">
    <w:name w:val="Footnote Text D"/>
    <w:rsid w:val="00F8418D"/>
    <w:rPr>
      <w:rFonts w:ascii="Helvetica" w:eastAsia="ヒラギノ角ゴ Pro W3" w:hAnsi="Helvetica" w:cs="Times New Roman"/>
      <w:color w:val="000000"/>
      <w:sz w:val="20"/>
      <w:szCs w:val="20"/>
    </w:rPr>
  </w:style>
  <w:style w:type="paragraph" w:customStyle="1" w:styleId="FootnoteTextEA">
    <w:name w:val="Footnote Text E A"/>
    <w:rsid w:val="00F8418D"/>
    <w:rPr>
      <w:rFonts w:ascii="Helvetica" w:eastAsia="ヒラギノ角ゴ Pro W3" w:hAnsi="Helvetica" w:cs="Times New Roman"/>
      <w:color w:val="000000"/>
      <w:sz w:val="20"/>
      <w:szCs w:val="20"/>
    </w:rPr>
  </w:style>
  <w:style w:type="character" w:styleId="Strong">
    <w:name w:val="Strong"/>
    <w:basedOn w:val="DefaultParagraphFont"/>
    <w:uiPriority w:val="22"/>
    <w:qFormat/>
    <w:rsid w:val="008E3347"/>
    <w:rPr>
      <w:b/>
      <w:bCs/>
    </w:rPr>
  </w:style>
  <w:style w:type="paragraph" w:styleId="Footer">
    <w:name w:val="footer"/>
    <w:basedOn w:val="Normal"/>
    <w:link w:val="FooterChar"/>
    <w:uiPriority w:val="99"/>
    <w:unhideWhenUsed/>
    <w:rsid w:val="00697743"/>
    <w:pPr>
      <w:tabs>
        <w:tab w:val="center" w:pos="4320"/>
        <w:tab w:val="right" w:pos="8640"/>
      </w:tabs>
    </w:pPr>
  </w:style>
  <w:style w:type="character" w:customStyle="1" w:styleId="FooterChar">
    <w:name w:val="Footer Char"/>
    <w:basedOn w:val="DefaultParagraphFont"/>
    <w:link w:val="Footer"/>
    <w:uiPriority w:val="99"/>
    <w:rsid w:val="00697743"/>
    <w:rPr>
      <w:rFonts w:ascii="Times New Roman" w:eastAsia="Calibri" w:hAnsi="Times New Roman" w:cs="Times New Roman"/>
      <w:lang w:val="en-GB"/>
    </w:rPr>
  </w:style>
  <w:style w:type="character" w:styleId="PageNumber">
    <w:name w:val="page number"/>
    <w:basedOn w:val="DefaultParagraphFont"/>
    <w:uiPriority w:val="99"/>
    <w:semiHidden/>
    <w:unhideWhenUsed/>
    <w:rsid w:val="00697743"/>
  </w:style>
  <w:style w:type="paragraph" w:customStyle="1" w:styleId="FreeFormAAA">
    <w:name w:val="Free Form A A A"/>
    <w:rsid w:val="00777C8F"/>
    <w:rPr>
      <w:rFonts w:ascii="Times New Roman" w:eastAsia="ヒラギノ角ゴ Pro W3" w:hAnsi="Times New Roman" w:cs="Times New Roman"/>
      <w:color w:val="000000"/>
      <w:sz w:val="20"/>
      <w:szCs w:val="20"/>
      <w:lang w:val="en-GB"/>
    </w:rPr>
  </w:style>
  <w:style w:type="paragraph" w:customStyle="1" w:styleId="FreeFormBAAAAAAA">
    <w:name w:val="Free Form B A A A A A A A"/>
    <w:rsid w:val="008F7CB3"/>
    <w:rPr>
      <w:rFonts w:ascii="Times New Roman" w:eastAsia="ヒラギノ角ゴ Pro W3" w:hAnsi="Times New Roman" w:cs="Times New Roman"/>
      <w:color w:val="000000"/>
      <w:sz w:val="20"/>
      <w:szCs w:val="20"/>
      <w:lang w:val="en-GB"/>
    </w:rPr>
  </w:style>
  <w:style w:type="paragraph" w:styleId="BalloonText">
    <w:name w:val="Balloon Text"/>
    <w:basedOn w:val="Normal"/>
    <w:link w:val="BalloonTextChar"/>
    <w:uiPriority w:val="99"/>
    <w:semiHidden/>
    <w:unhideWhenUsed/>
    <w:rsid w:val="009D7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5F2"/>
    <w:rPr>
      <w:rFonts w:ascii="Segoe UI" w:eastAsia="Calibri" w:hAnsi="Segoe UI" w:cs="Segoe UI"/>
      <w:sz w:val="18"/>
      <w:szCs w:val="18"/>
      <w:lang w:val="en-GB"/>
    </w:rPr>
  </w:style>
  <w:style w:type="character" w:styleId="CommentReference">
    <w:name w:val="annotation reference"/>
    <w:basedOn w:val="DefaultParagraphFont"/>
    <w:uiPriority w:val="99"/>
    <w:semiHidden/>
    <w:unhideWhenUsed/>
    <w:rsid w:val="00FA1599"/>
    <w:rPr>
      <w:sz w:val="16"/>
      <w:szCs w:val="16"/>
    </w:rPr>
  </w:style>
  <w:style w:type="paragraph" w:styleId="CommentText">
    <w:name w:val="annotation text"/>
    <w:basedOn w:val="Normal"/>
    <w:link w:val="CommentTextChar"/>
    <w:uiPriority w:val="99"/>
    <w:semiHidden/>
    <w:unhideWhenUsed/>
    <w:rsid w:val="00FA1599"/>
    <w:rPr>
      <w:sz w:val="20"/>
      <w:szCs w:val="20"/>
    </w:rPr>
  </w:style>
  <w:style w:type="character" w:customStyle="1" w:styleId="CommentTextChar">
    <w:name w:val="Comment Text Char"/>
    <w:basedOn w:val="DefaultParagraphFont"/>
    <w:link w:val="CommentText"/>
    <w:uiPriority w:val="99"/>
    <w:semiHidden/>
    <w:rsid w:val="00FA1599"/>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A1599"/>
    <w:rPr>
      <w:b/>
      <w:bCs/>
    </w:rPr>
  </w:style>
  <w:style w:type="character" w:customStyle="1" w:styleId="CommentSubjectChar">
    <w:name w:val="Comment Subject Char"/>
    <w:basedOn w:val="CommentTextChar"/>
    <w:link w:val="CommentSubject"/>
    <w:uiPriority w:val="99"/>
    <w:semiHidden/>
    <w:rsid w:val="00FA1599"/>
    <w:rPr>
      <w:rFonts w:ascii="Times New Roman" w:eastAsia="Calibri"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9ED4F-7CF2-44F4-A368-0818F122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7945</Words>
  <Characters>45288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Pedwell</dc:creator>
  <cp:keywords/>
  <dc:description/>
  <cp:lastModifiedBy>Lisa Towers</cp:lastModifiedBy>
  <cp:revision>2</cp:revision>
  <cp:lastPrinted>2014-07-16T09:50:00Z</cp:lastPrinted>
  <dcterms:created xsi:type="dcterms:W3CDTF">2016-03-15T10:27:00Z</dcterms:created>
  <dcterms:modified xsi:type="dcterms:W3CDTF">2016-03-15T10:27:00Z</dcterms:modified>
</cp:coreProperties>
</file>