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6FE9" w:rsidRPr="00AE6576" w:rsidRDefault="00116FE9" w:rsidP="007510F8">
      <w:pPr>
        <w:pStyle w:val="HTMLPreformatted"/>
        <w:spacing w:line="480" w:lineRule="auto"/>
        <w:rPr>
          <w:rFonts w:ascii="Times New Roman" w:hAnsi="Times New Roman"/>
          <w:b/>
          <w:sz w:val="24"/>
          <w:szCs w:val="24"/>
        </w:rPr>
      </w:pPr>
      <w:bookmarkStart w:id="0" w:name="_GoBack"/>
      <w:bookmarkEnd w:id="0"/>
      <w:r w:rsidRPr="00AE6576">
        <w:rPr>
          <w:rFonts w:ascii="Times New Roman" w:hAnsi="Times New Roman"/>
          <w:b/>
          <w:sz w:val="24"/>
          <w:szCs w:val="24"/>
        </w:rPr>
        <w:t>The 'drug policy ratchet': why do sanctions for new psychoactive drugs typically only go up?</w:t>
      </w:r>
    </w:p>
    <w:p w:rsidR="00A65CDE" w:rsidRDefault="00A65CDE" w:rsidP="007510F8">
      <w:pPr>
        <w:spacing w:after="0" w:line="480" w:lineRule="auto"/>
        <w:rPr>
          <w:rFonts w:ascii="Times New Roman" w:hAnsi="Times New Roman"/>
          <w:i/>
          <w:sz w:val="24"/>
          <w:szCs w:val="24"/>
        </w:rPr>
      </w:pPr>
    </w:p>
    <w:p w:rsidR="00116FE9" w:rsidRPr="00A65CDE" w:rsidRDefault="00A65CDE" w:rsidP="007510F8">
      <w:pPr>
        <w:spacing w:after="0" w:line="480" w:lineRule="auto"/>
        <w:rPr>
          <w:rFonts w:ascii="Times New Roman" w:hAnsi="Times New Roman"/>
          <w:color w:val="000000"/>
          <w:sz w:val="24"/>
          <w:szCs w:val="24"/>
          <w:shd w:val="clear" w:color="auto" w:fill="FFFFFF"/>
        </w:rPr>
      </w:pPr>
      <w:r>
        <w:rPr>
          <w:rFonts w:ascii="Times New Roman" w:hAnsi="Times New Roman"/>
          <w:i/>
          <w:sz w:val="24"/>
          <w:szCs w:val="24"/>
        </w:rPr>
        <w:t xml:space="preserve">This is a pre-proof version of an article that was published in </w:t>
      </w:r>
      <w:r>
        <w:rPr>
          <w:rFonts w:ascii="Times New Roman" w:hAnsi="Times New Roman"/>
          <w:sz w:val="24"/>
          <w:szCs w:val="24"/>
        </w:rPr>
        <w:t xml:space="preserve">Addiction </w:t>
      </w:r>
      <w:r w:rsidRPr="00A65CDE">
        <w:rPr>
          <w:rFonts w:ascii="Times New Roman" w:hAnsi="Times New Roman"/>
          <w:i/>
          <w:sz w:val="24"/>
          <w:szCs w:val="24"/>
        </w:rPr>
        <w:t>in 2014</w:t>
      </w:r>
      <w:r>
        <w:rPr>
          <w:rFonts w:ascii="Times New Roman" w:hAnsi="Times New Roman"/>
          <w:i/>
          <w:sz w:val="24"/>
          <w:szCs w:val="24"/>
        </w:rPr>
        <w:t xml:space="preserve">, with a DOI </w:t>
      </w:r>
      <w:r w:rsidRPr="00A65CDE">
        <w:rPr>
          <w:rFonts w:ascii="Times New Roman" w:hAnsi="Times New Roman"/>
          <w:i/>
          <w:sz w:val="24"/>
          <w:szCs w:val="24"/>
        </w:rPr>
        <w:t>of</w:t>
      </w:r>
      <w:r w:rsidRPr="00A65CDE">
        <w:rPr>
          <w:rFonts w:ascii="Times New Roman" w:hAnsi="Times New Roman"/>
          <w:color w:val="000000"/>
          <w:sz w:val="24"/>
          <w:szCs w:val="24"/>
          <w:shd w:val="clear" w:color="auto" w:fill="FFFFFF"/>
        </w:rPr>
        <w:t>: 10.1111/add.12406</w:t>
      </w:r>
    </w:p>
    <w:p w:rsidR="00A65CDE" w:rsidRPr="00A65CDE" w:rsidRDefault="00A65CDE" w:rsidP="007510F8">
      <w:pPr>
        <w:spacing w:after="0" w:line="480" w:lineRule="auto"/>
        <w:rPr>
          <w:rFonts w:ascii="Times New Roman" w:hAnsi="Times New Roman"/>
          <w:sz w:val="24"/>
          <w:szCs w:val="24"/>
        </w:rPr>
      </w:pPr>
    </w:p>
    <w:p w:rsidR="00116FE9" w:rsidRDefault="00116FE9" w:rsidP="00774E83">
      <w:pPr>
        <w:spacing w:after="0" w:line="240" w:lineRule="auto"/>
        <w:rPr>
          <w:rFonts w:ascii="Times New Roman" w:hAnsi="Times New Roman"/>
          <w:sz w:val="24"/>
          <w:szCs w:val="24"/>
        </w:rPr>
      </w:pPr>
      <w:r w:rsidRPr="00AE6576">
        <w:rPr>
          <w:rFonts w:ascii="Times New Roman" w:hAnsi="Times New Roman"/>
          <w:sz w:val="24"/>
          <w:szCs w:val="24"/>
        </w:rPr>
        <w:t>Alex Stevens</w:t>
      </w:r>
    </w:p>
    <w:p w:rsidR="00774E83" w:rsidRDefault="00774E83" w:rsidP="00774E83">
      <w:pPr>
        <w:spacing w:after="0" w:line="240" w:lineRule="auto"/>
        <w:rPr>
          <w:rFonts w:ascii="Times New Roman" w:hAnsi="Times New Roman"/>
          <w:sz w:val="24"/>
          <w:szCs w:val="24"/>
        </w:rPr>
      </w:pPr>
      <w:r>
        <w:rPr>
          <w:rFonts w:ascii="Times New Roman" w:hAnsi="Times New Roman"/>
          <w:sz w:val="24"/>
          <w:szCs w:val="24"/>
        </w:rPr>
        <w:t>Professor in Criminal Justice</w:t>
      </w:r>
    </w:p>
    <w:p w:rsidR="00774E83" w:rsidRDefault="00774E83" w:rsidP="00774E83">
      <w:pPr>
        <w:spacing w:after="0" w:line="240" w:lineRule="auto"/>
        <w:rPr>
          <w:rFonts w:ascii="Times New Roman" w:hAnsi="Times New Roman"/>
          <w:sz w:val="24"/>
          <w:szCs w:val="24"/>
        </w:rPr>
      </w:pPr>
      <w:r>
        <w:rPr>
          <w:rFonts w:ascii="Times New Roman" w:hAnsi="Times New Roman"/>
          <w:sz w:val="24"/>
          <w:szCs w:val="24"/>
        </w:rPr>
        <w:t>School of Social Policy, Sociology and Social Research</w:t>
      </w:r>
    </w:p>
    <w:p w:rsidR="00774E83" w:rsidRDefault="00774E83" w:rsidP="00774E83">
      <w:pPr>
        <w:spacing w:after="0" w:line="240" w:lineRule="auto"/>
        <w:rPr>
          <w:rFonts w:ascii="Times New Roman" w:hAnsi="Times New Roman"/>
          <w:sz w:val="24"/>
          <w:szCs w:val="24"/>
        </w:rPr>
      </w:pPr>
      <w:r>
        <w:rPr>
          <w:rFonts w:ascii="Times New Roman" w:hAnsi="Times New Roman"/>
          <w:sz w:val="24"/>
          <w:szCs w:val="24"/>
        </w:rPr>
        <w:t>University of Kent</w:t>
      </w:r>
    </w:p>
    <w:p w:rsidR="00774E83" w:rsidRDefault="00774E83" w:rsidP="00774E83">
      <w:pPr>
        <w:spacing w:after="0" w:line="240" w:lineRule="auto"/>
        <w:rPr>
          <w:rFonts w:ascii="Times New Roman" w:hAnsi="Times New Roman"/>
          <w:sz w:val="24"/>
          <w:szCs w:val="24"/>
        </w:rPr>
      </w:pPr>
      <w:r>
        <w:rPr>
          <w:rFonts w:ascii="Times New Roman" w:hAnsi="Times New Roman"/>
          <w:sz w:val="24"/>
          <w:szCs w:val="24"/>
        </w:rPr>
        <w:t>Medway Campus</w:t>
      </w:r>
    </w:p>
    <w:p w:rsidR="00774E83" w:rsidRDefault="00774E83" w:rsidP="00774E83">
      <w:pPr>
        <w:spacing w:after="0" w:line="240" w:lineRule="auto"/>
        <w:rPr>
          <w:rFonts w:ascii="Times New Roman" w:hAnsi="Times New Roman"/>
          <w:sz w:val="24"/>
          <w:szCs w:val="24"/>
        </w:rPr>
      </w:pPr>
      <w:r>
        <w:rPr>
          <w:rFonts w:ascii="Times New Roman" w:hAnsi="Times New Roman"/>
          <w:sz w:val="24"/>
          <w:szCs w:val="24"/>
        </w:rPr>
        <w:t>Chatham Maritime</w:t>
      </w:r>
    </w:p>
    <w:p w:rsidR="00774E83" w:rsidRDefault="00774E83" w:rsidP="00774E83">
      <w:pPr>
        <w:spacing w:after="0" w:line="240" w:lineRule="auto"/>
        <w:rPr>
          <w:rFonts w:ascii="Times New Roman" w:hAnsi="Times New Roman"/>
          <w:sz w:val="24"/>
          <w:szCs w:val="24"/>
        </w:rPr>
      </w:pPr>
      <w:r>
        <w:rPr>
          <w:rFonts w:ascii="Times New Roman" w:hAnsi="Times New Roman"/>
          <w:sz w:val="24"/>
          <w:szCs w:val="24"/>
        </w:rPr>
        <w:t>ME4 4AG</w:t>
      </w:r>
    </w:p>
    <w:p w:rsidR="00774E83" w:rsidRDefault="00774E83" w:rsidP="00774E83">
      <w:pPr>
        <w:spacing w:after="0" w:line="240" w:lineRule="auto"/>
        <w:rPr>
          <w:rFonts w:ascii="Times New Roman" w:hAnsi="Times New Roman"/>
          <w:sz w:val="24"/>
          <w:szCs w:val="24"/>
        </w:rPr>
      </w:pPr>
      <w:r>
        <w:rPr>
          <w:rFonts w:ascii="Times New Roman" w:hAnsi="Times New Roman"/>
          <w:sz w:val="24"/>
          <w:szCs w:val="24"/>
        </w:rPr>
        <w:t>United Kingdom</w:t>
      </w:r>
    </w:p>
    <w:p w:rsidR="00774E83" w:rsidRDefault="00774E83" w:rsidP="00774E83">
      <w:pPr>
        <w:spacing w:after="0" w:line="240" w:lineRule="auto"/>
        <w:rPr>
          <w:rFonts w:ascii="Times New Roman" w:hAnsi="Times New Roman"/>
          <w:sz w:val="24"/>
          <w:szCs w:val="24"/>
        </w:rPr>
      </w:pPr>
      <w:r>
        <w:rPr>
          <w:rFonts w:ascii="Times New Roman" w:hAnsi="Times New Roman"/>
          <w:sz w:val="24"/>
          <w:szCs w:val="24"/>
        </w:rPr>
        <w:t>01634 888 988</w:t>
      </w:r>
    </w:p>
    <w:p w:rsidR="00774E83" w:rsidRDefault="00D82761" w:rsidP="00774E83">
      <w:pPr>
        <w:spacing w:after="0" w:line="240" w:lineRule="auto"/>
        <w:rPr>
          <w:rFonts w:ascii="Times New Roman" w:hAnsi="Times New Roman"/>
          <w:sz w:val="24"/>
          <w:szCs w:val="24"/>
        </w:rPr>
      </w:pPr>
      <w:hyperlink r:id="rId7" w:history="1">
        <w:r w:rsidR="00774E83" w:rsidRPr="00C01437">
          <w:rPr>
            <w:rStyle w:val="Hyperlink"/>
            <w:rFonts w:ascii="Times New Roman" w:hAnsi="Times New Roman"/>
            <w:sz w:val="24"/>
            <w:szCs w:val="24"/>
          </w:rPr>
          <w:t>a.w.stevens@kent.ac.uk</w:t>
        </w:r>
      </w:hyperlink>
    </w:p>
    <w:p w:rsidR="00774E83" w:rsidRDefault="00774E83" w:rsidP="00774E83">
      <w:pPr>
        <w:spacing w:after="0" w:line="240" w:lineRule="auto"/>
        <w:rPr>
          <w:rFonts w:ascii="Times New Roman" w:hAnsi="Times New Roman"/>
          <w:sz w:val="24"/>
          <w:szCs w:val="24"/>
        </w:rPr>
      </w:pPr>
    </w:p>
    <w:p w:rsidR="00774E83" w:rsidRPr="00AE6576" w:rsidRDefault="00774E83" w:rsidP="00774E83">
      <w:pPr>
        <w:spacing w:after="0" w:line="240" w:lineRule="auto"/>
        <w:rPr>
          <w:rFonts w:ascii="Times New Roman" w:hAnsi="Times New Roman"/>
          <w:sz w:val="24"/>
          <w:szCs w:val="24"/>
        </w:rPr>
      </w:pPr>
    </w:p>
    <w:p w:rsidR="00116FE9" w:rsidRDefault="00116FE9" w:rsidP="00774E83">
      <w:pPr>
        <w:spacing w:after="0" w:line="240" w:lineRule="auto"/>
        <w:rPr>
          <w:rFonts w:ascii="Times New Roman" w:hAnsi="Times New Roman"/>
          <w:sz w:val="24"/>
          <w:szCs w:val="24"/>
        </w:rPr>
      </w:pPr>
      <w:r w:rsidRPr="00AE6576">
        <w:rPr>
          <w:rFonts w:ascii="Times New Roman" w:hAnsi="Times New Roman"/>
          <w:sz w:val="24"/>
          <w:szCs w:val="24"/>
        </w:rPr>
        <w:t>Fiona Measham</w:t>
      </w:r>
    </w:p>
    <w:p w:rsidR="00774E83" w:rsidRDefault="00774E83" w:rsidP="00774E83">
      <w:pPr>
        <w:spacing w:after="0" w:line="240" w:lineRule="auto"/>
        <w:rPr>
          <w:rFonts w:ascii="Times New Roman" w:hAnsi="Times New Roman"/>
          <w:sz w:val="24"/>
          <w:szCs w:val="24"/>
        </w:rPr>
      </w:pPr>
      <w:r>
        <w:rPr>
          <w:rFonts w:ascii="Times New Roman" w:hAnsi="Times New Roman"/>
          <w:sz w:val="24"/>
          <w:szCs w:val="24"/>
        </w:rPr>
        <w:t>Professor of Criminology</w:t>
      </w:r>
    </w:p>
    <w:p w:rsidR="00774E83" w:rsidRDefault="00774E83" w:rsidP="00774E83">
      <w:pPr>
        <w:spacing w:after="0" w:line="240" w:lineRule="auto"/>
        <w:rPr>
          <w:rFonts w:ascii="Times New Roman" w:hAnsi="Times New Roman"/>
          <w:sz w:val="24"/>
          <w:szCs w:val="24"/>
        </w:rPr>
      </w:pPr>
      <w:r>
        <w:rPr>
          <w:rFonts w:ascii="Times New Roman" w:hAnsi="Times New Roman"/>
          <w:sz w:val="24"/>
          <w:szCs w:val="24"/>
        </w:rPr>
        <w:t>School of Applied Social Sciences</w:t>
      </w:r>
    </w:p>
    <w:p w:rsidR="00774E83" w:rsidRDefault="00774E83" w:rsidP="00774E83">
      <w:pPr>
        <w:spacing w:after="0" w:line="240" w:lineRule="auto"/>
        <w:rPr>
          <w:rFonts w:ascii="Times New Roman" w:hAnsi="Times New Roman"/>
          <w:sz w:val="24"/>
          <w:szCs w:val="24"/>
        </w:rPr>
      </w:pPr>
      <w:r>
        <w:rPr>
          <w:rFonts w:ascii="Times New Roman" w:hAnsi="Times New Roman"/>
          <w:sz w:val="24"/>
          <w:szCs w:val="24"/>
        </w:rPr>
        <w:t>Durham University</w:t>
      </w:r>
    </w:p>
    <w:p w:rsidR="00774E83" w:rsidRDefault="00774E83" w:rsidP="00774E83">
      <w:pPr>
        <w:spacing w:after="0" w:line="240" w:lineRule="auto"/>
        <w:rPr>
          <w:rFonts w:ascii="Times New Roman" w:hAnsi="Times New Roman"/>
          <w:sz w:val="24"/>
          <w:szCs w:val="24"/>
        </w:rPr>
      </w:pPr>
      <w:r>
        <w:rPr>
          <w:rFonts w:ascii="Times New Roman" w:hAnsi="Times New Roman"/>
          <w:sz w:val="24"/>
          <w:szCs w:val="24"/>
        </w:rPr>
        <w:t>32 Old Elvet</w:t>
      </w:r>
    </w:p>
    <w:p w:rsidR="00774E83" w:rsidRDefault="00774E83" w:rsidP="00774E83">
      <w:pPr>
        <w:spacing w:after="0" w:line="240" w:lineRule="auto"/>
        <w:rPr>
          <w:rFonts w:ascii="Times New Roman" w:hAnsi="Times New Roman"/>
          <w:sz w:val="24"/>
          <w:szCs w:val="24"/>
        </w:rPr>
      </w:pPr>
      <w:r>
        <w:rPr>
          <w:rFonts w:ascii="Times New Roman" w:hAnsi="Times New Roman"/>
          <w:sz w:val="24"/>
          <w:szCs w:val="24"/>
        </w:rPr>
        <w:t>Durham</w:t>
      </w:r>
    </w:p>
    <w:p w:rsidR="00774E83" w:rsidRPr="00774E83" w:rsidRDefault="00774E83" w:rsidP="00774E83">
      <w:pPr>
        <w:spacing w:after="0" w:line="240" w:lineRule="auto"/>
        <w:rPr>
          <w:rFonts w:ascii="Times New Roman" w:hAnsi="Times New Roman"/>
          <w:sz w:val="24"/>
          <w:szCs w:val="24"/>
        </w:rPr>
      </w:pPr>
      <w:r w:rsidRPr="00774E83">
        <w:rPr>
          <w:rFonts w:ascii="Times New Roman" w:hAnsi="Times New Roman"/>
          <w:sz w:val="24"/>
          <w:szCs w:val="24"/>
        </w:rPr>
        <w:t>DH1 3HN</w:t>
      </w:r>
    </w:p>
    <w:p w:rsidR="00774E83" w:rsidRPr="00774E83" w:rsidRDefault="00774E83" w:rsidP="00774E83">
      <w:pPr>
        <w:spacing w:after="0" w:line="240" w:lineRule="auto"/>
        <w:rPr>
          <w:rFonts w:ascii="Times New Roman" w:hAnsi="Times New Roman"/>
          <w:sz w:val="24"/>
          <w:szCs w:val="24"/>
        </w:rPr>
      </w:pPr>
      <w:r w:rsidRPr="00774E83">
        <w:rPr>
          <w:rFonts w:ascii="Times New Roman" w:hAnsi="Times New Roman"/>
          <w:sz w:val="24"/>
          <w:szCs w:val="24"/>
        </w:rPr>
        <w:t>0191 33 41481</w:t>
      </w:r>
    </w:p>
    <w:p w:rsidR="00774E83" w:rsidRPr="00774E83" w:rsidRDefault="00774E83" w:rsidP="00774E83">
      <w:pPr>
        <w:spacing w:after="0" w:line="240" w:lineRule="auto"/>
        <w:rPr>
          <w:rFonts w:ascii="Times New Roman" w:hAnsi="Times New Roman"/>
          <w:sz w:val="24"/>
          <w:szCs w:val="24"/>
        </w:rPr>
      </w:pPr>
      <w:r w:rsidRPr="00774E83">
        <w:rPr>
          <w:rFonts w:ascii="Times New Roman" w:hAnsi="Times New Roman"/>
          <w:sz w:val="24"/>
          <w:szCs w:val="24"/>
        </w:rPr>
        <w:t>f.measham@durham.ac.uk</w:t>
      </w:r>
    </w:p>
    <w:p w:rsidR="00774E83" w:rsidRDefault="00774E83" w:rsidP="007510F8">
      <w:pPr>
        <w:spacing w:after="0" w:line="480" w:lineRule="auto"/>
        <w:rPr>
          <w:rFonts w:ascii="Times New Roman" w:hAnsi="Times New Roman"/>
          <w:sz w:val="24"/>
          <w:szCs w:val="24"/>
        </w:rPr>
      </w:pPr>
    </w:p>
    <w:p w:rsidR="00CE6CA3" w:rsidRPr="00CE6CA3" w:rsidRDefault="00CE6CA3" w:rsidP="007510F8">
      <w:pPr>
        <w:spacing w:after="0" w:line="480" w:lineRule="auto"/>
        <w:rPr>
          <w:rFonts w:ascii="Times New Roman" w:hAnsi="Times New Roman"/>
          <w:sz w:val="24"/>
          <w:szCs w:val="24"/>
        </w:rPr>
      </w:pPr>
    </w:p>
    <w:p w:rsidR="00774E83" w:rsidRPr="00774E83" w:rsidRDefault="00774E83">
      <w:pPr>
        <w:rPr>
          <w:rFonts w:ascii="Times New Roman" w:hAnsi="Times New Roman"/>
          <w:sz w:val="24"/>
          <w:szCs w:val="24"/>
        </w:rPr>
      </w:pPr>
      <w:r w:rsidRPr="00774E83">
        <w:rPr>
          <w:rFonts w:ascii="Times New Roman" w:hAnsi="Times New Roman"/>
          <w:i/>
          <w:sz w:val="24"/>
          <w:szCs w:val="24"/>
        </w:rPr>
        <w:t>Declaration of interest</w:t>
      </w:r>
    </w:p>
    <w:p w:rsidR="00774E83" w:rsidRDefault="00774E83">
      <w:pPr>
        <w:rPr>
          <w:rFonts w:ascii="Times New Roman" w:hAnsi="Times New Roman"/>
          <w:b/>
          <w:sz w:val="24"/>
          <w:szCs w:val="24"/>
        </w:rPr>
      </w:pPr>
      <w:r w:rsidRPr="00774E83">
        <w:rPr>
          <w:rFonts w:ascii="Times New Roman" w:hAnsi="Times New Roman"/>
          <w:sz w:val="24"/>
          <w:szCs w:val="24"/>
        </w:rPr>
        <w:t>The authors have received no funding related to this article. Fiona</w:t>
      </w:r>
      <w:r>
        <w:rPr>
          <w:rFonts w:ascii="Times New Roman" w:hAnsi="Times New Roman"/>
          <w:sz w:val="24"/>
          <w:szCs w:val="24"/>
        </w:rPr>
        <w:t xml:space="preserve"> Measham is </w:t>
      </w:r>
      <w:r w:rsidR="00CE6CA3">
        <w:rPr>
          <w:rFonts w:ascii="Times New Roman" w:hAnsi="Times New Roman"/>
          <w:sz w:val="24"/>
          <w:szCs w:val="24"/>
        </w:rPr>
        <w:t xml:space="preserve">a member of the Advisory Council on the Misuse of Drugs. She is </w:t>
      </w:r>
      <w:r>
        <w:rPr>
          <w:rFonts w:ascii="Times New Roman" w:hAnsi="Times New Roman"/>
          <w:sz w:val="24"/>
          <w:szCs w:val="24"/>
        </w:rPr>
        <w:t xml:space="preserve">writing here in her capacity as Professor of Criminology at Durham University and is not representing the position of the ACMD. </w:t>
      </w:r>
      <w:r>
        <w:rPr>
          <w:rFonts w:ascii="Times New Roman" w:hAnsi="Times New Roman"/>
          <w:b/>
          <w:sz w:val="24"/>
          <w:szCs w:val="24"/>
        </w:rPr>
        <w:br w:type="page"/>
      </w:r>
    </w:p>
    <w:p w:rsidR="00774E83" w:rsidRDefault="00774E83">
      <w:pPr>
        <w:rPr>
          <w:rFonts w:ascii="Times New Roman" w:hAnsi="Times New Roman"/>
          <w:b/>
          <w:sz w:val="24"/>
          <w:szCs w:val="24"/>
          <w:lang w:val="x-none" w:eastAsia="en-GB"/>
        </w:rPr>
      </w:pPr>
    </w:p>
    <w:p w:rsidR="00774E83" w:rsidRPr="00AE6576" w:rsidRDefault="00774E83" w:rsidP="00774E83">
      <w:pPr>
        <w:pStyle w:val="HTMLPreformatted"/>
        <w:spacing w:line="480" w:lineRule="auto"/>
        <w:rPr>
          <w:rFonts w:ascii="Times New Roman" w:hAnsi="Times New Roman"/>
          <w:b/>
          <w:sz w:val="24"/>
          <w:szCs w:val="24"/>
        </w:rPr>
      </w:pPr>
      <w:r w:rsidRPr="00AE6576">
        <w:rPr>
          <w:rFonts w:ascii="Times New Roman" w:hAnsi="Times New Roman"/>
          <w:b/>
          <w:sz w:val="24"/>
          <w:szCs w:val="24"/>
        </w:rPr>
        <w:t>The 'drug policy ratchet': why do sanctions for new psychoactive drugs typically only go up?</w:t>
      </w:r>
    </w:p>
    <w:p w:rsidR="00116FE9" w:rsidRPr="00774E83" w:rsidRDefault="00116FE9" w:rsidP="007510F8">
      <w:pPr>
        <w:spacing w:after="0" w:line="480" w:lineRule="auto"/>
        <w:rPr>
          <w:rFonts w:ascii="Times New Roman" w:hAnsi="Times New Roman"/>
          <w:b/>
          <w:sz w:val="24"/>
          <w:szCs w:val="24"/>
        </w:rPr>
      </w:pPr>
    </w:p>
    <w:p w:rsidR="00116FE9" w:rsidRDefault="00116FE9" w:rsidP="007510F8">
      <w:pPr>
        <w:spacing w:after="0" w:line="480" w:lineRule="auto"/>
        <w:rPr>
          <w:rFonts w:ascii="Times New Roman" w:hAnsi="Times New Roman"/>
          <w:b/>
          <w:sz w:val="24"/>
          <w:szCs w:val="24"/>
        </w:rPr>
      </w:pPr>
    </w:p>
    <w:p w:rsidR="00116FE9" w:rsidRPr="00481845" w:rsidRDefault="00774E83" w:rsidP="007510F8">
      <w:pPr>
        <w:spacing w:after="0" w:line="480" w:lineRule="auto"/>
        <w:rPr>
          <w:rFonts w:ascii="Times New Roman" w:hAnsi="Times New Roman"/>
          <w:i/>
          <w:sz w:val="24"/>
          <w:szCs w:val="24"/>
        </w:rPr>
      </w:pPr>
      <w:r>
        <w:rPr>
          <w:rFonts w:ascii="Times New Roman" w:hAnsi="Times New Roman"/>
          <w:i/>
          <w:sz w:val="24"/>
          <w:szCs w:val="24"/>
        </w:rPr>
        <w:t>Citable statement</w:t>
      </w:r>
    </w:p>
    <w:p w:rsidR="00116FE9" w:rsidRPr="00AE6576" w:rsidRDefault="00116FE9" w:rsidP="007510F8">
      <w:pPr>
        <w:pStyle w:val="HTMLPreformatted"/>
        <w:spacing w:line="480" w:lineRule="auto"/>
        <w:rPr>
          <w:rFonts w:ascii="Times New Roman" w:hAnsi="Times New Roman"/>
          <w:sz w:val="24"/>
          <w:szCs w:val="24"/>
        </w:rPr>
      </w:pPr>
      <w:r w:rsidRPr="00AE6576">
        <w:rPr>
          <w:rFonts w:ascii="Times New Roman" w:hAnsi="Times New Roman"/>
          <w:sz w:val="24"/>
          <w:szCs w:val="24"/>
        </w:rPr>
        <w:t xml:space="preserve">The policy response to the burgeoning of new psychoactive compounds is typically to progressively ratchet up sanctions, a process driven by politics </w:t>
      </w:r>
      <w:r w:rsidR="00774E83">
        <w:rPr>
          <w:rFonts w:ascii="Times New Roman" w:hAnsi="Times New Roman"/>
          <w:sz w:val="24"/>
          <w:szCs w:val="24"/>
          <w:lang w:val="en-GB"/>
        </w:rPr>
        <w:t xml:space="preserve">and ideology </w:t>
      </w:r>
      <w:r>
        <w:rPr>
          <w:rFonts w:ascii="Times New Roman" w:hAnsi="Times New Roman"/>
          <w:sz w:val="24"/>
          <w:szCs w:val="24"/>
          <w:lang w:val="en-GB"/>
        </w:rPr>
        <w:t>as</w:t>
      </w:r>
      <w:r w:rsidRPr="00AE6576">
        <w:rPr>
          <w:rFonts w:ascii="Times New Roman" w:hAnsi="Times New Roman"/>
          <w:sz w:val="24"/>
          <w:szCs w:val="24"/>
        </w:rPr>
        <w:t xml:space="preserve"> </w:t>
      </w:r>
      <w:r>
        <w:rPr>
          <w:rFonts w:ascii="Times New Roman" w:hAnsi="Times New Roman"/>
          <w:sz w:val="24"/>
          <w:szCs w:val="24"/>
          <w:lang w:val="en-GB"/>
        </w:rPr>
        <w:t>well as</w:t>
      </w:r>
      <w:r w:rsidRPr="00AE6576">
        <w:rPr>
          <w:rFonts w:ascii="Times New Roman" w:hAnsi="Times New Roman"/>
          <w:sz w:val="24"/>
          <w:szCs w:val="24"/>
        </w:rPr>
        <w:t xml:space="preserve"> analysis of the harms of drugs and policy responses.</w:t>
      </w:r>
    </w:p>
    <w:p w:rsidR="00116FE9" w:rsidRPr="00AE6576" w:rsidRDefault="00116FE9" w:rsidP="007510F8">
      <w:pPr>
        <w:spacing w:after="0" w:line="480" w:lineRule="auto"/>
        <w:rPr>
          <w:rFonts w:ascii="Times New Roman" w:hAnsi="Times New Roman"/>
          <w:sz w:val="24"/>
          <w:szCs w:val="24"/>
        </w:rPr>
      </w:pPr>
    </w:p>
    <w:p w:rsidR="00116FE9" w:rsidRPr="00AE6576" w:rsidRDefault="00116FE9" w:rsidP="007510F8">
      <w:pPr>
        <w:spacing w:after="0" w:line="480" w:lineRule="auto"/>
        <w:rPr>
          <w:rFonts w:ascii="Times New Roman" w:hAnsi="Times New Roman"/>
          <w:sz w:val="24"/>
          <w:szCs w:val="24"/>
        </w:rPr>
      </w:pPr>
    </w:p>
    <w:p w:rsidR="00116FE9" w:rsidRPr="00481845" w:rsidRDefault="00116FE9" w:rsidP="007510F8">
      <w:pPr>
        <w:spacing w:after="0" w:line="480" w:lineRule="auto"/>
        <w:rPr>
          <w:rFonts w:ascii="Times New Roman" w:hAnsi="Times New Roman"/>
          <w:i/>
          <w:sz w:val="24"/>
          <w:szCs w:val="24"/>
        </w:rPr>
      </w:pPr>
      <w:r w:rsidRPr="00481845">
        <w:rPr>
          <w:rFonts w:ascii="Times New Roman" w:hAnsi="Times New Roman"/>
          <w:i/>
          <w:sz w:val="24"/>
          <w:szCs w:val="24"/>
        </w:rPr>
        <w:t>Introduction</w:t>
      </w:r>
    </w:p>
    <w:p w:rsidR="00116FE9" w:rsidRPr="00AE6576" w:rsidRDefault="00116FE9" w:rsidP="007510F8">
      <w:pPr>
        <w:spacing w:after="0" w:line="480" w:lineRule="auto"/>
        <w:rPr>
          <w:rFonts w:ascii="Times New Roman" w:hAnsi="Times New Roman"/>
          <w:b/>
          <w:sz w:val="24"/>
          <w:szCs w:val="24"/>
        </w:rPr>
      </w:pPr>
    </w:p>
    <w:p w:rsidR="00116FE9" w:rsidRDefault="00116FE9" w:rsidP="007510F8">
      <w:pPr>
        <w:spacing w:after="0" w:line="480" w:lineRule="auto"/>
        <w:rPr>
          <w:rFonts w:ascii="Times New Roman" w:hAnsi="Times New Roman"/>
          <w:sz w:val="24"/>
          <w:szCs w:val="24"/>
        </w:rPr>
      </w:pPr>
      <w:r w:rsidRPr="00AE6576">
        <w:rPr>
          <w:rFonts w:ascii="Times New Roman" w:hAnsi="Times New Roman"/>
          <w:sz w:val="24"/>
          <w:szCs w:val="24"/>
        </w:rPr>
        <w:t xml:space="preserve">The rapid emergence of a plethora of new psychoactive substances (NPS) in recent years has led to increased interest in the process of drug scheduling and control, much of it reflected in the pages of this journal </w:t>
      </w:r>
      <w:r>
        <w:rPr>
          <w:rFonts w:ascii="Times New Roman" w:hAnsi="Times New Roman"/>
          <w:noProof/>
          <w:sz w:val="24"/>
          <w:szCs w:val="24"/>
        </w:rPr>
        <w:t>(1-4)</w:t>
      </w:r>
      <w:r w:rsidRPr="00AE6576">
        <w:rPr>
          <w:rFonts w:ascii="Times New Roman" w:hAnsi="Times New Roman"/>
          <w:sz w:val="24"/>
          <w:szCs w:val="24"/>
        </w:rPr>
        <w:t xml:space="preserve">.  A common response to these new drugs </w:t>
      </w:r>
      <w:r>
        <w:rPr>
          <w:rFonts w:ascii="Times New Roman" w:hAnsi="Times New Roman"/>
          <w:sz w:val="24"/>
          <w:szCs w:val="24"/>
        </w:rPr>
        <w:t xml:space="preserve">in the UK </w:t>
      </w:r>
      <w:r w:rsidRPr="00AE6576">
        <w:rPr>
          <w:rFonts w:ascii="Times New Roman" w:hAnsi="Times New Roman"/>
          <w:sz w:val="24"/>
          <w:szCs w:val="24"/>
        </w:rPr>
        <w:t xml:space="preserve">has been to include them in </w:t>
      </w:r>
      <w:r>
        <w:rPr>
          <w:rFonts w:ascii="Times New Roman" w:hAnsi="Times New Roman"/>
          <w:sz w:val="24"/>
          <w:szCs w:val="24"/>
        </w:rPr>
        <w:t xml:space="preserve">the </w:t>
      </w:r>
      <w:r w:rsidRPr="00AE6576">
        <w:rPr>
          <w:rFonts w:ascii="Times New Roman" w:hAnsi="Times New Roman"/>
          <w:sz w:val="24"/>
          <w:szCs w:val="24"/>
        </w:rPr>
        <w:t>existing legislative system for control</w:t>
      </w:r>
      <w:r>
        <w:rPr>
          <w:rFonts w:ascii="Times New Roman" w:hAnsi="Times New Roman"/>
          <w:sz w:val="24"/>
          <w:szCs w:val="24"/>
        </w:rPr>
        <w:t>, as shown in table one below</w:t>
      </w:r>
      <w:r w:rsidRPr="00AE6576">
        <w:rPr>
          <w:rFonts w:ascii="Times New Roman" w:hAnsi="Times New Roman"/>
          <w:sz w:val="24"/>
          <w:szCs w:val="24"/>
        </w:rPr>
        <w:t>. Whatever the benefits of this type of control, it is not without harm. It makes criminals of the substance’s users and also hinders research on its potential effects; both harmful and therapeutic. In political discussions, there is a tendency both to ignore the potential benefits of new substances and to underestimate the harms related to prohibition. In academic journals, the debate has focused on whether a rational, scientifically informed control mechanism can be developed for NPS, and what form it would take</w:t>
      </w:r>
      <w:r>
        <w:rPr>
          <w:rFonts w:ascii="Times New Roman" w:hAnsi="Times New Roman"/>
          <w:sz w:val="24"/>
          <w:szCs w:val="24"/>
        </w:rPr>
        <w:t xml:space="preserve">. </w:t>
      </w:r>
    </w:p>
    <w:p w:rsidR="00116FE9" w:rsidRPr="00AE6576" w:rsidRDefault="00116FE9" w:rsidP="007510F8">
      <w:pPr>
        <w:spacing w:after="0" w:line="480" w:lineRule="auto"/>
        <w:rPr>
          <w:rFonts w:ascii="Times New Roman" w:hAnsi="Times New Roman"/>
          <w:sz w:val="24"/>
          <w:szCs w:val="24"/>
        </w:rPr>
      </w:pPr>
    </w:p>
    <w:p w:rsidR="00116FE9" w:rsidRDefault="00116FE9" w:rsidP="007510F8">
      <w:pPr>
        <w:spacing w:after="0" w:line="480" w:lineRule="auto"/>
        <w:rPr>
          <w:rFonts w:ascii="Times New Roman" w:hAnsi="Times New Roman"/>
          <w:sz w:val="24"/>
          <w:szCs w:val="24"/>
        </w:rPr>
      </w:pPr>
      <w:r w:rsidRPr="00AE6576">
        <w:rPr>
          <w:rFonts w:ascii="Times New Roman" w:hAnsi="Times New Roman"/>
          <w:sz w:val="24"/>
          <w:szCs w:val="24"/>
        </w:rPr>
        <w:lastRenderedPageBreak/>
        <w:t xml:space="preserve">In this contribution for debate, we argue that both historical analysis and contemporary experience suggest that drug </w:t>
      </w:r>
      <w:r>
        <w:rPr>
          <w:rFonts w:ascii="Times New Roman" w:hAnsi="Times New Roman"/>
          <w:sz w:val="24"/>
          <w:szCs w:val="24"/>
        </w:rPr>
        <w:t>control</w:t>
      </w:r>
      <w:r w:rsidRPr="00AE6576">
        <w:rPr>
          <w:rFonts w:ascii="Times New Roman" w:hAnsi="Times New Roman"/>
          <w:sz w:val="24"/>
          <w:szCs w:val="24"/>
        </w:rPr>
        <w:t xml:space="preserve"> cannot be understood fully as a rational, scientific response to the prevalence and dangers of various substances. We note that there is, in effect, a ratcheting process which means that substances labelled as drugs are more likely to face tighter rather than looser control</w:t>
      </w:r>
      <w:r>
        <w:rPr>
          <w:rFonts w:ascii="Times New Roman" w:hAnsi="Times New Roman"/>
          <w:sz w:val="24"/>
          <w:szCs w:val="24"/>
        </w:rPr>
        <w:t>. In recent years, this ratcheting has been extended by the practice of banning generic classes of substances (e.g. synthetic cannabinoids and the substituted cathinones) instead of individual substances, with modern generic control first applied in the UK in 1977 to the phenethylamine family (which includes MDMA)</w:t>
      </w:r>
      <w:r w:rsidRPr="00AE6576">
        <w:rPr>
          <w:rFonts w:ascii="Times New Roman" w:hAnsi="Times New Roman"/>
          <w:sz w:val="24"/>
          <w:szCs w:val="24"/>
        </w:rPr>
        <w:t xml:space="preserve">. </w:t>
      </w:r>
      <w:r>
        <w:rPr>
          <w:rFonts w:ascii="Times New Roman" w:hAnsi="Times New Roman"/>
          <w:sz w:val="24"/>
          <w:szCs w:val="24"/>
        </w:rPr>
        <w:t xml:space="preserve">The introduction of temporary class drug orders (TCDOs) has added a further tool to the process of ratchet-tightening. </w:t>
      </w:r>
      <w:r w:rsidRPr="00AE6576">
        <w:rPr>
          <w:rFonts w:ascii="Times New Roman" w:hAnsi="Times New Roman"/>
          <w:sz w:val="24"/>
          <w:szCs w:val="24"/>
        </w:rPr>
        <w:t xml:space="preserve">This drug policy ratchet operates even when evidence emerges that tight control is failing to reduce related harms </w:t>
      </w:r>
      <w:r>
        <w:rPr>
          <w:rFonts w:ascii="Times New Roman" w:hAnsi="Times New Roman"/>
          <w:noProof/>
          <w:sz w:val="24"/>
          <w:szCs w:val="24"/>
        </w:rPr>
        <w:t>(5)</w:t>
      </w:r>
      <w:r w:rsidRPr="00AE6576">
        <w:rPr>
          <w:rFonts w:ascii="Times New Roman" w:hAnsi="Times New Roman"/>
          <w:sz w:val="24"/>
          <w:szCs w:val="24"/>
        </w:rPr>
        <w:t xml:space="preserve">, or is producing unintended harms that are disproportionate to the benefits of control </w:t>
      </w:r>
      <w:r>
        <w:rPr>
          <w:rFonts w:ascii="Times New Roman" w:hAnsi="Times New Roman"/>
          <w:noProof/>
          <w:sz w:val="24"/>
          <w:szCs w:val="24"/>
        </w:rPr>
        <w:t>(6)</w:t>
      </w:r>
      <w:r w:rsidRPr="00AE6576">
        <w:rPr>
          <w:rFonts w:ascii="Times New Roman" w:hAnsi="Times New Roman"/>
          <w:sz w:val="24"/>
          <w:szCs w:val="24"/>
        </w:rPr>
        <w:t xml:space="preserve">. </w:t>
      </w:r>
      <w:r>
        <w:rPr>
          <w:rFonts w:ascii="Times New Roman" w:hAnsi="Times New Roman"/>
          <w:sz w:val="24"/>
          <w:szCs w:val="24"/>
        </w:rPr>
        <w:t xml:space="preserve">Less discriminate extension of control through the use of generic bans is even more likely than the banning of individual substances to have the disadvantages of preventing research on beneficial uses and of pushing the market towards unknown, potentially more harmful substitutes </w:t>
      </w:r>
      <w:r>
        <w:rPr>
          <w:rFonts w:ascii="Times New Roman" w:hAnsi="Times New Roman"/>
          <w:noProof/>
          <w:sz w:val="24"/>
          <w:szCs w:val="24"/>
        </w:rPr>
        <w:t>(7)</w:t>
      </w:r>
      <w:r>
        <w:rPr>
          <w:rFonts w:ascii="Times New Roman" w:hAnsi="Times New Roman"/>
          <w:sz w:val="24"/>
          <w:szCs w:val="24"/>
        </w:rPr>
        <w:t>. Generic bans and TCDOs may also make it even more difficult to loosen control. It would be very difficult scientifically to demonstrate that a whole group of substances pose lower risk than suggested by their initial classification.</w:t>
      </w:r>
      <w:r w:rsidRPr="005F6AB2">
        <w:rPr>
          <w:rFonts w:ascii="Times New Roman" w:hAnsi="Times New Roman"/>
          <w:sz w:val="24"/>
          <w:szCs w:val="24"/>
        </w:rPr>
        <w:t xml:space="preserve"> </w:t>
      </w:r>
      <w:r>
        <w:rPr>
          <w:rFonts w:ascii="Times New Roman" w:hAnsi="Times New Roman"/>
          <w:sz w:val="24"/>
          <w:szCs w:val="24"/>
        </w:rPr>
        <w:t>It would be difficult politically to avoid permanently prohibiting a drug that had been subject to a TCDO</w:t>
      </w:r>
    </w:p>
    <w:p w:rsidR="00116FE9" w:rsidRDefault="00116FE9" w:rsidP="007510F8">
      <w:pPr>
        <w:spacing w:after="0" w:line="480" w:lineRule="auto"/>
        <w:rPr>
          <w:rFonts w:ascii="Times New Roman" w:hAnsi="Times New Roman"/>
          <w:sz w:val="24"/>
          <w:szCs w:val="24"/>
        </w:rPr>
      </w:pPr>
    </w:p>
    <w:p w:rsidR="00116FE9" w:rsidRDefault="00116FE9" w:rsidP="007510F8">
      <w:pPr>
        <w:spacing w:after="0" w:line="480" w:lineRule="auto"/>
        <w:rPr>
          <w:rFonts w:ascii="Times New Roman" w:hAnsi="Times New Roman"/>
          <w:sz w:val="24"/>
          <w:szCs w:val="24"/>
          <w:lang w:val="en"/>
        </w:rPr>
      </w:pPr>
      <w:r w:rsidRPr="00AE6576">
        <w:rPr>
          <w:rFonts w:ascii="Times New Roman" w:hAnsi="Times New Roman"/>
          <w:sz w:val="24"/>
          <w:szCs w:val="24"/>
        </w:rPr>
        <w:t xml:space="preserve">The historical work of David Courtwright, James Mills and others shows some of the past mechanisms of this ratchet. Our more recent ethnographic </w:t>
      </w:r>
      <w:r>
        <w:rPr>
          <w:rFonts w:ascii="Times New Roman" w:hAnsi="Times New Roman"/>
          <w:sz w:val="24"/>
          <w:szCs w:val="24"/>
        </w:rPr>
        <w:t>observations of UK policy</w:t>
      </w:r>
      <w:r w:rsidRPr="00AE6576">
        <w:rPr>
          <w:rFonts w:ascii="Times New Roman" w:hAnsi="Times New Roman"/>
          <w:sz w:val="24"/>
          <w:szCs w:val="24"/>
        </w:rPr>
        <w:t xml:space="preserve">, both in the civil service (Stevens) and on the Advisory Council on the Misuse of Drugs (ACMD, Measham), reveals some of the ways in which the policy process most often continues to exemplify MacCoun’s ninth implicit rule of evidence use in drug policy </w:t>
      </w:r>
      <w:r>
        <w:rPr>
          <w:rFonts w:ascii="Times New Roman" w:hAnsi="Times New Roman"/>
          <w:noProof/>
          <w:sz w:val="24"/>
          <w:szCs w:val="24"/>
        </w:rPr>
        <w:t>(8)</w:t>
      </w:r>
      <w:r w:rsidRPr="00AE6576">
        <w:rPr>
          <w:rFonts w:ascii="Times New Roman" w:hAnsi="Times New Roman"/>
          <w:sz w:val="24"/>
          <w:szCs w:val="24"/>
        </w:rPr>
        <w:t>: ‘</w:t>
      </w:r>
      <w:r w:rsidRPr="00AE6576">
        <w:rPr>
          <w:rFonts w:ascii="Times New Roman" w:hAnsi="Times New Roman"/>
          <w:sz w:val="24"/>
          <w:szCs w:val="24"/>
          <w:lang w:val="en"/>
        </w:rPr>
        <w:t>Scientific research on drugs cannot motivate a change from tough law to lenient law, but it can motivate a change in the opposite direction’.</w:t>
      </w:r>
    </w:p>
    <w:p w:rsidR="00116FE9" w:rsidRDefault="00116FE9" w:rsidP="007510F8">
      <w:pPr>
        <w:spacing w:after="0" w:line="480" w:lineRule="auto"/>
        <w:rPr>
          <w:rFonts w:ascii="Times New Roman" w:hAnsi="Times New Roman"/>
          <w:sz w:val="24"/>
          <w:szCs w:val="24"/>
        </w:rPr>
      </w:pPr>
    </w:p>
    <w:p w:rsidR="00116FE9" w:rsidRPr="007510F8" w:rsidRDefault="00116FE9" w:rsidP="007510F8">
      <w:pPr>
        <w:spacing w:after="0" w:line="480" w:lineRule="auto"/>
        <w:rPr>
          <w:rFonts w:ascii="Times New Roman" w:hAnsi="Times New Roman"/>
          <w:i/>
          <w:sz w:val="24"/>
          <w:szCs w:val="24"/>
        </w:rPr>
      </w:pPr>
      <w:r>
        <w:rPr>
          <w:rFonts w:ascii="Times New Roman" w:hAnsi="Times New Roman"/>
          <w:i/>
          <w:sz w:val="24"/>
          <w:szCs w:val="24"/>
        </w:rPr>
        <w:t>TABLE 1 ABOUT HERE</w:t>
      </w:r>
    </w:p>
    <w:p w:rsidR="00116FE9" w:rsidRPr="00AE6576" w:rsidRDefault="00116FE9" w:rsidP="007510F8">
      <w:pPr>
        <w:spacing w:after="0" w:line="480" w:lineRule="auto"/>
        <w:rPr>
          <w:rFonts w:ascii="Times New Roman" w:hAnsi="Times New Roman"/>
          <w:sz w:val="24"/>
          <w:szCs w:val="24"/>
        </w:rPr>
      </w:pPr>
    </w:p>
    <w:p w:rsidR="00116FE9" w:rsidRDefault="00116FE9" w:rsidP="007510F8">
      <w:pPr>
        <w:spacing w:after="0" w:line="480" w:lineRule="auto"/>
        <w:rPr>
          <w:rFonts w:ascii="Times New Roman" w:hAnsi="Times New Roman"/>
          <w:i/>
          <w:sz w:val="24"/>
          <w:szCs w:val="24"/>
        </w:rPr>
      </w:pPr>
      <w:r w:rsidRPr="00AE6576">
        <w:rPr>
          <w:rFonts w:ascii="Times New Roman" w:hAnsi="Times New Roman"/>
          <w:i/>
          <w:sz w:val="24"/>
          <w:szCs w:val="24"/>
        </w:rPr>
        <w:t>Historical patterns of control</w:t>
      </w:r>
    </w:p>
    <w:p w:rsidR="00116FE9" w:rsidRPr="00AE6576" w:rsidRDefault="00116FE9" w:rsidP="007510F8">
      <w:pPr>
        <w:spacing w:after="0" w:line="480" w:lineRule="auto"/>
        <w:rPr>
          <w:rFonts w:ascii="Times New Roman" w:hAnsi="Times New Roman"/>
          <w:i/>
          <w:sz w:val="24"/>
          <w:szCs w:val="24"/>
        </w:rPr>
      </w:pPr>
    </w:p>
    <w:p w:rsidR="00116FE9" w:rsidRDefault="00116FE9" w:rsidP="007510F8">
      <w:pPr>
        <w:spacing w:after="0" w:line="480" w:lineRule="auto"/>
        <w:rPr>
          <w:rFonts w:ascii="Times New Roman" w:hAnsi="Times New Roman"/>
          <w:sz w:val="24"/>
          <w:szCs w:val="24"/>
        </w:rPr>
      </w:pPr>
      <w:r w:rsidRPr="00AE6576">
        <w:rPr>
          <w:rFonts w:ascii="Times New Roman" w:hAnsi="Times New Roman"/>
          <w:sz w:val="24"/>
          <w:szCs w:val="24"/>
        </w:rPr>
        <w:t xml:space="preserve">If we look at the decisions that have been taken on drug </w:t>
      </w:r>
      <w:r>
        <w:rPr>
          <w:rFonts w:ascii="Times New Roman" w:hAnsi="Times New Roman"/>
          <w:sz w:val="24"/>
          <w:szCs w:val="24"/>
        </w:rPr>
        <w:t>control</w:t>
      </w:r>
      <w:r w:rsidRPr="00AE6576">
        <w:rPr>
          <w:rFonts w:ascii="Times New Roman" w:hAnsi="Times New Roman"/>
          <w:sz w:val="24"/>
          <w:szCs w:val="24"/>
        </w:rPr>
        <w:t xml:space="preserve"> under the British Misuse of Drugs Act </w:t>
      </w:r>
      <w:r>
        <w:rPr>
          <w:rFonts w:ascii="Times New Roman" w:hAnsi="Times New Roman"/>
          <w:sz w:val="24"/>
          <w:szCs w:val="24"/>
        </w:rPr>
        <w:t xml:space="preserve">1971 </w:t>
      </w:r>
      <w:r w:rsidRPr="00AE6576">
        <w:rPr>
          <w:rFonts w:ascii="Times New Roman" w:hAnsi="Times New Roman"/>
          <w:sz w:val="24"/>
          <w:szCs w:val="24"/>
        </w:rPr>
        <w:t xml:space="preserve">(MDA, see table </w:t>
      </w:r>
      <w:r>
        <w:rPr>
          <w:rFonts w:ascii="Times New Roman" w:hAnsi="Times New Roman"/>
          <w:sz w:val="24"/>
          <w:szCs w:val="24"/>
        </w:rPr>
        <w:t>one</w:t>
      </w:r>
      <w:r w:rsidRPr="00AE6576">
        <w:rPr>
          <w:rFonts w:ascii="Times New Roman" w:hAnsi="Times New Roman"/>
          <w:sz w:val="24"/>
          <w:szCs w:val="24"/>
        </w:rPr>
        <w:t xml:space="preserve">), then it is clear that it has been much more common for drugs to be </w:t>
      </w:r>
      <w:r>
        <w:rPr>
          <w:rFonts w:ascii="Times New Roman" w:hAnsi="Times New Roman"/>
          <w:sz w:val="24"/>
          <w:szCs w:val="24"/>
        </w:rPr>
        <w:t>controlled</w:t>
      </w:r>
      <w:r w:rsidRPr="00AE6576">
        <w:rPr>
          <w:rFonts w:ascii="Times New Roman" w:hAnsi="Times New Roman"/>
          <w:sz w:val="24"/>
          <w:szCs w:val="24"/>
        </w:rPr>
        <w:t xml:space="preserve"> than</w:t>
      </w:r>
      <w:r>
        <w:rPr>
          <w:rFonts w:ascii="Times New Roman" w:hAnsi="Times New Roman"/>
          <w:sz w:val="24"/>
          <w:szCs w:val="24"/>
        </w:rPr>
        <w:t xml:space="preserve"> to remain uncontrolled after risk assessment</w:t>
      </w:r>
      <w:r w:rsidRPr="00AE6576">
        <w:rPr>
          <w:rFonts w:ascii="Times New Roman" w:hAnsi="Times New Roman"/>
          <w:sz w:val="24"/>
          <w:szCs w:val="24"/>
        </w:rPr>
        <w:t xml:space="preserve">, and for them to be moved up </w:t>
      </w:r>
      <w:r>
        <w:rPr>
          <w:rFonts w:ascii="Times New Roman" w:hAnsi="Times New Roman"/>
          <w:sz w:val="24"/>
          <w:szCs w:val="24"/>
        </w:rPr>
        <w:t xml:space="preserve">classes and schedules </w:t>
      </w:r>
      <w:r w:rsidRPr="00AE6576">
        <w:rPr>
          <w:rFonts w:ascii="Times New Roman" w:hAnsi="Times New Roman"/>
          <w:sz w:val="24"/>
          <w:szCs w:val="24"/>
        </w:rPr>
        <w:t xml:space="preserve">than down </w:t>
      </w:r>
      <w:r>
        <w:rPr>
          <w:rFonts w:ascii="Times New Roman" w:hAnsi="Times New Roman"/>
          <w:sz w:val="24"/>
          <w:szCs w:val="24"/>
        </w:rPr>
        <w:t>in the legal control system</w:t>
      </w:r>
      <w:r w:rsidRPr="00AE6576">
        <w:rPr>
          <w:rFonts w:ascii="Times New Roman" w:hAnsi="Times New Roman"/>
          <w:sz w:val="24"/>
          <w:szCs w:val="24"/>
        </w:rPr>
        <w:t xml:space="preserve">.  </w:t>
      </w:r>
      <w:r>
        <w:rPr>
          <w:rFonts w:ascii="Times New Roman" w:hAnsi="Times New Roman"/>
          <w:sz w:val="24"/>
          <w:szCs w:val="24"/>
        </w:rPr>
        <w:t xml:space="preserve">Often this has been in accordance with recommendations of the Advisory Council on the Misuse of Drugs (ACMD). It is worth noting that the only occasions on which the UK government has explicitly ignored the advice of the ACMD - on cannabis in 1978 and 2008, MDMA in 2009 and (probably) khat in 2013 - the effect has been to subject a substance to a higher level of control than was recommended by the Council.  </w:t>
      </w:r>
      <w:r w:rsidRPr="00AE6576">
        <w:rPr>
          <w:rFonts w:ascii="Times New Roman" w:hAnsi="Times New Roman"/>
          <w:sz w:val="24"/>
          <w:szCs w:val="24"/>
        </w:rPr>
        <w:t xml:space="preserve">We suggest that the regulation of novel psychoactive substances should be understood in the context of </w:t>
      </w:r>
      <w:r>
        <w:rPr>
          <w:rFonts w:ascii="Times New Roman" w:hAnsi="Times New Roman"/>
          <w:sz w:val="24"/>
          <w:szCs w:val="24"/>
        </w:rPr>
        <w:t>the</w:t>
      </w:r>
      <w:r w:rsidRPr="00AE6576">
        <w:rPr>
          <w:rFonts w:ascii="Times New Roman" w:hAnsi="Times New Roman"/>
          <w:sz w:val="24"/>
          <w:szCs w:val="24"/>
        </w:rPr>
        <w:t xml:space="preserve"> history of drug control. We argue that this reveals a pattern in which some psychoactive products have been prohibited on the basis of guilt by various kinds of association.</w:t>
      </w:r>
    </w:p>
    <w:p w:rsidR="00116FE9" w:rsidRPr="00AE6576" w:rsidRDefault="00116FE9" w:rsidP="007510F8">
      <w:pPr>
        <w:spacing w:after="0" w:line="480" w:lineRule="auto"/>
        <w:rPr>
          <w:rFonts w:ascii="Times New Roman" w:hAnsi="Times New Roman"/>
          <w:sz w:val="24"/>
          <w:szCs w:val="24"/>
        </w:rPr>
      </w:pPr>
    </w:p>
    <w:p w:rsidR="00116FE9" w:rsidRPr="00AE6576" w:rsidRDefault="00116FE9" w:rsidP="007510F8">
      <w:pPr>
        <w:spacing w:after="0" w:line="480" w:lineRule="auto"/>
        <w:rPr>
          <w:rFonts w:ascii="Times New Roman" w:hAnsi="Times New Roman"/>
          <w:sz w:val="24"/>
          <w:szCs w:val="24"/>
        </w:rPr>
      </w:pPr>
      <w:r w:rsidRPr="00AE6576">
        <w:rPr>
          <w:rFonts w:ascii="Times New Roman" w:hAnsi="Times New Roman"/>
          <w:sz w:val="24"/>
          <w:szCs w:val="24"/>
        </w:rPr>
        <w:t xml:space="preserve">The classification of psychoactive substances as drugs is itself tied up with the history of prohibition. The emergence of the word ‘drugs’ to describe these substances resulted from, and did not pre-exist, the creation of legal controls </w:t>
      </w:r>
      <w:r>
        <w:rPr>
          <w:rFonts w:ascii="Times New Roman" w:hAnsi="Times New Roman"/>
          <w:noProof/>
          <w:sz w:val="24"/>
          <w:szCs w:val="24"/>
        </w:rPr>
        <w:t>(9)</w:t>
      </w:r>
      <w:r w:rsidRPr="00AE6576">
        <w:rPr>
          <w:rFonts w:ascii="Times New Roman" w:hAnsi="Times New Roman"/>
          <w:sz w:val="24"/>
          <w:szCs w:val="24"/>
        </w:rPr>
        <w:t xml:space="preserve">. The early measures in this field were driven by an alliance of moral entrepreneurs and social progressives who wished to tame the emerging, globalised markets for intoxicating substances </w:t>
      </w:r>
      <w:r>
        <w:rPr>
          <w:rFonts w:ascii="Times New Roman" w:hAnsi="Times New Roman"/>
          <w:noProof/>
          <w:sz w:val="24"/>
          <w:szCs w:val="24"/>
        </w:rPr>
        <w:t>(10)</w:t>
      </w:r>
      <w:r w:rsidRPr="00AE6576">
        <w:rPr>
          <w:rFonts w:ascii="Times New Roman" w:hAnsi="Times New Roman"/>
          <w:sz w:val="24"/>
          <w:szCs w:val="24"/>
        </w:rPr>
        <w:t xml:space="preserve">. These were thought to pose a threat both to public health and the moral order. But not all intoxicating substances ended up being banned. The scale, power and social embeddedness of the tobacco and alcohol industries have protected these commodities from prohibition (except for the interlude for alcohol in the USA following the National Prohibition Act of 1919) </w:t>
      </w:r>
      <w:r>
        <w:rPr>
          <w:rFonts w:ascii="Times New Roman" w:hAnsi="Times New Roman"/>
          <w:noProof/>
          <w:sz w:val="24"/>
          <w:szCs w:val="24"/>
        </w:rPr>
        <w:t>(11)</w:t>
      </w:r>
      <w:r w:rsidRPr="00AE6576">
        <w:rPr>
          <w:rFonts w:ascii="Times New Roman" w:hAnsi="Times New Roman"/>
          <w:sz w:val="24"/>
          <w:szCs w:val="24"/>
        </w:rPr>
        <w:t>. They were not, and still are not, generally classified as drugs</w:t>
      </w:r>
      <w:r>
        <w:rPr>
          <w:rFonts w:ascii="Times New Roman" w:hAnsi="Times New Roman"/>
          <w:sz w:val="24"/>
          <w:szCs w:val="24"/>
        </w:rPr>
        <w:t xml:space="preserve"> in the policies of most developed countries</w:t>
      </w:r>
      <w:r w:rsidRPr="00AE6576">
        <w:rPr>
          <w:rFonts w:ascii="Times New Roman" w:hAnsi="Times New Roman"/>
          <w:sz w:val="24"/>
          <w:szCs w:val="24"/>
        </w:rPr>
        <w:t xml:space="preserve">.  The substances that </w:t>
      </w:r>
      <w:r>
        <w:rPr>
          <w:rFonts w:ascii="Times New Roman" w:hAnsi="Times New Roman"/>
          <w:sz w:val="24"/>
          <w:szCs w:val="24"/>
        </w:rPr>
        <w:t>have been</w:t>
      </w:r>
      <w:r w:rsidRPr="00AE6576">
        <w:rPr>
          <w:rFonts w:ascii="Times New Roman" w:hAnsi="Times New Roman"/>
          <w:sz w:val="24"/>
          <w:szCs w:val="24"/>
        </w:rPr>
        <w:t xml:space="preserve"> included in drug control </w:t>
      </w:r>
      <w:r>
        <w:rPr>
          <w:rFonts w:ascii="Times New Roman" w:hAnsi="Times New Roman"/>
          <w:sz w:val="24"/>
          <w:szCs w:val="24"/>
        </w:rPr>
        <w:t>are</w:t>
      </w:r>
      <w:r w:rsidRPr="00AE6576">
        <w:rPr>
          <w:rFonts w:ascii="Times New Roman" w:hAnsi="Times New Roman"/>
          <w:sz w:val="24"/>
          <w:szCs w:val="24"/>
        </w:rPr>
        <w:t xml:space="preserve"> those considered to be guilty by deviant association, lunatic association, molecular association, or a combination of the three.</w:t>
      </w:r>
    </w:p>
    <w:p w:rsidR="00116FE9" w:rsidRPr="00AE6576" w:rsidRDefault="00116FE9" w:rsidP="007510F8">
      <w:pPr>
        <w:spacing w:after="0" w:line="480" w:lineRule="auto"/>
        <w:rPr>
          <w:rFonts w:ascii="Times New Roman" w:hAnsi="Times New Roman"/>
          <w:sz w:val="24"/>
          <w:szCs w:val="24"/>
        </w:rPr>
      </w:pPr>
    </w:p>
    <w:p w:rsidR="00116FE9" w:rsidRPr="00AE6576" w:rsidRDefault="00116FE9" w:rsidP="007510F8">
      <w:pPr>
        <w:spacing w:after="0" w:line="480" w:lineRule="auto"/>
        <w:rPr>
          <w:rFonts w:ascii="Times New Roman" w:hAnsi="Times New Roman"/>
          <w:sz w:val="24"/>
          <w:szCs w:val="24"/>
        </w:rPr>
      </w:pPr>
      <w:r w:rsidRPr="00AE6576">
        <w:rPr>
          <w:rFonts w:ascii="Times New Roman" w:hAnsi="Times New Roman"/>
          <w:sz w:val="24"/>
          <w:szCs w:val="24"/>
        </w:rPr>
        <w:t>The substances that were first banned, both in the USA and the UK, were those that were associated with use by groups who were considered as deviant from the perspective of the white, protestant elite</w:t>
      </w:r>
      <w:r>
        <w:rPr>
          <w:rFonts w:ascii="Times New Roman" w:hAnsi="Times New Roman"/>
          <w:sz w:val="24"/>
          <w:szCs w:val="24"/>
        </w:rPr>
        <w:t xml:space="preserve"> who focused on the perceived threat from minority ethnic migrants and their ‘alien’ traditions </w:t>
      </w:r>
      <w:r>
        <w:rPr>
          <w:rFonts w:ascii="Times New Roman" w:hAnsi="Times New Roman"/>
          <w:noProof/>
          <w:sz w:val="24"/>
          <w:szCs w:val="24"/>
        </w:rPr>
        <w:t>(10, 12-15)</w:t>
      </w:r>
      <w:r w:rsidRPr="00AE6576">
        <w:rPr>
          <w:rFonts w:ascii="Times New Roman" w:hAnsi="Times New Roman"/>
          <w:sz w:val="24"/>
          <w:szCs w:val="24"/>
        </w:rPr>
        <w:t>. This pattern of prohibition of substances that are associated with foreign ethnicities and deviant subcultures continued throughout the 20</w:t>
      </w:r>
      <w:r w:rsidRPr="00AE6576">
        <w:rPr>
          <w:rFonts w:ascii="Times New Roman" w:hAnsi="Times New Roman"/>
          <w:sz w:val="24"/>
          <w:szCs w:val="24"/>
          <w:vertAlign w:val="superscript"/>
        </w:rPr>
        <w:t>th</w:t>
      </w:r>
      <w:r w:rsidRPr="00AE6576">
        <w:rPr>
          <w:rFonts w:ascii="Times New Roman" w:hAnsi="Times New Roman"/>
          <w:sz w:val="24"/>
          <w:szCs w:val="24"/>
        </w:rPr>
        <w:t xml:space="preserve"> century. For example, the British government has repeatedly refused to loosen control of MDMA, in contradiction to ACMD recommendations. This has been the favourite drug of the </w:t>
      </w:r>
      <w:r>
        <w:rPr>
          <w:rFonts w:ascii="Times New Roman" w:hAnsi="Times New Roman"/>
          <w:sz w:val="24"/>
          <w:szCs w:val="24"/>
        </w:rPr>
        <w:t xml:space="preserve">rave and </w:t>
      </w:r>
      <w:r w:rsidRPr="00AE6576">
        <w:rPr>
          <w:rFonts w:ascii="Times New Roman" w:hAnsi="Times New Roman"/>
          <w:sz w:val="24"/>
          <w:szCs w:val="24"/>
        </w:rPr>
        <w:t xml:space="preserve">dance scene from the late 1980s onwards; </w:t>
      </w:r>
      <w:r>
        <w:rPr>
          <w:rFonts w:ascii="Times New Roman" w:hAnsi="Times New Roman"/>
          <w:sz w:val="24"/>
          <w:szCs w:val="24"/>
        </w:rPr>
        <w:t xml:space="preserve">with rave being the only musical genre ever to be criminalised in the UK (in </w:t>
      </w:r>
      <w:r w:rsidRPr="00AE6576">
        <w:rPr>
          <w:rFonts w:ascii="Times New Roman" w:hAnsi="Times New Roman"/>
          <w:sz w:val="24"/>
          <w:szCs w:val="24"/>
        </w:rPr>
        <w:t>the Criminal Justice and Public Order Act of 1994</w:t>
      </w:r>
      <w:r>
        <w:rPr>
          <w:rFonts w:ascii="Times New Roman" w:hAnsi="Times New Roman"/>
          <w:sz w:val="24"/>
          <w:szCs w:val="24"/>
        </w:rPr>
        <w:t>)</w:t>
      </w:r>
      <w:r w:rsidRPr="00AE6576">
        <w:rPr>
          <w:rFonts w:ascii="Times New Roman" w:hAnsi="Times New Roman"/>
          <w:sz w:val="24"/>
          <w:szCs w:val="24"/>
        </w:rPr>
        <w:t xml:space="preserve">.  </w:t>
      </w:r>
      <w:r>
        <w:rPr>
          <w:rFonts w:ascii="Times New Roman" w:hAnsi="Times New Roman"/>
          <w:sz w:val="24"/>
          <w:szCs w:val="24"/>
        </w:rPr>
        <w:t>It now seems likely that t</w:t>
      </w:r>
      <w:r w:rsidRPr="00AE6576">
        <w:rPr>
          <w:rFonts w:ascii="Times New Roman" w:hAnsi="Times New Roman"/>
          <w:sz w:val="24"/>
          <w:szCs w:val="24"/>
        </w:rPr>
        <w:t>he government</w:t>
      </w:r>
      <w:r>
        <w:rPr>
          <w:rFonts w:ascii="Times New Roman" w:hAnsi="Times New Roman"/>
          <w:sz w:val="24"/>
          <w:szCs w:val="24"/>
        </w:rPr>
        <w:t xml:space="preserve"> will ignore</w:t>
      </w:r>
      <w:r w:rsidRPr="00AE6576">
        <w:rPr>
          <w:rFonts w:ascii="Times New Roman" w:hAnsi="Times New Roman"/>
          <w:sz w:val="24"/>
          <w:szCs w:val="24"/>
        </w:rPr>
        <w:t xml:space="preserve"> the ACMD’s recent recommendation not to prohibit khat</w:t>
      </w:r>
      <w:r>
        <w:rPr>
          <w:rFonts w:ascii="Times New Roman" w:hAnsi="Times New Roman"/>
          <w:sz w:val="24"/>
          <w:szCs w:val="24"/>
        </w:rPr>
        <w:t>. This would be another example of banning a substance of which the use is associated with a marginalised, migrant group.</w:t>
      </w:r>
      <w:r w:rsidRPr="00AE6576">
        <w:rPr>
          <w:rFonts w:ascii="Times New Roman" w:hAnsi="Times New Roman"/>
          <w:sz w:val="24"/>
          <w:szCs w:val="24"/>
        </w:rPr>
        <w:t xml:space="preserve"> </w:t>
      </w:r>
    </w:p>
    <w:p w:rsidR="00116FE9" w:rsidRPr="00AE6576" w:rsidRDefault="00116FE9" w:rsidP="007510F8">
      <w:pPr>
        <w:spacing w:after="0" w:line="480" w:lineRule="auto"/>
        <w:rPr>
          <w:rFonts w:ascii="Times New Roman" w:hAnsi="Times New Roman"/>
          <w:sz w:val="24"/>
          <w:szCs w:val="24"/>
        </w:rPr>
      </w:pPr>
    </w:p>
    <w:p w:rsidR="00116FE9" w:rsidRPr="00AE6576" w:rsidRDefault="00116FE9" w:rsidP="007510F8">
      <w:pPr>
        <w:spacing w:after="0" w:line="480" w:lineRule="auto"/>
        <w:rPr>
          <w:rFonts w:ascii="Times New Roman" w:hAnsi="Times New Roman"/>
          <w:sz w:val="24"/>
          <w:szCs w:val="24"/>
        </w:rPr>
      </w:pPr>
      <w:r w:rsidRPr="00AE6576">
        <w:rPr>
          <w:rFonts w:ascii="Times New Roman" w:hAnsi="Times New Roman"/>
          <w:sz w:val="24"/>
          <w:szCs w:val="24"/>
        </w:rPr>
        <w:t>The prohibition of drugs is usually justified on the basis of their health harms. In the case of cannabis, this argument has focused on the harms to mental health.</w:t>
      </w:r>
      <w:r>
        <w:rPr>
          <w:rFonts w:ascii="Times New Roman" w:hAnsi="Times New Roman"/>
          <w:sz w:val="24"/>
          <w:szCs w:val="24"/>
        </w:rPr>
        <w:t xml:space="preserve"> </w:t>
      </w:r>
      <w:r w:rsidRPr="00AE6576">
        <w:rPr>
          <w:rFonts w:ascii="Times New Roman" w:hAnsi="Times New Roman"/>
          <w:sz w:val="24"/>
          <w:szCs w:val="24"/>
        </w:rPr>
        <w:t xml:space="preserve">This was a particular issue in the inclusion of cannabis in the regimes of control that were established by both the 1925 Geneva Opium Conference and the 1961 Single Convention. As Mills </w:t>
      </w:r>
      <w:r>
        <w:rPr>
          <w:rFonts w:ascii="Times New Roman" w:hAnsi="Times New Roman"/>
          <w:noProof/>
          <w:sz w:val="24"/>
          <w:szCs w:val="24"/>
        </w:rPr>
        <w:t>(13, 15)</w:t>
      </w:r>
      <w:r w:rsidRPr="00AE6576">
        <w:rPr>
          <w:rFonts w:ascii="Times New Roman" w:hAnsi="Times New Roman"/>
          <w:sz w:val="24"/>
          <w:szCs w:val="24"/>
        </w:rPr>
        <w:t xml:space="preserve"> has shown, both decisions were informed by highly dubious data from Dr John Warnock, the British colonial administrator of the Egyptian Lunacy Department  from 1895 to </w:t>
      </w:r>
      <w:r>
        <w:rPr>
          <w:rFonts w:ascii="Times New Roman" w:hAnsi="Times New Roman"/>
          <w:sz w:val="24"/>
          <w:szCs w:val="24"/>
        </w:rPr>
        <w:t>1923. Warnock</w:t>
      </w:r>
      <w:r w:rsidRPr="00AE6576">
        <w:rPr>
          <w:rFonts w:ascii="Times New Roman" w:hAnsi="Times New Roman"/>
          <w:sz w:val="24"/>
          <w:szCs w:val="24"/>
        </w:rPr>
        <w:t xml:space="preserve"> spoke little Arabic </w:t>
      </w:r>
      <w:r>
        <w:rPr>
          <w:rFonts w:ascii="Times New Roman" w:hAnsi="Times New Roman"/>
          <w:sz w:val="24"/>
          <w:szCs w:val="24"/>
        </w:rPr>
        <w:t xml:space="preserve">but felt himself </w:t>
      </w:r>
      <w:r w:rsidRPr="00AE6576">
        <w:rPr>
          <w:rFonts w:ascii="Times New Roman" w:hAnsi="Times New Roman"/>
          <w:sz w:val="24"/>
          <w:szCs w:val="24"/>
        </w:rPr>
        <w:t>able to conclude that 41 per cent of cases of insanity in Egypt were caused by cannabis. He was no doubt helped in coming to this conclusion by his belief that inmates’ denial of cannabis use was a sure indicator that they were indeed users of the substance.</w:t>
      </w:r>
    </w:p>
    <w:p w:rsidR="00116FE9" w:rsidRPr="00AE6576" w:rsidRDefault="00116FE9" w:rsidP="007510F8">
      <w:pPr>
        <w:spacing w:after="0" w:line="480" w:lineRule="auto"/>
        <w:rPr>
          <w:rFonts w:ascii="Times New Roman" w:hAnsi="Times New Roman"/>
          <w:sz w:val="24"/>
          <w:szCs w:val="24"/>
        </w:rPr>
      </w:pPr>
    </w:p>
    <w:p w:rsidR="00116FE9" w:rsidRPr="00AE6576" w:rsidRDefault="00116FE9" w:rsidP="007510F8">
      <w:pPr>
        <w:spacing w:after="0" w:line="480" w:lineRule="auto"/>
        <w:rPr>
          <w:rFonts w:ascii="Times New Roman" w:hAnsi="Times New Roman"/>
          <w:sz w:val="24"/>
          <w:szCs w:val="24"/>
        </w:rPr>
      </w:pPr>
      <w:r w:rsidRPr="00AE6576">
        <w:rPr>
          <w:rFonts w:ascii="Times New Roman" w:hAnsi="Times New Roman"/>
          <w:sz w:val="24"/>
          <w:szCs w:val="24"/>
        </w:rPr>
        <w:t>The 200</w:t>
      </w:r>
      <w:r>
        <w:rPr>
          <w:rFonts w:ascii="Times New Roman" w:hAnsi="Times New Roman"/>
          <w:sz w:val="24"/>
          <w:szCs w:val="24"/>
        </w:rPr>
        <w:t>4</w:t>
      </w:r>
      <w:r w:rsidRPr="00AE6576">
        <w:rPr>
          <w:rFonts w:ascii="Times New Roman" w:hAnsi="Times New Roman"/>
          <w:sz w:val="24"/>
          <w:szCs w:val="24"/>
        </w:rPr>
        <w:t xml:space="preserve"> downward classification of cannabis in Britain, from class B to C, </w:t>
      </w:r>
      <w:r>
        <w:rPr>
          <w:rFonts w:ascii="Times New Roman" w:hAnsi="Times New Roman"/>
          <w:sz w:val="24"/>
          <w:szCs w:val="24"/>
        </w:rPr>
        <w:t>is</w:t>
      </w:r>
      <w:r w:rsidRPr="00AE6576">
        <w:rPr>
          <w:rFonts w:ascii="Times New Roman" w:hAnsi="Times New Roman"/>
          <w:sz w:val="24"/>
          <w:szCs w:val="24"/>
        </w:rPr>
        <w:t xml:space="preserve"> listed </w:t>
      </w:r>
      <w:r>
        <w:rPr>
          <w:rFonts w:ascii="Times New Roman" w:hAnsi="Times New Roman"/>
          <w:sz w:val="24"/>
          <w:szCs w:val="24"/>
        </w:rPr>
        <w:t xml:space="preserve">in table one </w:t>
      </w:r>
      <w:r w:rsidRPr="00AE6576">
        <w:rPr>
          <w:rFonts w:ascii="Times New Roman" w:hAnsi="Times New Roman"/>
          <w:sz w:val="24"/>
          <w:szCs w:val="24"/>
        </w:rPr>
        <w:t xml:space="preserve">as one of the </w:t>
      </w:r>
      <w:r>
        <w:rPr>
          <w:rFonts w:ascii="Times New Roman" w:hAnsi="Times New Roman"/>
          <w:sz w:val="24"/>
          <w:szCs w:val="24"/>
        </w:rPr>
        <w:t xml:space="preserve">recent </w:t>
      </w:r>
      <w:r w:rsidRPr="00AE6576">
        <w:rPr>
          <w:rFonts w:ascii="Times New Roman" w:hAnsi="Times New Roman"/>
          <w:sz w:val="24"/>
          <w:szCs w:val="24"/>
        </w:rPr>
        <w:t xml:space="preserve">exceptions to the rule of tightening control. The link between cannabis and mental health </w:t>
      </w:r>
      <w:r>
        <w:rPr>
          <w:rFonts w:ascii="Times New Roman" w:hAnsi="Times New Roman"/>
          <w:sz w:val="24"/>
          <w:szCs w:val="24"/>
        </w:rPr>
        <w:t xml:space="preserve">- and in particular the link between the higher THC content of emergent hybrid skunk and cannabis psychosis - </w:t>
      </w:r>
      <w:r w:rsidRPr="00AE6576">
        <w:rPr>
          <w:rFonts w:ascii="Times New Roman" w:hAnsi="Times New Roman"/>
          <w:sz w:val="24"/>
          <w:szCs w:val="24"/>
        </w:rPr>
        <w:t xml:space="preserve">was soon recruited to the task of arguing for a re-tightening of the ratchet. This was frequently exemplified by journalists and campaigners using stories of middle class young men whose schizophrenia followed their cannabis use to argue for reversal of the </w:t>
      </w:r>
      <w:r>
        <w:rPr>
          <w:rFonts w:ascii="Times New Roman" w:hAnsi="Times New Roman"/>
          <w:sz w:val="24"/>
          <w:szCs w:val="24"/>
        </w:rPr>
        <w:t>d</w:t>
      </w:r>
      <w:r w:rsidRPr="00AE6576">
        <w:rPr>
          <w:rFonts w:ascii="Times New Roman" w:hAnsi="Times New Roman"/>
          <w:sz w:val="24"/>
          <w:szCs w:val="24"/>
        </w:rPr>
        <w:t>eclassification. In justifying its decision to implement this reversal (despite the repeated advice of the ACMD to keep cannabis in class C), the government referred again to the mental health risks of cannabis use. Once again, cannabis had been found guilty by its association with mental illness.</w:t>
      </w:r>
    </w:p>
    <w:p w:rsidR="00116FE9" w:rsidRPr="00AE6576" w:rsidRDefault="00116FE9" w:rsidP="007510F8">
      <w:pPr>
        <w:spacing w:after="0" w:line="480" w:lineRule="auto"/>
        <w:rPr>
          <w:rFonts w:ascii="Times New Roman" w:hAnsi="Times New Roman"/>
          <w:sz w:val="24"/>
          <w:szCs w:val="24"/>
        </w:rPr>
      </w:pPr>
    </w:p>
    <w:p w:rsidR="00116FE9" w:rsidRDefault="00116FE9" w:rsidP="007510F8">
      <w:pPr>
        <w:spacing w:after="0" w:line="480" w:lineRule="auto"/>
        <w:rPr>
          <w:rFonts w:ascii="Times New Roman" w:hAnsi="Times New Roman"/>
          <w:sz w:val="24"/>
          <w:szCs w:val="24"/>
        </w:rPr>
      </w:pPr>
      <w:r w:rsidRPr="00AE6576">
        <w:rPr>
          <w:rFonts w:ascii="Times New Roman" w:hAnsi="Times New Roman"/>
          <w:sz w:val="24"/>
          <w:szCs w:val="24"/>
        </w:rPr>
        <w:t>Some substances have been banned without evidence that they were being widely used, or that they were particularly harmful, but on the basis of their similarity to other banned substances.</w:t>
      </w:r>
      <w:r>
        <w:rPr>
          <w:rFonts w:ascii="Times New Roman" w:hAnsi="Times New Roman"/>
          <w:sz w:val="24"/>
          <w:szCs w:val="24"/>
        </w:rPr>
        <w:t xml:space="preserve"> T</w:t>
      </w:r>
      <w:r w:rsidRPr="00AE6576">
        <w:rPr>
          <w:rFonts w:ascii="Times New Roman" w:hAnsi="Times New Roman"/>
          <w:sz w:val="24"/>
          <w:szCs w:val="24"/>
        </w:rPr>
        <w:t xml:space="preserve">he 1912 International Opium Convention (Article 14) banned all new derivatives of opium, morphine and cocaine if they were ‘shown by research, generally recognised, to be liable to similar abuse and productive of like ill-effects’. But </w:t>
      </w:r>
      <w:r>
        <w:rPr>
          <w:rFonts w:ascii="Times New Roman" w:hAnsi="Times New Roman"/>
          <w:sz w:val="24"/>
          <w:szCs w:val="24"/>
        </w:rPr>
        <w:t xml:space="preserve">current </w:t>
      </w:r>
      <w:r w:rsidRPr="00AE6576">
        <w:rPr>
          <w:rFonts w:ascii="Times New Roman" w:hAnsi="Times New Roman"/>
          <w:sz w:val="24"/>
          <w:szCs w:val="24"/>
        </w:rPr>
        <w:t xml:space="preserve">control systems </w:t>
      </w:r>
      <w:r>
        <w:rPr>
          <w:rFonts w:ascii="Times New Roman" w:hAnsi="Times New Roman"/>
          <w:sz w:val="24"/>
          <w:szCs w:val="24"/>
        </w:rPr>
        <w:t>do</w:t>
      </w:r>
      <w:r w:rsidRPr="00AE6576">
        <w:rPr>
          <w:rFonts w:ascii="Times New Roman" w:hAnsi="Times New Roman"/>
          <w:sz w:val="24"/>
          <w:szCs w:val="24"/>
        </w:rPr>
        <w:t xml:space="preserve"> not always wait for such evidence to emerge before banning new substances and derivatives</w:t>
      </w:r>
      <w:r>
        <w:rPr>
          <w:rFonts w:ascii="Times New Roman" w:hAnsi="Times New Roman"/>
          <w:sz w:val="24"/>
          <w:szCs w:val="24"/>
        </w:rPr>
        <w:t xml:space="preserve">. For example, substituted pyrovalerones (e.g. naphyrone) were banned in 2010 in the UK just weeks after the substituted cathinones (e.g. mephedrone). Methoxetamine was banned in 2013 along with similar compounds. In both cases these generic controls were not introduced on the basis of evidence of </w:t>
      </w:r>
      <w:r w:rsidRPr="006E7AA5">
        <w:rPr>
          <w:rFonts w:ascii="Times New Roman" w:hAnsi="Times New Roman"/>
          <w:i/>
          <w:sz w:val="24"/>
          <w:szCs w:val="24"/>
        </w:rPr>
        <w:t>existing</w:t>
      </w:r>
      <w:r>
        <w:rPr>
          <w:rFonts w:ascii="Times New Roman" w:hAnsi="Times New Roman"/>
          <w:sz w:val="24"/>
          <w:szCs w:val="24"/>
        </w:rPr>
        <w:t xml:space="preserve"> use or harm, or even of desirability amongst users </w:t>
      </w:r>
      <w:r>
        <w:rPr>
          <w:rFonts w:ascii="Times New Roman" w:hAnsi="Times New Roman"/>
          <w:noProof/>
          <w:sz w:val="24"/>
          <w:szCs w:val="24"/>
        </w:rPr>
        <w:t>(16)</w:t>
      </w:r>
      <w:r>
        <w:rPr>
          <w:rFonts w:ascii="Times New Roman" w:hAnsi="Times New Roman"/>
          <w:sz w:val="24"/>
          <w:szCs w:val="24"/>
        </w:rPr>
        <w:t xml:space="preserve">, but because of presumed harm through a pharmacological comparison with other controlled substances, their relative potency and effects </w:t>
      </w:r>
      <w:r>
        <w:rPr>
          <w:rFonts w:ascii="Times New Roman" w:hAnsi="Times New Roman"/>
          <w:noProof/>
          <w:sz w:val="24"/>
          <w:szCs w:val="24"/>
        </w:rPr>
        <w:t>(17, 18)</w:t>
      </w:r>
      <w:r>
        <w:rPr>
          <w:rFonts w:ascii="Times New Roman" w:hAnsi="Times New Roman"/>
          <w:sz w:val="24"/>
          <w:szCs w:val="24"/>
        </w:rPr>
        <w:t xml:space="preserve">. Thus, despite the lack of evidence of significant existing use or harm, whole groups of chemical compounds have been identified and controlled through generic bans in a process of guilt by molecular association. </w:t>
      </w:r>
    </w:p>
    <w:p w:rsidR="00116FE9" w:rsidRPr="00AE6576" w:rsidRDefault="00116FE9" w:rsidP="007510F8">
      <w:pPr>
        <w:spacing w:after="0" w:line="480" w:lineRule="auto"/>
        <w:rPr>
          <w:rFonts w:ascii="Times New Roman" w:hAnsi="Times New Roman"/>
          <w:sz w:val="24"/>
          <w:szCs w:val="24"/>
        </w:rPr>
      </w:pPr>
    </w:p>
    <w:p w:rsidR="00116FE9" w:rsidRPr="00AE6576" w:rsidRDefault="00116FE9" w:rsidP="007510F8">
      <w:pPr>
        <w:spacing w:after="0" w:line="480" w:lineRule="auto"/>
        <w:rPr>
          <w:rFonts w:ascii="Times New Roman" w:hAnsi="Times New Roman"/>
          <w:sz w:val="24"/>
          <w:szCs w:val="24"/>
        </w:rPr>
      </w:pPr>
      <w:r w:rsidRPr="00AE6576">
        <w:rPr>
          <w:rFonts w:ascii="Times New Roman" w:hAnsi="Times New Roman"/>
          <w:i/>
          <w:sz w:val="24"/>
          <w:szCs w:val="24"/>
        </w:rPr>
        <w:t>Patterns in contemporary policy making</w:t>
      </w:r>
    </w:p>
    <w:p w:rsidR="00116FE9" w:rsidRPr="00AE6576" w:rsidRDefault="00116FE9" w:rsidP="007510F8">
      <w:pPr>
        <w:spacing w:after="0" w:line="480" w:lineRule="auto"/>
        <w:rPr>
          <w:rFonts w:ascii="Times New Roman" w:hAnsi="Times New Roman"/>
          <w:sz w:val="24"/>
          <w:szCs w:val="24"/>
        </w:rPr>
      </w:pPr>
    </w:p>
    <w:p w:rsidR="00116FE9" w:rsidRPr="00A37468" w:rsidRDefault="00116FE9" w:rsidP="007510F8">
      <w:pPr>
        <w:spacing w:after="0" w:line="480" w:lineRule="auto"/>
        <w:rPr>
          <w:rFonts w:ascii="Times New Roman" w:hAnsi="Times New Roman"/>
          <w:sz w:val="24"/>
          <w:szCs w:val="24"/>
        </w:rPr>
      </w:pPr>
      <w:r w:rsidRPr="00AE6576">
        <w:rPr>
          <w:rFonts w:ascii="Times New Roman" w:hAnsi="Times New Roman"/>
          <w:sz w:val="24"/>
          <w:szCs w:val="24"/>
        </w:rPr>
        <w:t xml:space="preserve">The history of drug policy making shows that decisions on drug </w:t>
      </w:r>
      <w:r>
        <w:rPr>
          <w:rFonts w:ascii="Times New Roman" w:hAnsi="Times New Roman"/>
          <w:sz w:val="24"/>
          <w:szCs w:val="24"/>
        </w:rPr>
        <w:t>control</w:t>
      </w:r>
      <w:r w:rsidRPr="00AE6576">
        <w:rPr>
          <w:rFonts w:ascii="Times New Roman" w:hAnsi="Times New Roman"/>
          <w:sz w:val="24"/>
          <w:szCs w:val="24"/>
        </w:rPr>
        <w:t xml:space="preserve"> have not resulted solely from dispassionate analysis of relative harms. Instead, it reveals patterns of thinking about the control of psychoactive substances that continue to this day. Our experience of working with policy makers shows some</w:t>
      </w:r>
      <w:r>
        <w:rPr>
          <w:rFonts w:ascii="Times New Roman" w:hAnsi="Times New Roman"/>
          <w:sz w:val="24"/>
          <w:szCs w:val="24"/>
        </w:rPr>
        <w:t xml:space="preserve"> continuing</w:t>
      </w:r>
      <w:r w:rsidRPr="00AE6576">
        <w:rPr>
          <w:rFonts w:ascii="Times New Roman" w:hAnsi="Times New Roman"/>
          <w:sz w:val="24"/>
          <w:szCs w:val="24"/>
        </w:rPr>
        <w:t xml:space="preserve"> systematic influences on evidence use in policy making that tend to support the drug policy ratchet. Some of this experience has been published by Stevens </w:t>
      </w:r>
      <w:r>
        <w:rPr>
          <w:rFonts w:ascii="Times New Roman" w:hAnsi="Times New Roman"/>
          <w:noProof/>
          <w:sz w:val="24"/>
          <w:szCs w:val="24"/>
        </w:rPr>
        <w:t>(19)</w:t>
      </w:r>
      <w:r w:rsidRPr="00AE6576">
        <w:rPr>
          <w:rFonts w:ascii="Times New Roman" w:hAnsi="Times New Roman"/>
          <w:sz w:val="24"/>
          <w:szCs w:val="24"/>
        </w:rPr>
        <w:t xml:space="preserve">. This ethnographic study was based on six months working as a policy adviser </w:t>
      </w:r>
      <w:r>
        <w:rPr>
          <w:rFonts w:ascii="Times New Roman" w:hAnsi="Times New Roman"/>
          <w:sz w:val="24"/>
          <w:szCs w:val="24"/>
        </w:rPr>
        <w:t>to</w:t>
      </w:r>
      <w:r w:rsidRPr="00AE6576">
        <w:rPr>
          <w:rFonts w:ascii="Times New Roman" w:hAnsi="Times New Roman"/>
          <w:sz w:val="24"/>
          <w:szCs w:val="24"/>
        </w:rPr>
        <w:t xml:space="preserve"> the highest levels of </w:t>
      </w:r>
      <w:r>
        <w:rPr>
          <w:rFonts w:ascii="Times New Roman" w:hAnsi="Times New Roman"/>
          <w:sz w:val="24"/>
          <w:szCs w:val="24"/>
        </w:rPr>
        <w:t xml:space="preserve">the </w:t>
      </w:r>
      <w:r w:rsidRPr="00AE6576">
        <w:rPr>
          <w:rFonts w:ascii="Times New Roman" w:hAnsi="Times New Roman"/>
          <w:sz w:val="24"/>
          <w:szCs w:val="24"/>
        </w:rPr>
        <w:t xml:space="preserve">British </w:t>
      </w:r>
      <w:r>
        <w:rPr>
          <w:rFonts w:ascii="Times New Roman" w:hAnsi="Times New Roman"/>
          <w:sz w:val="24"/>
          <w:szCs w:val="24"/>
        </w:rPr>
        <w:t>civil service</w:t>
      </w:r>
      <w:r w:rsidRPr="00AE6576">
        <w:rPr>
          <w:rFonts w:ascii="Times New Roman" w:hAnsi="Times New Roman"/>
          <w:sz w:val="24"/>
          <w:szCs w:val="24"/>
        </w:rPr>
        <w:t xml:space="preserve"> on issues of drugs and crime. It showed how, as in other jurisdictions </w:t>
      </w:r>
      <w:r>
        <w:rPr>
          <w:rFonts w:ascii="Times New Roman" w:hAnsi="Times New Roman"/>
          <w:noProof/>
          <w:sz w:val="24"/>
          <w:szCs w:val="24"/>
        </w:rPr>
        <w:t>(20)</w:t>
      </w:r>
      <w:r w:rsidRPr="00AE6576">
        <w:rPr>
          <w:rFonts w:ascii="Times New Roman" w:hAnsi="Times New Roman"/>
          <w:sz w:val="24"/>
          <w:szCs w:val="24"/>
        </w:rPr>
        <w:t xml:space="preserve">, these civil servants faced an avalanche of information that they could potentially draw on in making their policy recommendations to ministers. They knew it was impossible to digest all this information, so they developed rules of thumb by which to judge which reports were worth reading. They learnt what type of evidence was likely to help them succeed in producing policies that found favour with ministers and their special advisers. </w:t>
      </w:r>
      <w:r>
        <w:rPr>
          <w:rFonts w:ascii="Times New Roman" w:hAnsi="Times New Roman"/>
          <w:sz w:val="24"/>
          <w:szCs w:val="24"/>
        </w:rPr>
        <w:t>In form, t</w:t>
      </w:r>
      <w:r w:rsidRPr="00AE6576">
        <w:rPr>
          <w:rFonts w:ascii="Times New Roman" w:hAnsi="Times New Roman"/>
          <w:sz w:val="24"/>
          <w:szCs w:val="24"/>
        </w:rPr>
        <w:t>hey learnt that persuasive evidence was most likely to be quantitative, unambiguous and suitable for presentation in simple graphs (known colloquially as ‘killer charts’).</w:t>
      </w:r>
      <w:r>
        <w:rPr>
          <w:rFonts w:ascii="Times New Roman" w:hAnsi="Times New Roman"/>
          <w:sz w:val="24"/>
          <w:szCs w:val="24"/>
        </w:rPr>
        <w:t xml:space="preserve"> </w:t>
      </w:r>
      <w:r w:rsidRPr="00AE6576">
        <w:rPr>
          <w:rFonts w:ascii="Times New Roman" w:hAnsi="Times New Roman"/>
          <w:sz w:val="24"/>
          <w:szCs w:val="24"/>
        </w:rPr>
        <w:t xml:space="preserve">In content, the evidence that was most likely to be chosen was that which did not disrupt existing policy narratives.  </w:t>
      </w:r>
      <w:r>
        <w:rPr>
          <w:rFonts w:ascii="Times New Roman" w:hAnsi="Times New Roman"/>
          <w:sz w:val="24"/>
          <w:szCs w:val="24"/>
        </w:rPr>
        <w:t>T</w:t>
      </w:r>
      <w:r w:rsidRPr="00AE6576">
        <w:rPr>
          <w:rFonts w:ascii="Times New Roman" w:hAnsi="Times New Roman"/>
          <w:sz w:val="24"/>
          <w:szCs w:val="24"/>
        </w:rPr>
        <w:t>he role of evidence in policy is often to support rather than to challenge the currently dominant policy discourse</w:t>
      </w:r>
      <w:r w:rsidRPr="006A5D31">
        <w:rPr>
          <w:rFonts w:ascii="Times New Roman" w:hAnsi="Times New Roman"/>
          <w:sz w:val="24"/>
          <w:szCs w:val="24"/>
        </w:rPr>
        <w:t xml:space="preserve"> </w:t>
      </w:r>
      <w:r>
        <w:rPr>
          <w:rFonts w:ascii="Times New Roman" w:hAnsi="Times New Roman"/>
          <w:noProof/>
          <w:sz w:val="24"/>
          <w:szCs w:val="24"/>
        </w:rPr>
        <w:t>(21, 22)</w:t>
      </w:r>
      <w:r>
        <w:rPr>
          <w:rFonts w:ascii="Times New Roman" w:hAnsi="Times New Roman"/>
          <w:sz w:val="24"/>
          <w:szCs w:val="24"/>
        </w:rPr>
        <w:t xml:space="preserve">. As noted by an early critic of the </w:t>
      </w:r>
      <w:r w:rsidRPr="00A37468">
        <w:rPr>
          <w:rFonts w:ascii="Times New Roman" w:hAnsi="Times New Roman"/>
          <w:sz w:val="24"/>
          <w:szCs w:val="24"/>
        </w:rPr>
        <w:t>MDA</w:t>
      </w:r>
      <w:r>
        <w:rPr>
          <w:rFonts w:ascii="Times New Roman" w:hAnsi="Times New Roman"/>
          <w:sz w:val="24"/>
          <w:szCs w:val="24"/>
        </w:rPr>
        <w:t xml:space="preserve"> </w:t>
      </w:r>
      <w:r>
        <w:rPr>
          <w:rFonts w:ascii="Times New Roman" w:hAnsi="Times New Roman"/>
          <w:noProof/>
          <w:sz w:val="24"/>
          <w:szCs w:val="24"/>
        </w:rPr>
        <w:t>(23)</w:t>
      </w:r>
      <w:r w:rsidRPr="00A37468">
        <w:rPr>
          <w:rFonts w:ascii="Times New Roman" w:hAnsi="Times New Roman"/>
          <w:sz w:val="24"/>
          <w:szCs w:val="24"/>
        </w:rPr>
        <w:t>, ‘political parameters delimit the possible universe of discourse for what purport to be open-ended scientific debates’.</w:t>
      </w:r>
    </w:p>
    <w:p w:rsidR="00116FE9" w:rsidRPr="00A37468" w:rsidRDefault="00116FE9" w:rsidP="007510F8">
      <w:pPr>
        <w:spacing w:after="0" w:line="480" w:lineRule="auto"/>
        <w:rPr>
          <w:rFonts w:ascii="Times New Roman" w:hAnsi="Times New Roman"/>
          <w:sz w:val="24"/>
          <w:szCs w:val="24"/>
        </w:rPr>
      </w:pPr>
    </w:p>
    <w:p w:rsidR="00116FE9" w:rsidRPr="0059561D" w:rsidRDefault="00116FE9" w:rsidP="007510F8">
      <w:pPr>
        <w:spacing w:after="0" w:line="480" w:lineRule="auto"/>
        <w:rPr>
          <w:rFonts w:ascii="Times New Roman" w:hAnsi="Times New Roman"/>
          <w:sz w:val="24"/>
          <w:szCs w:val="24"/>
        </w:rPr>
      </w:pPr>
      <w:r w:rsidRPr="0059561D">
        <w:rPr>
          <w:rFonts w:ascii="Times New Roman" w:hAnsi="Times New Roman"/>
          <w:sz w:val="24"/>
          <w:szCs w:val="24"/>
        </w:rPr>
        <w:t xml:space="preserve">One of the dominant tropes of current </w:t>
      </w:r>
      <w:r>
        <w:rPr>
          <w:rFonts w:ascii="Times New Roman" w:hAnsi="Times New Roman"/>
          <w:sz w:val="24"/>
          <w:szCs w:val="24"/>
        </w:rPr>
        <w:t xml:space="preserve">political </w:t>
      </w:r>
      <w:r w:rsidRPr="0059561D">
        <w:rPr>
          <w:rFonts w:ascii="Times New Roman" w:hAnsi="Times New Roman"/>
          <w:sz w:val="24"/>
          <w:szCs w:val="24"/>
        </w:rPr>
        <w:t>narratives on drug policy is the desire to appear tough. During the ethnographic study of Stevens, frequent use was made of the word ‘totemic’ to describe policies that show</w:t>
      </w:r>
      <w:r w:rsidRPr="002C5689">
        <w:rPr>
          <w:rFonts w:ascii="Times New Roman" w:hAnsi="Times New Roman"/>
          <w:sz w:val="24"/>
          <w:szCs w:val="24"/>
        </w:rPr>
        <w:t>ed the government to be tough in its quest to protect the public from harmful people and substances. Tough policies were described as being especially appropriate for ‘other’ people, including unruly youths and ‘high harm causing users’</w:t>
      </w:r>
      <w:r w:rsidRPr="00B92DAE">
        <w:rPr>
          <w:rFonts w:ascii="Times New Roman" w:hAnsi="Times New Roman"/>
          <w:sz w:val="24"/>
          <w:szCs w:val="24"/>
        </w:rPr>
        <w:t>. This desire to use drug policy to send a tough message has frequently informed drug classification decisions, most recently the swift passage of legislation banning substituted cathinones</w:t>
      </w:r>
      <w:r>
        <w:rPr>
          <w:rFonts w:ascii="Times New Roman" w:hAnsi="Times New Roman"/>
          <w:sz w:val="24"/>
          <w:szCs w:val="24"/>
        </w:rPr>
        <w:t xml:space="preserve"> </w:t>
      </w:r>
      <w:r w:rsidRPr="00B92DAE">
        <w:rPr>
          <w:rFonts w:ascii="Times New Roman" w:hAnsi="Times New Roman"/>
          <w:sz w:val="24"/>
          <w:szCs w:val="24"/>
        </w:rPr>
        <w:t>in April 2010</w:t>
      </w:r>
      <w:r>
        <w:rPr>
          <w:rFonts w:ascii="Times New Roman" w:hAnsi="Times New Roman"/>
          <w:sz w:val="24"/>
          <w:szCs w:val="24"/>
        </w:rPr>
        <w:t xml:space="preserve">. This was given </w:t>
      </w:r>
      <w:r w:rsidRPr="00B92DAE">
        <w:rPr>
          <w:rFonts w:ascii="Times New Roman" w:hAnsi="Times New Roman"/>
          <w:sz w:val="24"/>
          <w:szCs w:val="24"/>
        </w:rPr>
        <w:t xml:space="preserve">cross-party support less than three weeks before a </w:t>
      </w:r>
      <w:r>
        <w:rPr>
          <w:rFonts w:ascii="Times New Roman" w:hAnsi="Times New Roman"/>
          <w:sz w:val="24"/>
          <w:szCs w:val="24"/>
        </w:rPr>
        <w:t>g</w:t>
      </w:r>
      <w:r w:rsidRPr="00B92DAE">
        <w:rPr>
          <w:rFonts w:ascii="Times New Roman" w:hAnsi="Times New Roman"/>
          <w:sz w:val="24"/>
          <w:szCs w:val="24"/>
        </w:rPr>
        <w:t xml:space="preserve">eneral </w:t>
      </w:r>
      <w:r>
        <w:rPr>
          <w:rFonts w:ascii="Times New Roman" w:hAnsi="Times New Roman"/>
          <w:sz w:val="24"/>
          <w:szCs w:val="24"/>
        </w:rPr>
        <w:t>e</w:t>
      </w:r>
      <w:r w:rsidRPr="00B92DAE">
        <w:rPr>
          <w:rFonts w:ascii="Times New Roman" w:hAnsi="Times New Roman"/>
          <w:sz w:val="24"/>
          <w:szCs w:val="24"/>
        </w:rPr>
        <w:t xml:space="preserve">lection. Indeed, whilst many liberal commentators criticised the </w:t>
      </w:r>
      <w:r>
        <w:rPr>
          <w:rFonts w:ascii="Times New Roman" w:hAnsi="Times New Roman"/>
          <w:sz w:val="24"/>
          <w:szCs w:val="24"/>
        </w:rPr>
        <w:t>‘</w:t>
      </w:r>
      <w:r w:rsidRPr="00B92DAE">
        <w:rPr>
          <w:rFonts w:ascii="Times New Roman" w:hAnsi="Times New Roman"/>
          <w:sz w:val="24"/>
          <w:szCs w:val="24"/>
        </w:rPr>
        <w:t>pre-election prohibition fast-track</w:t>
      </w:r>
      <w:r>
        <w:rPr>
          <w:rFonts w:ascii="Times New Roman" w:hAnsi="Times New Roman"/>
          <w:sz w:val="24"/>
          <w:szCs w:val="24"/>
        </w:rPr>
        <w:t>’</w:t>
      </w:r>
      <w:r w:rsidRPr="00B92DAE">
        <w:rPr>
          <w:rFonts w:ascii="Times New Roman" w:hAnsi="Times New Roman"/>
          <w:sz w:val="24"/>
          <w:szCs w:val="24"/>
        </w:rPr>
        <w:t xml:space="preserve"> </w:t>
      </w:r>
      <w:r>
        <w:rPr>
          <w:rFonts w:ascii="Times New Roman" w:hAnsi="Times New Roman"/>
          <w:noProof/>
          <w:sz w:val="24"/>
          <w:szCs w:val="24"/>
        </w:rPr>
        <w:t>(24, 25)</w:t>
      </w:r>
      <w:r w:rsidRPr="00B92DAE">
        <w:rPr>
          <w:rFonts w:ascii="Times New Roman" w:hAnsi="Times New Roman"/>
          <w:sz w:val="24"/>
          <w:szCs w:val="24"/>
        </w:rPr>
        <w:t xml:space="preserve">, the criticism from the </w:t>
      </w:r>
      <w:r>
        <w:rPr>
          <w:rFonts w:ascii="Times New Roman" w:hAnsi="Times New Roman"/>
          <w:sz w:val="24"/>
          <w:szCs w:val="24"/>
        </w:rPr>
        <w:t xml:space="preserve">Conservative </w:t>
      </w:r>
      <w:r w:rsidRPr="00B92DAE">
        <w:rPr>
          <w:rFonts w:ascii="Times New Roman" w:hAnsi="Times New Roman"/>
          <w:sz w:val="24"/>
          <w:szCs w:val="24"/>
        </w:rPr>
        <w:t xml:space="preserve">Opposition </w:t>
      </w:r>
      <w:r>
        <w:rPr>
          <w:rFonts w:ascii="Times New Roman" w:hAnsi="Times New Roman"/>
          <w:noProof/>
          <w:sz w:val="24"/>
          <w:szCs w:val="24"/>
        </w:rPr>
        <w:t>(26)</w:t>
      </w:r>
      <w:r>
        <w:rPr>
          <w:rFonts w:ascii="Times New Roman" w:hAnsi="Times New Roman"/>
          <w:sz w:val="24"/>
          <w:szCs w:val="24"/>
        </w:rPr>
        <w:t>.</w:t>
      </w:r>
      <w:r w:rsidRPr="0059561D">
        <w:rPr>
          <w:rFonts w:ascii="Times New Roman" w:hAnsi="Times New Roman"/>
          <w:sz w:val="24"/>
          <w:szCs w:val="24"/>
        </w:rPr>
        <w:t xml:space="preserve"> The ACMD review was pre-empted both by the national press, reporting that a ban was </w:t>
      </w:r>
      <w:r>
        <w:rPr>
          <w:rFonts w:ascii="Times New Roman" w:hAnsi="Times New Roman"/>
          <w:sz w:val="24"/>
          <w:szCs w:val="24"/>
        </w:rPr>
        <w:t>’</w:t>
      </w:r>
      <w:r w:rsidRPr="0059561D">
        <w:rPr>
          <w:rFonts w:ascii="Times New Roman" w:hAnsi="Times New Roman"/>
          <w:sz w:val="24"/>
          <w:szCs w:val="24"/>
        </w:rPr>
        <w:t>likely</w:t>
      </w:r>
      <w:r>
        <w:rPr>
          <w:rFonts w:ascii="Times New Roman" w:hAnsi="Times New Roman"/>
          <w:sz w:val="24"/>
          <w:szCs w:val="24"/>
        </w:rPr>
        <w:t xml:space="preserve">’ </w:t>
      </w:r>
      <w:r>
        <w:rPr>
          <w:rFonts w:ascii="Times New Roman" w:hAnsi="Times New Roman"/>
          <w:noProof/>
          <w:sz w:val="24"/>
          <w:szCs w:val="24"/>
        </w:rPr>
        <w:t>(27)</w:t>
      </w:r>
      <w:r w:rsidRPr="0059561D">
        <w:rPr>
          <w:rFonts w:ascii="Times New Roman" w:hAnsi="Times New Roman"/>
          <w:sz w:val="24"/>
          <w:szCs w:val="24"/>
        </w:rPr>
        <w:t xml:space="preserve">, and by the Labour Prime Minister, who declared that </w:t>
      </w:r>
      <w:r>
        <w:rPr>
          <w:rFonts w:ascii="Times New Roman" w:hAnsi="Times New Roman"/>
          <w:sz w:val="24"/>
          <w:szCs w:val="24"/>
        </w:rPr>
        <w:t xml:space="preserve">once he heard the ACMD’s advice, </w:t>
      </w:r>
      <w:r w:rsidRPr="0059561D">
        <w:rPr>
          <w:rFonts w:ascii="Times New Roman" w:hAnsi="Times New Roman"/>
          <w:sz w:val="24"/>
          <w:szCs w:val="24"/>
        </w:rPr>
        <w:t xml:space="preserve">he would take </w:t>
      </w:r>
      <w:r>
        <w:rPr>
          <w:rFonts w:ascii="Times New Roman" w:hAnsi="Times New Roman"/>
          <w:sz w:val="24"/>
          <w:szCs w:val="24"/>
        </w:rPr>
        <w:t>‘</w:t>
      </w:r>
      <w:r w:rsidRPr="0059561D">
        <w:rPr>
          <w:rStyle w:val="apple-style-span"/>
          <w:rFonts w:ascii="Times New Roman" w:hAnsi="Times New Roman"/>
          <w:iCs/>
          <w:color w:val="333333"/>
          <w:sz w:val="24"/>
          <w:szCs w:val="24"/>
        </w:rPr>
        <w:t>take immediate action. We are determined to act to prevent this evil from hurting the young people of our country</w:t>
      </w:r>
      <w:r>
        <w:rPr>
          <w:rStyle w:val="apple-style-span"/>
          <w:rFonts w:ascii="Times New Roman" w:hAnsi="Times New Roman"/>
          <w:iCs/>
          <w:color w:val="333333"/>
          <w:sz w:val="24"/>
          <w:szCs w:val="24"/>
        </w:rPr>
        <w:t>’</w:t>
      </w:r>
      <w:r w:rsidRPr="0059561D">
        <w:rPr>
          <w:rFonts w:ascii="Times New Roman" w:hAnsi="Times New Roman"/>
          <w:sz w:val="24"/>
          <w:szCs w:val="24"/>
          <w:lang w:val="en-US"/>
        </w:rPr>
        <w:t xml:space="preserve"> </w:t>
      </w:r>
      <w:r>
        <w:rPr>
          <w:rFonts w:ascii="Times New Roman" w:hAnsi="Times New Roman"/>
          <w:noProof/>
          <w:sz w:val="24"/>
          <w:szCs w:val="24"/>
          <w:lang w:val="en-US"/>
        </w:rPr>
        <w:t>(28)</w:t>
      </w:r>
      <w:r w:rsidRPr="0059561D">
        <w:rPr>
          <w:rFonts w:ascii="Times New Roman" w:hAnsi="Times New Roman"/>
          <w:sz w:val="24"/>
          <w:szCs w:val="24"/>
          <w:lang w:val="en-US"/>
        </w:rPr>
        <w:t xml:space="preserve">. </w:t>
      </w:r>
      <w:r>
        <w:rPr>
          <w:rFonts w:ascii="Times New Roman" w:hAnsi="Times New Roman"/>
          <w:sz w:val="24"/>
          <w:szCs w:val="24"/>
          <w:lang w:val="en-US"/>
        </w:rPr>
        <w:t>It is this type of political rhetoric that would make it so difficult to reverse a ban made under a TCDO.</w:t>
      </w:r>
    </w:p>
    <w:p w:rsidR="00116FE9" w:rsidRDefault="00116FE9" w:rsidP="007510F8">
      <w:pPr>
        <w:spacing w:after="0" w:line="480" w:lineRule="auto"/>
        <w:rPr>
          <w:rFonts w:ascii="Times New Roman" w:hAnsi="Times New Roman"/>
          <w:i/>
          <w:sz w:val="24"/>
          <w:szCs w:val="24"/>
        </w:rPr>
      </w:pPr>
    </w:p>
    <w:p w:rsidR="00116FE9" w:rsidRDefault="00116FE9" w:rsidP="007510F8">
      <w:pPr>
        <w:spacing w:after="0" w:line="480" w:lineRule="auto"/>
        <w:rPr>
          <w:rFonts w:ascii="Times New Roman" w:hAnsi="Times New Roman"/>
          <w:sz w:val="24"/>
          <w:szCs w:val="24"/>
        </w:rPr>
      </w:pPr>
      <w:r w:rsidRPr="00AE6576">
        <w:rPr>
          <w:rFonts w:ascii="Times New Roman" w:hAnsi="Times New Roman"/>
          <w:sz w:val="24"/>
          <w:szCs w:val="24"/>
        </w:rPr>
        <w:t xml:space="preserve">Of course, the narrative of ‘totemic toughness’ is not the only one that is told in policy discussions. There is also the narrative of evidence-based policy. It is worth reflecting here on the work of Thomas Mathiesen </w:t>
      </w:r>
      <w:r>
        <w:rPr>
          <w:rFonts w:ascii="Times New Roman" w:hAnsi="Times New Roman"/>
          <w:noProof/>
          <w:sz w:val="24"/>
          <w:szCs w:val="24"/>
        </w:rPr>
        <w:t>(29)</w:t>
      </w:r>
      <w:r w:rsidRPr="00AE6576">
        <w:rPr>
          <w:rFonts w:ascii="Times New Roman" w:hAnsi="Times New Roman"/>
          <w:sz w:val="24"/>
          <w:szCs w:val="24"/>
        </w:rPr>
        <w:t xml:space="preserve">. </w:t>
      </w:r>
      <w:r>
        <w:rPr>
          <w:rFonts w:ascii="Times New Roman" w:hAnsi="Times New Roman"/>
          <w:sz w:val="24"/>
          <w:szCs w:val="24"/>
        </w:rPr>
        <w:t xml:space="preserve"> He</w:t>
      </w:r>
      <w:r w:rsidRPr="00AE6576">
        <w:rPr>
          <w:rFonts w:ascii="Times New Roman" w:hAnsi="Times New Roman"/>
          <w:sz w:val="24"/>
          <w:szCs w:val="24"/>
        </w:rPr>
        <w:t xml:space="preserve"> coined the phrase ‘silent silencing’ for the processes by which inconvenient truths are diverted from impacting on policy. One of these processes, which Mathiesen calls ‘absorption’, occurs when an alternative vision that opens up possibilities of long-term fundamental change is accepted in name and partially in practice, but it is then set to the task of continuing the existing system of control. This can be seen in the absorption of the idea of evidence-based policy making in the field of drug policy. As demonstrated by the authors referred to above, evidence was called on throughout the 20</w:t>
      </w:r>
      <w:r w:rsidRPr="00AE6576">
        <w:rPr>
          <w:rFonts w:ascii="Times New Roman" w:hAnsi="Times New Roman"/>
          <w:sz w:val="24"/>
          <w:szCs w:val="24"/>
          <w:vertAlign w:val="superscript"/>
        </w:rPr>
        <w:t>th</w:t>
      </w:r>
      <w:r w:rsidRPr="00AE6576">
        <w:rPr>
          <w:rFonts w:ascii="Times New Roman" w:hAnsi="Times New Roman"/>
          <w:sz w:val="24"/>
          <w:szCs w:val="24"/>
        </w:rPr>
        <w:t xml:space="preserve"> century to provide justifications for drug </w:t>
      </w:r>
      <w:r>
        <w:rPr>
          <w:rFonts w:ascii="Times New Roman" w:hAnsi="Times New Roman"/>
          <w:sz w:val="24"/>
          <w:szCs w:val="24"/>
        </w:rPr>
        <w:t>control</w:t>
      </w:r>
      <w:r w:rsidRPr="00AE6576">
        <w:rPr>
          <w:rFonts w:ascii="Times New Roman" w:hAnsi="Times New Roman"/>
          <w:sz w:val="24"/>
          <w:szCs w:val="24"/>
        </w:rPr>
        <w:t xml:space="preserve"> decisions. </w:t>
      </w:r>
      <w:r>
        <w:rPr>
          <w:rFonts w:ascii="Times New Roman" w:hAnsi="Times New Roman"/>
          <w:sz w:val="24"/>
          <w:szCs w:val="24"/>
        </w:rPr>
        <w:t xml:space="preserve">The creation of the MDA itself followed some recommendations from the precursor of the ACMD - the Advisory Committee on Drug Dependence – and gave this committee a statutory footing </w:t>
      </w:r>
      <w:r>
        <w:rPr>
          <w:rFonts w:ascii="Times New Roman" w:hAnsi="Times New Roman"/>
          <w:noProof/>
          <w:sz w:val="24"/>
          <w:szCs w:val="24"/>
        </w:rPr>
        <w:t>(13)</w:t>
      </w:r>
      <w:r>
        <w:rPr>
          <w:rFonts w:ascii="Times New Roman" w:hAnsi="Times New Roman"/>
          <w:sz w:val="24"/>
          <w:szCs w:val="24"/>
        </w:rPr>
        <w:t xml:space="preserve">. </w:t>
      </w:r>
      <w:r w:rsidRPr="00AE6576">
        <w:rPr>
          <w:rFonts w:ascii="Times New Roman" w:hAnsi="Times New Roman"/>
          <w:sz w:val="24"/>
          <w:szCs w:val="24"/>
        </w:rPr>
        <w:t>However, decisions in the last decade on cannabis</w:t>
      </w:r>
      <w:r>
        <w:rPr>
          <w:rFonts w:ascii="Times New Roman" w:hAnsi="Times New Roman"/>
          <w:sz w:val="24"/>
          <w:szCs w:val="24"/>
        </w:rPr>
        <w:t>, MDMA and (probably) khat</w:t>
      </w:r>
      <w:r w:rsidRPr="00AE6576">
        <w:rPr>
          <w:rFonts w:ascii="Times New Roman" w:hAnsi="Times New Roman"/>
          <w:sz w:val="24"/>
          <w:szCs w:val="24"/>
        </w:rPr>
        <w:t xml:space="preserve"> show that politicians </w:t>
      </w:r>
      <w:r>
        <w:rPr>
          <w:rFonts w:ascii="Times New Roman" w:hAnsi="Times New Roman"/>
          <w:sz w:val="24"/>
          <w:szCs w:val="24"/>
        </w:rPr>
        <w:t>sometimes choose to ignore the recommendations of independent experts</w:t>
      </w:r>
      <w:r w:rsidRPr="00AE6576">
        <w:rPr>
          <w:rFonts w:ascii="Times New Roman" w:hAnsi="Times New Roman"/>
          <w:sz w:val="24"/>
          <w:szCs w:val="24"/>
        </w:rPr>
        <w:t xml:space="preserve">, despite their pledges of allegiance to evidence-based policy. </w:t>
      </w:r>
      <w:r>
        <w:rPr>
          <w:rFonts w:ascii="Times New Roman" w:hAnsi="Times New Roman"/>
          <w:sz w:val="24"/>
          <w:szCs w:val="24"/>
        </w:rPr>
        <w:t xml:space="preserve">In line with MacCoun’s ninth law, they have ignored ACMD advice when it has been to loosen control, but not when it has been to tighten the ratchet. </w:t>
      </w:r>
      <w:r w:rsidRPr="00AE6576">
        <w:rPr>
          <w:rFonts w:ascii="Times New Roman" w:hAnsi="Times New Roman"/>
          <w:sz w:val="24"/>
          <w:szCs w:val="24"/>
        </w:rPr>
        <w:t xml:space="preserve">Please do not read this paragraph, or indeed this article, as a plea for scientists to be left alone to make policy decisions without reference to </w:t>
      </w:r>
      <w:r>
        <w:rPr>
          <w:rFonts w:ascii="Times New Roman" w:hAnsi="Times New Roman"/>
          <w:sz w:val="24"/>
          <w:szCs w:val="24"/>
        </w:rPr>
        <w:t>the democratic process</w:t>
      </w:r>
      <w:r w:rsidRPr="00AE6576">
        <w:rPr>
          <w:rFonts w:ascii="Times New Roman" w:hAnsi="Times New Roman"/>
          <w:sz w:val="24"/>
          <w:szCs w:val="24"/>
        </w:rPr>
        <w:t>. Please do note the way in which political rhetoric absorbs and reproduces the demand for evidence to be respected, while political practice continues to insert other, unacknowledged interests into the process of decision making.</w:t>
      </w:r>
      <w:r>
        <w:rPr>
          <w:rFonts w:ascii="Times New Roman" w:hAnsi="Times New Roman"/>
          <w:sz w:val="24"/>
          <w:szCs w:val="24"/>
        </w:rPr>
        <w:t xml:space="preserve"> </w:t>
      </w:r>
    </w:p>
    <w:p w:rsidR="00116FE9" w:rsidRDefault="00116FE9" w:rsidP="007510F8">
      <w:pPr>
        <w:spacing w:after="0" w:line="480" w:lineRule="auto"/>
        <w:rPr>
          <w:rFonts w:ascii="Times New Roman" w:hAnsi="Times New Roman"/>
          <w:sz w:val="24"/>
          <w:szCs w:val="24"/>
        </w:rPr>
      </w:pPr>
    </w:p>
    <w:p w:rsidR="00116FE9" w:rsidRPr="00481845" w:rsidRDefault="00116FE9" w:rsidP="007510F8">
      <w:pPr>
        <w:spacing w:after="0" w:line="480" w:lineRule="auto"/>
        <w:rPr>
          <w:rFonts w:ascii="Times New Roman" w:hAnsi="Times New Roman"/>
          <w:i/>
          <w:sz w:val="24"/>
          <w:szCs w:val="24"/>
        </w:rPr>
      </w:pPr>
      <w:r w:rsidRPr="00481845">
        <w:rPr>
          <w:rFonts w:ascii="Times New Roman" w:hAnsi="Times New Roman"/>
          <w:i/>
          <w:sz w:val="24"/>
          <w:szCs w:val="24"/>
        </w:rPr>
        <w:t>Conclusion</w:t>
      </w:r>
    </w:p>
    <w:p w:rsidR="00116FE9" w:rsidRPr="00AE6576" w:rsidRDefault="00116FE9" w:rsidP="007510F8">
      <w:pPr>
        <w:spacing w:after="0" w:line="480" w:lineRule="auto"/>
        <w:rPr>
          <w:rFonts w:ascii="Times New Roman" w:hAnsi="Times New Roman"/>
          <w:sz w:val="24"/>
          <w:szCs w:val="24"/>
        </w:rPr>
      </w:pPr>
    </w:p>
    <w:p w:rsidR="00116FE9" w:rsidRDefault="00116FE9" w:rsidP="007510F8">
      <w:pPr>
        <w:spacing w:after="0" w:line="480" w:lineRule="auto"/>
        <w:rPr>
          <w:rFonts w:ascii="Times New Roman" w:hAnsi="Times New Roman"/>
          <w:sz w:val="24"/>
          <w:szCs w:val="24"/>
        </w:rPr>
      </w:pPr>
      <w:r w:rsidRPr="00AE6576">
        <w:rPr>
          <w:rFonts w:ascii="Times New Roman" w:hAnsi="Times New Roman"/>
          <w:sz w:val="24"/>
          <w:szCs w:val="24"/>
        </w:rPr>
        <w:t xml:space="preserve">Both historical analysis and contemporary ethnographic experience suggests to us that the metaphor of the ratchet is a useful device for understanding developments in drug </w:t>
      </w:r>
      <w:r>
        <w:rPr>
          <w:rFonts w:ascii="Times New Roman" w:hAnsi="Times New Roman"/>
          <w:sz w:val="24"/>
          <w:szCs w:val="24"/>
        </w:rPr>
        <w:t>control</w:t>
      </w:r>
      <w:r w:rsidRPr="00AE6576">
        <w:rPr>
          <w:rFonts w:ascii="Times New Roman" w:hAnsi="Times New Roman"/>
          <w:sz w:val="24"/>
          <w:szCs w:val="24"/>
        </w:rPr>
        <w:t xml:space="preserve"> and classification decisions. Legislative control tends to be tightened. Occasionally, the ratchet slips and </w:t>
      </w:r>
      <w:r>
        <w:rPr>
          <w:rFonts w:ascii="Times New Roman" w:hAnsi="Times New Roman"/>
          <w:sz w:val="24"/>
          <w:szCs w:val="24"/>
        </w:rPr>
        <w:t xml:space="preserve">a </w:t>
      </w:r>
      <w:r w:rsidRPr="00AE6576">
        <w:rPr>
          <w:rFonts w:ascii="Times New Roman" w:hAnsi="Times New Roman"/>
          <w:sz w:val="24"/>
          <w:szCs w:val="24"/>
        </w:rPr>
        <w:t>drug move</w:t>
      </w:r>
      <w:r>
        <w:rPr>
          <w:rFonts w:ascii="Times New Roman" w:hAnsi="Times New Roman"/>
          <w:sz w:val="24"/>
          <w:szCs w:val="24"/>
        </w:rPr>
        <w:t>s</w:t>
      </w:r>
      <w:r w:rsidRPr="00AE6576">
        <w:rPr>
          <w:rFonts w:ascii="Times New Roman" w:hAnsi="Times New Roman"/>
          <w:sz w:val="24"/>
          <w:szCs w:val="24"/>
        </w:rPr>
        <w:t xml:space="preserve"> down a class. But the ratchet is usually re-tightened in due course. </w:t>
      </w:r>
    </w:p>
    <w:p w:rsidR="00116FE9" w:rsidRDefault="00116FE9" w:rsidP="007510F8">
      <w:pPr>
        <w:spacing w:after="0" w:line="480" w:lineRule="auto"/>
        <w:rPr>
          <w:rFonts w:ascii="Times New Roman" w:hAnsi="Times New Roman"/>
          <w:sz w:val="24"/>
          <w:szCs w:val="24"/>
        </w:rPr>
      </w:pPr>
    </w:p>
    <w:p w:rsidR="00116FE9" w:rsidRDefault="00116FE9" w:rsidP="007510F8">
      <w:pPr>
        <w:spacing w:after="0" w:line="480" w:lineRule="auto"/>
        <w:rPr>
          <w:rFonts w:ascii="Times New Roman" w:hAnsi="Times New Roman"/>
          <w:sz w:val="24"/>
          <w:szCs w:val="24"/>
        </w:rPr>
      </w:pPr>
      <w:r>
        <w:rPr>
          <w:rFonts w:ascii="Times New Roman" w:hAnsi="Times New Roman"/>
          <w:sz w:val="24"/>
          <w:szCs w:val="24"/>
        </w:rPr>
        <w:t xml:space="preserve">Some might argue that increasing control is necessary under the precautionary principle; it makes sense to impose control on little-known substances that may turn out to be harmful before a sizeable market emerges. But this principle fails to explain why some relatively well-known substances have been moved to more tightly controlled classes when this is not justified by the evidence of associated harms (e.g. cannabis in 2009, psilocybin mushrooms in 2005 and khat in 2013) and others have not been moved to a less tightly controlled class when evidence suggests that harms may initially have been overestimated (e.g. MDMA). Neither does this principle explain the move towards very restrictive scheduling, nor the move towards blanket generic controls, both of which deny any potential therapeutic or recreational use of NPS which may emerge as relatively low harm </w:t>
      </w:r>
      <w:r>
        <w:rPr>
          <w:rFonts w:ascii="Times New Roman" w:hAnsi="Times New Roman"/>
          <w:noProof/>
          <w:sz w:val="24"/>
          <w:szCs w:val="24"/>
        </w:rPr>
        <w:t>(30)</w:t>
      </w:r>
      <w:r>
        <w:rPr>
          <w:rFonts w:ascii="Times New Roman" w:hAnsi="Times New Roman"/>
          <w:sz w:val="24"/>
          <w:szCs w:val="24"/>
        </w:rPr>
        <w:t xml:space="preserve"> .</w:t>
      </w:r>
    </w:p>
    <w:p w:rsidR="00116FE9" w:rsidRDefault="00116FE9" w:rsidP="007510F8">
      <w:pPr>
        <w:spacing w:after="0" w:line="480" w:lineRule="auto"/>
        <w:rPr>
          <w:rFonts w:ascii="Times New Roman" w:hAnsi="Times New Roman"/>
          <w:sz w:val="24"/>
          <w:szCs w:val="24"/>
        </w:rPr>
      </w:pPr>
    </w:p>
    <w:p w:rsidR="00116FE9" w:rsidRDefault="00116FE9" w:rsidP="007510F8">
      <w:pPr>
        <w:spacing w:after="0" w:line="480" w:lineRule="auto"/>
        <w:rPr>
          <w:rFonts w:ascii="Times New Roman" w:hAnsi="Times New Roman"/>
          <w:sz w:val="24"/>
          <w:szCs w:val="24"/>
        </w:rPr>
      </w:pPr>
      <w:r>
        <w:rPr>
          <w:rFonts w:ascii="Times New Roman" w:hAnsi="Times New Roman"/>
          <w:sz w:val="24"/>
          <w:szCs w:val="24"/>
        </w:rPr>
        <w:t>In contrast, w</w:t>
      </w:r>
      <w:r w:rsidRPr="00AE6576">
        <w:rPr>
          <w:rFonts w:ascii="Times New Roman" w:hAnsi="Times New Roman"/>
          <w:sz w:val="24"/>
          <w:szCs w:val="24"/>
        </w:rPr>
        <w:t xml:space="preserve">e have suggested that </w:t>
      </w:r>
      <w:r>
        <w:rPr>
          <w:rFonts w:ascii="Times New Roman" w:hAnsi="Times New Roman"/>
          <w:sz w:val="24"/>
          <w:szCs w:val="24"/>
        </w:rPr>
        <w:t>the ratchet</w:t>
      </w:r>
      <w:r w:rsidRPr="00AE6576">
        <w:rPr>
          <w:rFonts w:ascii="Times New Roman" w:hAnsi="Times New Roman"/>
          <w:sz w:val="24"/>
          <w:szCs w:val="24"/>
        </w:rPr>
        <w:t xml:space="preserve"> can be explained by </w:t>
      </w:r>
      <w:r>
        <w:rPr>
          <w:rFonts w:ascii="Times New Roman" w:hAnsi="Times New Roman"/>
          <w:sz w:val="24"/>
          <w:szCs w:val="24"/>
        </w:rPr>
        <w:t>long standing tendencies</w:t>
      </w:r>
      <w:r w:rsidRPr="00AE6576">
        <w:rPr>
          <w:rFonts w:ascii="Times New Roman" w:hAnsi="Times New Roman"/>
          <w:sz w:val="24"/>
          <w:szCs w:val="24"/>
        </w:rPr>
        <w:t xml:space="preserve"> to </w:t>
      </w:r>
      <w:r>
        <w:rPr>
          <w:rFonts w:ascii="Times New Roman" w:hAnsi="Times New Roman"/>
          <w:sz w:val="24"/>
          <w:szCs w:val="24"/>
        </w:rPr>
        <w:t>criminalise users of</w:t>
      </w:r>
      <w:r w:rsidRPr="00AE6576">
        <w:rPr>
          <w:rFonts w:ascii="Times New Roman" w:hAnsi="Times New Roman"/>
          <w:sz w:val="24"/>
          <w:szCs w:val="24"/>
        </w:rPr>
        <w:t xml:space="preserve"> psychoactive substances that become associated with </w:t>
      </w:r>
      <w:r>
        <w:rPr>
          <w:rFonts w:ascii="Times New Roman" w:hAnsi="Times New Roman"/>
          <w:sz w:val="24"/>
          <w:szCs w:val="24"/>
        </w:rPr>
        <w:t>stigmatised</w:t>
      </w:r>
      <w:r w:rsidRPr="00AE6576">
        <w:rPr>
          <w:rFonts w:ascii="Times New Roman" w:hAnsi="Times New Roman"/>
          <w:sz w:val="24"/>
          <w:szCs w:val="24"/>
        </w:rPr>
        <w:t xml:space="preserve"> groups, with mental illness or with chemically similar substances that have been banned</w:t>
      </w:r>
      <w:r>
        <w:rPr>
          <w:rFonts w:ascii="Times New Roman" w:hAnsi="Times New Roman"/>
          <w:sz w:val="24"/>
          <w:szCs w:val="24"/>
        </w:rPr>
        <w:t xml:space="preserve"> already</w:t>
      </w:r>
      <w:r w:rsidRPr="00AE6576">
        <w:rPr>
          <w:rFonts w:ascii="Times New Roman" w:hAnsi="Times New Roman"/>
          <w:sz w:val="24"/>
          <w:szCs w:val="24"/>
        </w:rPr>
        <w:t>.  In addition, there are patterns of speech and action within the</w:t>
      </w:r>
      <w:r>
        <w:rPr>
          <w:rFonts w:ascii="Times New Roman" w:hAnsi="Times New Roman"/>
          <w:sz w:val="24"/>
          <w:szCs w:val="24"/>
        </w:rPr>
        <w:t xml:space="preserve"> contemporary</w:t>
      </w:r>
      <w:r w:rsidRPr="00AE6576">
        <w:rPr>
          <w:rFonts w:ascii="Times New Roman" w:hAnsi="Times New Roman"/>
          <w:sz w:val="24"/>
          <w:szCs w:val="24"/>
        </w:rPr>
        <w:t xml:space="preserve"> ‘thoughtworld’ </w:t>
      </w:r>
      <w:r>
        <w:rPr>
          <w:rFonts w:ascii="Times New Roman" w:hAnsi="Times New Roman"/>
          <w:noProof/>
          <w:sz w:val="24"/>
          <w:szCs w:val="24"/>
        </w:rPr>
        <w:t>(31)</w:t>
      </w:r>
      <w:r w:rsidRPr="00AE6576">
        <w:rPr>
          <w:rFonts w:ascii="Times New Roman" w:hAnsi="Times New Roman"/>
          <w:sz w:val="24"/>
          <w:szCs w:val="24"/>
        </w:rPr>
        <w:t xml:space="preserve"> of civil servants and politicians that tend to extend, rather than limit, the scope of legislative control of </w:t>
      </w:r>
      <w:r>
        <w:rPr>
          <w:rFonts w:ascii="Times New Roman" w:hAnsi="Times New Roman"/>
          <w:sz w:val="24"/>
          <w:szCs w:val="24"/>
        </w:rPr>
        <w:t>NPS. This is evident in, among other developments, the shift to TCDOs and generic controls</w:t>
      </w:r>
      <w:r w:rsidRPr="00AE6576">
        <w:rPr>
          <w:rFonts w:ascii="Times New Roman" w:hAnsi="Times New Roman"/>
          <w:sz w:val="24"/>
          <w:szCs w:val="24"/>
        </w:rPr>
        <w:t xml:space="preserve">. </w:t>
      </w:r>
    </w:p>
    <w:p w:rsidR="00116FE9" w:rsidRDefault="00116FE9" w:rsidP="007510F8">
      <w:pPr>
        <w:spacing w:after="0" w:line="480" w:lineRule="auto"/>
        <w:rPr>
          <w:rFonts w:ascii="Times New Roman" w:hAnsi="Times New Roman"/>
          <w:sz w:val="24"/>
          <w:szCs w:val="24"/>
        </w:rPr>
      </w:pPr>
    </w:p>
    <w:p w:rsidR="00116FE9" w:rsidRPr="00AE6576" w:rsidRDefault="00116FE9" w:rsidP="007510F8">
      <w:pPr>
        <w:spacing w:after="0" w:line="480" w:lineRule="auto"/>
        <w:rPr>
          <w:rFonts w:ascii="Times New Roman" w:hAnsi="Times New Roman"/>
          <w:sz w:val="24"/>
          <w:szCs w:val="24"/>
        </w:rPr>
      </w:pPr>
      <w:r w:rsidRPr="00AE6576">
        <w:rPr>
          <w:rFonts w:ascii="Times New Roman" w:hAnsi="Times New Roman"/>
          <w:sz w:val="24"/>
          <w:szCs w:val="24"/>
        </w:rPr>
        <w:t xml:space="preserve">This is not a fully determined, inevitable process. It can be contested by a range of researchers, writers and activists. We suggest that recognition of the ratchet and some of the ways in which it works can help us to use evidence and public deliberation to better fit drug policies to the prospects of reducing harms.  </w:t>
      </w:r>
    </w:p>
    <w:p w:rsidR="00116FE9" w:rsidRDefault="00116FE9" w:rsidP="007510F8">
      <w:pPr>
        <w:spacing w:after="0" w:line="480" w:lineRule="auto"/>
        <w:rPr>
          <w:rFonts w:ascii="Times New Roman" w:hAnsi="Times New Roman"/>
          <w:sz w:val="24"/>
          <w:szCs w:val="24"/>
        </w:rPr>
      </w:pPr>
    </w:p>
    <w:p w:rsidR="00116FE9" w:rsidRDefault="00116FE9" w:rsidP="007510F8">
      <w:pPr>
        <w:spacing w:after="0" w:line="480" w:lineRule="auto"/>
        <w:rPr>
          <w:rFonts w:ascii="Times New Roman" w:hAnsi="Times New Roman"/>
          <w:sz w:val="24"/>
          <w:szCs w:val="24"/>
        </w:rPr>
      </w:pPr>
    </w:p>
    <w:p w:rsidR="00116FE9" w:rsidRDefault="00116FE9" w:rsidP="007510F8">
      <w:pPr>
        <w:spacing w:after="0" w:line="480" w:lineRule="auto"/>
        <w:rPr>
          <w:rFonts w:ascii="Times New Roman" w:hAnsi="Times New Roman"/>
          <w:sz w:val="24"/>
          <w:szCs w:val="24"/>
        </w:rPr>
      </w:pPr>
    </w:p>
    <w:p w:rsidR="00116FE9" w:rsidRPr="00481845" w:rsidRDefault="00CE6CA3" w:rsidP="007510F8">
      <w:pPr>
        <w:spacing w:after="0" w:line="480" w:lineRule="auto"/>
        <w:rPr>
          <w:rFonts w:ascii="Times New Roman" w:hAnsi="Times New Roman"/>
          <w:i/>
          <w:sz w:val="24"/>
          <w:szCs w:val="24"/>
        </w:rPr>
      </w:pPr>
      <w:r>
        <w:rPr>
          <w:rFonts w:ascii="Times New Roman" w:hAnsi="Times New Roman"/>
          <w:i/>
          <w:sz w:val="24"/>
          <w:szCs w:val="24"/>
        </w:rPr>
        <w:t>Acknowledgement</w:t>
      </w:r>
    </w:p>
    <w:p w:rsidR="00116FE9" w:rsidRDefault="00116FE9" w:rsidP="007510F8">
      <w:pPr>
        <w:spacing w:after="0" w:line="480" w:lineRule="auto"/>
        <w:rPr>
          <w:rFonts w:ascii="Times New Roman" w:hAnsi="Times New Roman"/>
          <w:sz w:val="24"/>
          <w:szCs w:val="24"/>
        </w:rPr>
      </w:pPr>
    </w:p>
    <w:p w:rsidR="00116FE9" w:rsidRDefault="00116FE9" w:rsidP="007510F8">
      <w:pPr>
        <w:spacing w:after="0" w:line="480" w:lineRule="auto"/>
        <w:rPr>
          <w:rFonts w:ascii="Times New Roman" w:hAnsi="Times New Roman"/>
          <w:sz w:val="24"/>
          <w:szCs w:val="24"/>
        </w:rPr>
      </w:pPr>
      <w:r>
        <w:rPr>
          <w:rFonts w:ascii="Times New Roman" w:hAnsi="Times New Roman"/>
          <w:sz w:val="24"/>
          <w:szCs w:val="24"/>
        </w:rPr>
        <w:t>We gratefully acknowledge the valuable advice that we have received from Dr Leslie King on the recent history of drug classification, but would not wish that any errors in this article be associated with him.</w:t>
      </w:r>
    </w:p>
    <w:p w:rsidR="00C1353C" w:rsidRDefault="00C1353C" w:rsidP="00C1353C">
      <w:pPr>
        <w:spacing w:after="0" w:line="480" w:lineRule="auto"/>
        <w:rPr>
          <w:rFonts w:ascii="Times New Roman" w:hAnsi="Times New Roman"/>
          <w:i/>
          <w:sz w:val="24"/>
          <w:szCs w:val="24"/>
        </w:rPr>
      </w:pPr>
    </w:p>
    <w:p w:rsidR="00C1353C" w:rsidRDefault="00C1353C" w:rsidP="00C1353C">
      <w:pPr>
        <w:spacing w:after="0" w:line="480" w:lineRule="auto"/>
        <w:rPr>
          <w:rFonts w:ascii="Times New Roman" w:hAnsi="Times New Roman"/>
          <w:i/>
          <w:sz w:val="24"/>
          <w:szCs w:val="24"/>
        </w:rPr>
      </w:pPr>
    </w:p>
    <w:p w:rsidR="00C1353C" w:rsidRPr="00481845" w:rsidRDefault="00C1353C" w:rsidP="00C1353C">
      <w:pPr>
        <w:spacing w:after="0" w:line="480" w:lineRule="auto"/>
        <w:rPr>
          <w:rFonts w:ascii="Times New Roman" w:hAnsi="Times New Roman"/>
          <w:i/>
          <w:sz w:val="24"/>
          <w:szCs w:val="24"/>
        </w:rPr>
      </w:pPr>
      <w:r w:rsidRPr="00481845">
        <w:rPr>
          <w:rFonts w:ascii="Times New Roman" w:hAnsi="Times New Roman"/>
          <w:i/>
          <w:sz w:val="24"/>
          <w:szCs w:val="24"/>
        </w:rPr>
        <w:t>References</w:t>
      </w:r>
    </w:p>
    <w:p w:rsidR="00C1353C" w:rsidRPr="00C1353C" w:rsidRDefault="00C1353C" w:rsidP="00C1353C">
      <w:pPr>
        <w:spacing w:after="0" w:line="480" w:lineRule="auto"/>
        <w:rPr>
          <w:rFonts w:ascii="Times New Roman" w:hAnsi="Times New Roman"/>
          <w:sz w:val="24"/>
          <w:szCs w:val="24"/>
        </w:rPr>
      </w:pPr>
    </w:p>
    <w:p w:rsidR="00C1353C" w:rsidRPr="00C1353C" w:rsidRDefault="00C1353C" w:rsidP="00F975F3">
      <w:pPr>
        <w:spacing w:after="0" w:line="480" w:lineRule="auto"/>
        <w:ind w:left="720" w:hanging="720"/>
        <w:rPr>
          <w:rFonts w:ascii="Times New Roman" w:hAnsi="Times New Roman"/>
          <w:noProof/>
          <w:sz w:val="24"/>
          <w:szCs w:val="24"/>
        </w:rPr>
      </w:pPr>
      <w:bookmarkStart w:id="1" w:name="_ENREF_1"/>
      <w:r w:rsidRPr="00C1353C">
        <w:rPr>
          <w:rFonts w:ascii="Times New Roman" w:hAnsi="Times New Roman"/>
          <w:noProof/>
          <w:sz w:val="24"/>
          <w:szCs w:val="24"/>
        </w:rPr>
        <w:t>1.</w:t>
      </w:r>
      <w:r w:rsidRPr="00C1353C">
        <w:rPr>
          <w:rFonts w:ascii="Times New Roman" w:hAnsi="Times New Roman"/>
          <w:noProof/>
          <w:sz w:val="24"/>
          <w:szCs w:val="24"/>
        </w:rPr>
        <w:tab/>
        <w:t xml:space="preserve">Reuter P. The dangerous charms of the unknown. </w:t>
      </w:r>
      <w:r w:rsidRPr="00F975F3">
        <w:rPr>
          <w:rFonts w:ascii="Times New Roman" w:hAnsi="Times New Roman"/>
          <w:i/>
          <w:noProof/>
          <w:sz w:val="24"/>
          <w:szCs w:val="24"/>
        </w:rPr>
        <w:t>Addiction</w:t>
      </w:r>
      <w:r w:rsidRPr="00C1353C">
        <w:rPr>
          <w:rFonts w:ascii="Times New Roman" w:hAnsi="Times New Roman"/>
          <w:noProof/>
          <w:sz w:val="24"/>
          <w:szCs w:val="24"/>
        </w:rPr>
        <w:t>. 2012;107(11):1902-3.</w:t>
      </w:r>
      <w:bookmarkEnd w:id="1"/>
    </w:p>
    <w:p w:rsidR="00C1353C" w:rsidRPr="00C1353C" w:rsidRDefault="00C1353C" w:rsidP="00F975F3">
      <w:pPr>
        <w:spacing w:after="0" w:line="480" w:lineRule="auto"/>
        <w:ind w:left="720" w:hanging="720"/>
        <w:rPr>
          <w:rFonts w:ascii="Times New Roman" w:hAnsi="Times New Roman"/>
          <w:noProof/>
          <w:sz w:val="24"/>
          <w:szCs w:val="24"/>
        </w:rPr>
      </w:pPr>
      <w:bookmarkStart w:id="2" w:name="_ENREF_2"/>
      <w:r w:rsidRPr="00C1353C">
        <w:rPr>
          <w:rFonts w:ascii="Times New Roman" w:hAnsi="Times New Roman"/>
          <w:noProof/>
          <w:sz w:val="24"/>
          <w:szCs w:val="24"/>
        </w:rPr>
        <w:t>2.</w:t>
      </w:r>
      <w:r w:rsidRPr="00C1353C">
        <w:rPr>
          <w:rFonts w:ascii="Times New Roman" w:hAnsi="Times New Roman"/>
          <w:noProof/>
          <w:sz w:val="24"/>
          <w:szCs w:val="24"/>
        </w:rPr>
        <w:tab/>
        <w:t xml:space="preserve">Kleiman MAR. Commentary on Coulson &amp; Caulkins (2012): Optimizing drug scheduling. </w:t>
      </w:r>
      <w:r w:rsidRPr="00F975F3">
        <w:rPr>
          <w:rFonts w:ascii="Times New Roman" w:hAnsi="Times New Roman"/>
          <w:i/>
          <w:noProof/>
          <w:sz w:val="24"/>
          <w:szCs w:val="24"/>
        </w:rPr>
        <w:t>Addiction</w:t>
      </w:r>
      <w:r w:rsidRPr="00C1353C">
        <w:rPr>
          <w:rFonts w:ascii="Times New Roman" w:hAnsi="Times New Roman"/>
          <w:noProof/>
          <w:sz w:val="24"/>
          <w:szCs w:val="24"/>
        </w:rPr>
        <w:t>. 2012;107(4):774-5.</w:t>
      </w:r>
      <w:bookmarkEnd w:id="2"/>
    </w:p>
    <w:p w:rsidR="00C1353C" w:rsidRPr="00C1353C" w:rsidRDefault="00C1353C" w:rsidP="00F975F3">
      <w:pPr>
        <w:spacing w:after="0" w:line="480" w:lineRule="auto"/>
        <w:ind w:left="720" w:hanging="720"/>
        <w:rPr>
          <w:rFonts w:ascii="Times New Roman" w:hAnsi="Times New Roman"/>
          <w:noProof/>
          <w:sz w:val="24"/>
          <w:szCs w:val="24"/>
        </w:rPr>
      </w:pPr>
      <w:bookmarkStart w:id="3" w:name="_ENREF_3"/>
      <w:r w:rsidRPr="00C1353C">
        <w:rPr>
          <w:rFonts w:ascii="Times New Roman" w:hAnsi="Times New Roman"/>
          <w:noProof/>
          <w:sz w:val="24"/>
          <w:szCs w:val="24"/>
        </w:rPr>
        <w:t>3.</w:t>
      </w:r>
      <w:r w:rsidRPr="00C1353C">
        <w:rPr>
          <w:rFonts w:ascii="Times New Roman" w:hAnsi="Times New Roman"/>
          <w:noProof/>
          <w:sz w:val="24"/>
          <w:szCs w:val="24"/>
        </w:rPr>
        <w:tab/>
        <w:t xml:space="preserve">Hughes B, Winstock AR. Controlling new drugs under marketing regulations. </w:t>
      </w:r>
      <w:r w:rsidRPr="00F975F3">
        <w:rPr>
          <w:rFonts w:ascii="Times New Roman" w:hAnsi="Times New Roman"/>
          <w:i/>
          <w:noProof/>
          <w:sz w:val="24"/>
          <w:szCs w:val="24"/>
        </w:rPr>
        <w:t>Addiction</w:t>
      </w:r>
      <w:r w:rsidRPr="00C1353C">
        <w:rPr>
          <w:rFonts w:ascii="Times New Roman" w:hAnsi="Times New Roman"/>
          <w:noProof/>
          <w:sz w:val="24"/>
          <w:szCs w:val="24"/>
        </w:rPr>
        <w:t>. 2012;107(11):1894-9.</w:t>
      </w:r>
      <w:bookmarkEnd w:id="3"/>
    </w:p>
    <w:p w:rsidR="00C1353C" w:rsidRPr="00C1353C" w:rsidRDefault="00C1353C" w:rsidP="00F975F3">
      <w:pPr>
        <w:spacing w:after="0" w:line="480" w:lineRule="auto"/>
        <w:ind w:left="720" w:hanging="720"/>
        <w:rPr>
          <w:rFonts w:ascii="Times New Roman" w:hAnsi="Times New Roman"/>
          <w:noProof/>
          <w:sz w:val="24"/>
          <w:szCs w:val="24"/>
        </w:rPr>
      </w:pPr>
      <w:bookmarkStart w:id="4" w:name="_ENREF_4"/>
      <w:r w:rsidRPr="00C1353C">
        <w:rPr>
          <w:rFonts w:ascii="Times New Roman" w:hAnsi="Times New Roman"/>
          <w:noProof/>
          <w:sz w:val="24"/>
          <w:szCs w:val="24"/>
        </w:rPr>
        <w:t>4.</w:t>
      </w:r>
      <w:r w:rsidRPr="00C1353C">
        <w:rPr>
          <w:rFonts w:ascii="Times New Roman" w:hAnsi="Times New Roman"/>
          <w:noProof/>
          <w:sz w:val="24"/>
          <w:szCs w:val="24"/>
        </w:rPr>
        <w:tab/>
        <w:t xml:space="preserve">Coulson C, Caulkins JP. Scheduling of newly emerging drugs: a critical review of decisions over 40 years. </w:t>
      </w:r>
      <w:r w:rsidRPr="00F975F3">
        <w:rPr>
          <w:rFonts w:ascii="Times New Roman" w:hAnsi="Times New Roman"/>
          <w:i/>
          <w:noProof/>
          <w:sz w:val="24"/>
          <w:szCs w:val="24"/>
        </w:rPr>
        <w:t>Addiction</w:t>
      </w:r>
      <w:r w:rsidRPr="00C1353C">
        <w:rPr>
          <w:rFonts w:ascii="Times New Roman" w:hAnsi="Times New Roman"/>
          <w:noProof/>
          <w:sz w:val="24"/>
          <w:szCs w:val="24"/>
        </w:rPr>
        <w:t>. 2012;107(4):766-73.</w:t>
      </w:r>
      <w:bookmarkEnd w:id="4"/>
    </w:p>
    <w:p w:rsidR="00C1353C" w:rsidRPr="00C1353C" w:rsidRDefault="00C1353C" w:rsidP="00F975F3">
      <w:pPr>
        <w:spacing w:after="0" w:line="480" w:lineRule="auto"/>
        <w:ind w:left="720" w:hanging="720"/>
        <w:rPr>
          <w:rFonts w:ascii="Times New Roman" w:hAnsi="Times New Roman"/>
          <w:noProof/>
          <w:sz w:val="24"/>
          <w:szCs w:val="24"/>
        </w:rPr>
      </w:pPr>
      <w:bookmarkStart w:id="5" w:name="_ENREF_5"/>
      <w:r w:rsidRPr="00C1353C">
        <w:rPr>
          <w:rFonts w:ascii="Times New Roman" w:hAnsi="Times New Roman"/>
          <w:noProof/>
          <w:sz w:val="24"/>
          <w:szCs w:val="24"/>
        </w:rPr>
        <w:t>5.</w:t>
      </w:r>
      <w:r w:rsidRPr="00C1353C">
        <w:rPr>
          <w:rFonts w:ascii="Times New Roman" w:hAnsi="Times New Roman"/>
          <w:noProof/>
          <w:sz w:val="24"/>
          <w:szCs w:val="24"/>
        </w:rPr>
        <w:tab/>
        <w:t xml:space="preserve">MacCoun RJ, Reuter P. </w:t>
      </w:r>
      <w:r w:rsidRPr="00F975F3">
        <w:rPr>
          <w:rFonts w:ascii="Times New Roman" w:hAnsi="Times New Roman"/>
          <w:i/>
          <w:noProof/>
          <w:sz w:val="24"/>
          <w:szCs w:val="24"/>
        </w:rPr>
        <w:t>Drug War Heresies: Learning from Other Vices, Times, &amp; Places</w:t>
      </w:r>
      <w:r w:rsidRPr="00C1353C">
        <w:rPr>
          <w:rFonts w:ascii="Times New Roman" w:hAnsi="Times New Roman"/>
          <w:noProof/>
          <w:sz w:val="24"/>
          <w:szCs w:val="24"/>
        </w:rPr>
        <w:t>. Cambridge: Cambridge University Press; 2001.</w:t>
      </w:r>
      <w:bookmarkEnd w:id="5"/>
    </w:p>
    <w:p w:rsidR="00C1353C" w:rsidRPr="00C1353C" w:rsidRDefault="00C1353C" w:rsidP="00F975F3">
      <w:pPr>
        <w:spacing w:after="0" w:line="480" w:lineRule="auto"/>
        <w:ind w:left="720" w:hanging="720"/>
        <w:rPr>
          <w:rFonts w:ascii="Times New Roman" w:hAnsi="Times New Roman"/>
          <w:noProof/>
          <w:sz w:val="24"/>
          <w:szCs w:val="24"/>
        </w:rPr>
      </w:pPr>
      <w:bookmarkStart w:id="6" w:name="_ENREF_6"/>
      <w:r w:rsidRPr="00C1353C">
        <w:rPr>
          <w:rFonts w:ascii="Times New Roman" w:hAnsi="Times New Roman"/>
          <w:noProof/>
          <w:sz w:val="24"/>
          <w:szCs w:val="24"/>
        </w:rPr>
        <w:t>6.</w:t>
      </w:r>
      <w:r w:rsidRPr="00C1353C">
        <w:rPr>
          <w:rFonts w:ascii="Times New Roman" w:hAnsi="Times New Roman"/>
          <w:noProof/>
          <w:sz w:val="24"/>
          <w:szCs w:val="24"/>
        </w:rPr>
        <w:tab/>
        <w:t xml:space="preserve">Costa AM. </w:t>
      </w:r>
      <w:r w:rsidRPr="00F975F3">
        <w:rPr>
          <w:rFonts w:ascii="Times New Roman" w:hAnsi="Times New Roman"/>
          <w:i/>
          <w:noProof/>
          <w:sz w:val="24"/>
          <w:szCs w:val="24"/>
        </w:rPr>
        <w:t>Making drug control ‘fit for purpose’:</w:t>
      </w:r>
      <w:r w:rsidRPr="00C1353C">
        <w:rPr>
          <w:rFonts w:ascii="Times New Roman" w:hAnsi="Times New Roman"/>
          <w:noProof/>
          <w:sz w:val="24"/>
          <w:szCs w:val="24"/>
        </w:rPr>
        <w:t xml:space="preserve"> </w:t>
      </w:r>
      <w:r w:rsidRPr="00F975F3">
        <w:rPr>
          <w:rFonts w:ascii="Times New Roman" w:hAnsi="Times New Roman"/>
          <w:i/>
          <w:noProof/>
          <w:sz w:val="24"/>
          <w:szCs w:val="24"/>
        </w:rPr>
        <w:t>Building on the UNGASS decade. Report by the Executive Director of the United Nations Office on Drugs and Crime as a contribution to the review of the twentieth special session of the General Assembly</w:t>
      </w:r>
      <w:r w:rsidRPr="00C1353C">
        <w:rPr>
          <w:rFonts w:ascii="Times New Roman" w:hAnsi="Times New Roman"/>
          <w:noProof/>
          <w:sz w:val="24"/>
          <w:szCs w:val="24"/>
        </w:rPr>
        <w:t>. Vienna: United Nations Office on Drugs and Crime; 2008.</w:t>
      </w:r>
      <w:bookmarkEnd w:id="6"/>
    </w:p>
    <w:p w:rsidR="00C1353C" w:rsidRPr="00C1353C" w:rsidRDefault="00C1353C" w:rsidP="00F975F3">
      <w:pPr>
        <w:spacing w:after="0" w:line="480" w:lineRule="auto"/>
        <w:ind w:left="720" w:hanging="720"/>
        <w:rPr>
          <w:rFonts w:ascii="Times New Roman" w:hAnsi="Times New Roman"/>
          <w:noProof/>
          <w:sz w:val="24"/>
          <w:szCs w:val="24"/>
        </w:rPr>
      </w:pPr>
      <w:bookmarkStart w:id="7" w:name="_ENREF_7"/>
      <w:r w:rsidRPr="00C1353C">
        <w:rPr>
          <w:rFonts w:ascii="Times New Roman" w:hAnsi="Times New Roman"/>
          <w:noProof/>
          <w:sz w:val="24"/>
          <w:szCs w:val="24"/>
        </w:rPr>
        <w:t>7.</w:t>
      </w:r>
      <w:r w:rsidRPr="00C1353C">
        <w:rPr>
          <w:rFonts w:ascii="Times New Roman" w:hAnsi="Times New Roman"/>
          <w:noProof/>
          <w:sz w:val="24"/>
          <w:szCs w:val="24"/>
        </w:rPr>
        <w:tab/>
        <w:t xml:space="preserve">van Amsterdam J, Nutt D, van den Brink W. Generic legislation of new psychoactive drugs. </w:t>
      </w:r>
      <w:r w:rsidRPr="00F975F3">
        <w:rPr>
          <w:rFonts w:ascii="Times New Roman" w:hAnsi="Times New Roman"/>
          <w:i/>
          <w:noProof/>
          <w:sz w:val="24"/>
          <w:szCs w:val="24"/>
        </w:rPr>
        <w:t>Journal of Psychopharmacology</w:t>
      </w:r>
      <w:r w:rsidRPr="00C1353C">
        <w:rPr>
          <w:rFonts w:ascii="Times New Roman" w:hAnsi="Times New Roman"/>
          <w:noProof/>
          <w:sz w:val="24"/>
          <w:szCs w:val="24"/>
        </w:rPr>
        <w:t>. 2013;27(3):317-24.</w:t>
      </w:r>
      <w:bookmarkEnd w:id="7"/>
    </w:p>
    <w:p w:rsidR="00C1353C" w:rsidRPr="00C1353C" w:rsidRDefault="00C1353C" w:rsidP="00F975F3">
      <w:pPr>
        <w:spacing w:after="0" w:line="480" w:lineRule="auto"/>
        <w:ind w:left="720" w:hanging="720"/>
        <w:rPr>
          <w:rFonts w:ascii="Times New Roman" w:hAnsi="Times New Roman"/>
          <w:noProof/>
          <w:sz w:val="24"/>
          <w:szCs w:val="24"/>
        </w:rPr>
      </w:pPr>
      <w:bookmarkStart w:id="8" w:name="_ENREF_8"/>
      <w:r w:rsidRPr="00C1353C">
        <w:rPr>
          <w:rFonts w:ascii="Times New Roman" w:hAnsi="Times New Roman"/>
          <w:noProof/>
          <w:sz w:val="24"/>
          <w:szCs w:val="24"/>
        </w:rPr>
        <w:t>8.</w:t>
      </w:r>
      <w:r w:rsidRPr="00C1353C">
        <w:rPr>
          <w:rFonts w:ascii="Times New Roman" w:hAnsi="Times New Roman"/>
          <w:noProof/>
          <w:sz w:val="24"/>
          <w:szCs w:val="24"/>
        </w:rPr>
        <w:tab/>
        <w:t xml:space="preserve">Maccoun RJ. The implicit rules of evidence-based policy, updated. </w:t>
      </w:r>
      <w:r w:rsidRPr="00F975F3">
        <w:rPr>
          <w:rFonts w:ascii="Times New Roman" w:hAnsi="Times New Roman"/>
          <w:i/>
          <w:noProof/>
          <w:sz w:val="24"/>
          <w:szCs w:val="24"/>
        </w:rPr>
        <w:t>Addiction</w:t>
      </w:r>
      <w:r w:rsidRPr="00C1353C">
        <w:rPr>
          <w:rFonts w:ascii="Times New Roman" w:hAnsi="Times New Roman"/>
          <w:noProof/>
          <w:sz w:val="24"/>
          <w:szCs w:val="24"/>
        </w:rPr>
        <w:t>. 2010;105(8):1335-6.</w:t>
      </w:r>
      <w:bookmarkEnd w:id="8"/>
    </w:p>
    <w:p w:rsidR="00C1353C" w:rsidRPr="00C1353C" w:rsidRDefault="00C1353C" w:rsidP="00F975F3">
      <w:pPr>
        <w:spacing w:after="0" w:line="480" w:lineRule="auto"/>
        <w:ind w:left="720" w:hanging="720"/>
        <w:rPr>
          <w:rFonts w:ascii="Times New Roman" w:hAnsi="Times New Roman"/>
          <w:noProof/>
          <w:sz w:val="24"/>
          <w:szCs w:val="24"/>
        </w:rPr>
      </w:pPr>
      <w:bookmarkStart w:id="9" w:name="_ENREF_9"/>
      <w:r w:rsidRPr="00C1353C">
        <w:rPr>
          <w:rFonts w:ascii="Times New Roman" w:hAnsi="Times New Roman"/>
          <w:noProof/>
          <w:sz w:val="24"/>
          <w:szCs w:val="24"/>
        </w:rPr>
        <w:t>9.</w:t>
      </w:r>
      <w:r w:rsidRPr="00C1353C">
        <w:rPr>
          <w:rFonts w:ascii="Times New Roman" w:hAnsi="Times New Roman"/>
          <w:noProof/>
          <w:sz w:val="24"/>
          <w:szCs w:val="24"/>
        </w:rPr>
        <w:tab/>
        <w:t xml:space="preserve">Seddon T. </w:t>
      </w:r>
      <w:r w:rsidRPr="00F975F3">
        <w:rPr>
          <w:rFonts w:ascii="Times New Roman" w:hAnsi="Times New Roman"/>
          <w:i/>
          <w:noProof/>
          <w:sz w:val="24"/>
          <w:szCs w:val="24"/>
        </w:rPr>
        <w:t>A History of Drugs: Drugs and Freedom in the Liberal Age</w:t>
      </w:r>
      <w:r w:rsidRPr="00C1353C">
        <w:rPr>
          <w:rFonts w:ascii="Times New Roman" w:hAnsi="Times New Roman"/>
          <w:noProof/>
          <w:sz w:val="24"/>
          <w:szCs w:val="24"/>
        </w:rPr>
        <w:t>. London: Routledge; 2010.</w:t>
      </w:r>
      <w:bookmarkEnd w:id="9"/>
    </w:p>
    <w:p w:rsidR="00C1353C" w:rsidRPr="00C1353C" w:rsidRDefault="00C1353C" w:rsidP="00F975F3">
      <w:pPr>
        <w:spacing w:after="0" w:line="480" w:lineRule="auto"/>
        <w:ind w:left="720" w:hanging="720"/>
        <w:rPr>
          <w:rFonts w:ascii="Times New Roman" w:hAnsi="Times New Roman"/>
          <w:noProof/>
          <w:sz w:val="24"/>
          <w:szCs w:val="24"/>
        </w:rPr>
      </w:pPr>
      <w:bookmarkStart w:id="10" w:name="_ENREF_10"/>
      <w:r w:rsidRPr="00C1353C">
        <w:rPr>
          <w:rFonts w:ascii="Times New Roman" w:hAnsi="Times New Roman"/>
          <w:noProof/>
          <w:sz w:val="24"/>
          <w:szCs w:val="24"/>
        </w:rPr>
        <w:t>10.</w:t>
      </w:r>
      <w:r w:rsidRPr="00C1353C">
        <w:rPr>
          <w:rFonts w:ascii="Times New Roman" w:hAnsi="Times New Roman"/>
          <w:noProof/>
          <w:sz w:val="24"/>
          <w:szCs w:val="24"/>
        </w:rPr>
        <w:tab/>
        <w:t xml:space="preserve">Courtwright DT. </w:t>
      </w:r>
      <w:r w:rsidRPr="00F975F3">
        <w:rPr>
          <w:rFonts w:ascii="Times New Roman" w:hAnsi="Times New Roman"/>
          <w:i/>
          <w:noProof/>
          <w:sz w:val="24"/>
          <w:szCs w:val="24"/>
        </w:rPr>
        <w:t>Forces of Habit: Drugs and the Making of the Modern World</w:t>
      </w:r>
      <w:r w:rsidRPr="00C1353C">
        <w:rPr>
          <w:rFonts w:ascii="Times New Roman" w:hAnsi="Times New Roman"/>
          <w:noProof/>
          <w:sz w:val="24"/>
          <w:szCs w:val="24"/>
        </w:rPr>
        <w:t>. Cambridge, Mass.: Harvard University Press; 2001.</w:t>
      </w:r>
      <w:bookmarkEnd w:id="10"/>
    </w:p>
    <w:p w:rsidR="00C1353C" w:rsidRPr="00C1353C" w:rsidRDefault="00C1353C" w:rsidP="00F975F3">
      <w:pPr>
        <w:spacing w:after="0" w:line="480" w:lineRule="auto"/>
        <w:ind w:left="720" w:hanging="720"/>
        <w:rPr>
          <w:rFonts w:ascii="Times New Roman" w:hAnsi="Times New Roman"/>
          <w:noProof/>
          <w:sz w:val="24"/>
          <w:szCs w:val="24"/>
        </w:rPr>
      </w:pPr>
      <w:bookmarkStart w:id="11" w:name="_ENREF_11"/>
      <w:r w:rsidRPr="00C1353C">
        <w:rPr>
          <w:rFonts w:ascii="Times New Roman" w:hAnsi="Times New Roman"/>
          <w:noProof/>
          <w:sz w:val="24"/>
          <w:szCs w:val="24"/>
        </w:rPr>
        <w:t>11.</w:t>
      </w:r>
      <w:r w:rsidRPr="00C1353C">
        <w:rPr>
          <w:rFonts w:ascii="Times New Roman" w:hAnsi="Times New Roman"/>
          <w:noProof/>
          <w:sz w:val="24"/>
          <w:szCs w:val="24"/>
        </w:rPr>
        <w:tab/>
        <w:t xml:space="preserve">Courtwright DT. Why We Make War on Some Drugs but not Others. In: Collins J, editor. </w:t>
      </w:r>
      <w:r w:rsidRPr="00F975F3">
        <w:rPr>
          <w:rFonts w:ascii="Times New Roman" w:hAnsi="Times New Roman"/>
          <w:i/>
          <w:noProof/>
          <w:sz w:val="24"/>
          <w:szCs w:val="24"/>
        </w:rPr>
        <w:t>Governing the Global Drug Wars</w:t>
      </w:r>
      <w:r w:rsidRPr="00C1353C">
        <w:rPr>
          <w:rFonts w:ascii="Times New Roman" w:hAnsi="Times New Roman"/>
          <w:noProof/>
          <w:sz w:val="24"/>
          <w:szCs w:val="24"/>
        </w:rPr>
        <w:t>. London: LSE IDEAS; 2012.</w:t>
      </w:r>
      <w:bookmarkEnd w:id="11"/>
    </w:p>
    <w:p w:rsidR="00C1353C" w:rsidRPr="00C1353C" w:rsidRDefault="00C1353C" w:rsidP="00F975F3">
      <w:pPr>
        <w:spacing w:after="0" w:line="480" w:lineRule="auto"/>
        <w:ind w:left="720" w:hanging="720"/>
        <w:rPr>
          <w:rFonts w:ascii="Times New Roman" w:hAnsi="Times New Roman"/>
          <w:noProof/>
          <w:sz w:val="24"/>
          <w:szCs w:val="24"/>
        </w:rPr>
      </w:pPr>
      <w:bookmarkStart w:id="12" w:name="_ENREF_12"/>
      <w:r w:rsidRPr="00C1353C">
        <w:rPr>
          <w:rFonts w:ascii="Times New Roman" w:hAnsi="Times New Roman"/>
          <w:noProof/>
          <w:sz w:val="24"/>
          <w:szCs w:val="24"/>
        </w:rPr>
        <w:t>12.</w:t>
      </w:r>
      <w:r w:rsidRPr="00C1353C">
        <w:rPr>
          <w:rFonts w:ascii="Times New Roman" w:hAnsi="Times New Roman"/>
          <w:noProof/>
          <w:sz w:val="24"/>
          <w:szCs w:val="24"/>
        </w:rPr>
        <w:tab/>
        <w:t xml:space="preserve">Bonnie RJ, Whitebread CH. </w:t>
      </w:r>
      <w:r w:rsidRPr="00F975F3">
        <w:rPr>
          <w:rFonts w:ascii="Times New Roman" w:hAnsi="Times New Roman"/>
          <w:i/>
          <w:noProof/>
          <w:sz w:val="24"/>
          <w:szCs w:val="24"/>
        </w:rPr>
        <w:t>The Marihuana Conviction: A History of Marijuana Prohibition in the United States</w:t>
      </w:r>
      <w:r w:rsidRPr="00C1353C">
        <w:rPr>
          <w:rFonts w:ascii="Times New Roman" w:hAnsi="Times New Roman"/>
          <w:noProof/>
          <w:sz w:val="24"/>
          <w:szCs w:val="24"/>
        </w:rPr>
        <w:t>. Charlottesville: University of Virginia Press; 1974.</w:t>
      </w:r>
      <w:bookmarkEnd w:id="12"/>
    </w:p>
    <w:p w:rsidR="00C1353C" w:rsidRPr="00C1353C" w:rsidRDefault="00C1353C" w:rsidP="00F975F3">
      <w:pPr>
        <w:spacing w:after="0" w:line="480" w:lineRule="auto"/>
        <w:ind w:left="720" w:hanging="720"/>
        <w:rPr>
          <w:rFonts w:ascii="Times New Roman" w:hAnsi="Times New Roman"/>
          <w:noProof/>
          <w:sz w:val="24"/>
          <w:szCs w:val="24"/>
        </w:rPr>
      </w:pPr>
      <w:bookmarkStart w:id="13" w:name="_ENREF_13"/>
      <w:r w:rsidRPr="00C1353C">
        <w:rPr>
          <w:rFonts w:ascii="Times New Roman" w:hAnsi="Times New Roman"/>
          <w:noProof/>
          <w:sz w:val="24"/>
          <w:szCs w:val="24"/>
        </w:rPr>
        <w:t>13.</w:t>
      </w:r>
      <w:r w:rsidRPr="00C1353C">
        <w:rPr>
          <w:rFonts w:ascii="Times New Roman" w:hAnsi="Times New Roman"/>
          <w:noProof/>
          <w:sz w:val="24"/>
          <w:szCs w:val="24"/>
        </w:rPr>
        <w:tab/>
        <w:t xml:space="preserve">Mills JH. </w:t>
      </w:r>
      <w:r w:rsidRPr="00F975F3">
        <w:rPr>
          <w:rFonts w:ascii="Times New Roman" w:hAnsi="Times New Roman"/>
          <w:i/>
          <w:noProof/>
          <w:sz w:val="24"/>
          <w:szCs w:val="24"/>
        </w:rPr>
        <w:t>Cannabis Nation: Control and Consumption in Britain, 1928-2008</w:t>
      </w:r>
      <w:r w:rsidRPr="00C1353C">
        <w:rPr>
          <w:rFonts w:ascii="Times New Roman" w:hAnsi="Times New Roman"/>
          <w:noProof/>
          <w:sz w:val="24"/>
          <w:szCs w:val="24"/>
        </w:rPr>
        <w:t>. Oxford: Oxford University Press; 2013.</w:t>
      </w:r>
      <w:bookmarkEnd w:id="13"/>
    </w:p>
    <w:p w:rsidR="00C1353C" w:rsidRPr="00C1353C" w:rsidRDefault="00C1353C" w:rsidP="00F975F3">
      <w:pPr>
        <w:spacing w:after="0" w:line="480" w:lineRule="auto"/>
        <w:ind w:left="720" w:hanging="720"/>
        <w:rPr>
          <w:rFonts w:ascii="Times New Roman" w:hAnsi="Times New Roman"/>
          <w:noProof/>
          <w:sz w:val="24"/>
          <w:szCs w:val="24"/>
        </w:rPr>
      </w:pPr>
      <w:bookmarkStart w:id="14" w:name="_ENREF_14"/>
      <w:r w:rsidRPr="00C1353C">
        <w:rPr>
          <w:rFonts w:ascii="Times New Roman" w:hAnsi="Times New Roman"/>
          <w:noProof/>
          <w:sz w:val="24"/>
          <w:szCs w:val="24"/>
        </w:rPr>
        <w:t>14.</w:t>
      </w:r>
      <w:r w:rsidRPr="00C1353C">
        <w:rPr>
          <w:rFonts w:ascii="Times New Roman" w:hAnsi="Times New Roman"/>
          <w:noProof/>
          <w:sz w:val="24"/>
          <w:szCs w:val="24"/>
        </w:rPr>
        <w:tab/>
        <w:t xml:space="preserve">Kohn M. </w:t>
      </w:r>
      <w:r w:rsidRPr="00F975F3">
        <w:rPr>
          <w:rFonts w:ascii="Times New Roman" w:hAnsi="Times New Roman"/>
          <w:i/>
          <w:noProof/>
          <w:sz w:val="24"/>
          <w:szCs w:val="24"/>
        </w:rPr>
        <w:t>Dope Girls: The Birth of the British Drug Underground</w:t>
      </w:r>
      <w:r w:rsidRPr="00C1353C">
        <w:rPr>
          <w:rFonts w:ascii="Times New Roman" w:hAnsi="Times New Roman"/>
          <w:noProof/>
          <w:sz w:val="24"/>
          <w:szCs w:val="24"/>
        </w:rPr>
        <w:t>. London: Granta Books; 2001.</w:t>
      </w:r>
      <w:bookmarkEnd w:id="14"/>
    </w:p>
    <w:p w:rsidR="00C1353C" w:rsidRPr="00C1353C" w:rsidRDefault="00C1353C" w:rsidP="00F975F3">
      <w:pPr>
        <w:spacing w:after="0" w:line="480" w:lineRule="auto"/>
        <w:ind w:left="720" w:hanging="720"/>
        <w:rPr>
          <w:rFonts w:ascii="Times New Roman" w:hAnsi="Times New Roman"/>
          <w:noProof/>
          <w:sz w:val="24"/>
          <w:szCs w:val="24"/>
        </w:rPr>
      </w:pPr>
      <w:bookmarkStart w:id="15" w:name="_ENREF_15"/>
      <w:r w:rsidRPr="00C1353C">
        <w:rPr>
          <w:rFonts w:ascii="Times New Roman" w:hAnsi="Times New Roman"/>
          <w:noProof/>
          <w:sz w:val="24"/>
          <w:szCs w:val="24"/>
        </w:rPr>
        <w:t>15.</w:t>
      </w:r>
      <w:r w:rsidRPr="00C1353C">
        <w:rPr>
          <w:rFonts w:ascii="Times New Roman" w:hAnsi="Times New Roman"/>
          <w:noProof/>
          <w:sz w:val="24"/>
          <w:szCs w:val="24"/>
        </w:rPr>
        <w:tab/>
        <w:t xml:space="preserve">Mills JH. </w:t>
      </w:r>
      <w:r w:rsidRPr="00F975F3">
        <w:rPr>
          <w:rFonts w:ascii="Times New Roman" w:hAnsi="Times New Roman"/>
          <w:i/>
          <w:noProof/>
          <w:sz w:val="24"/>
          <w:szCs w:val="24"/>
        </w:rPr>
        <w:t>Cannabis Britannica: Empire, Trade and Prohibition, 1800-1928</w:t>
      </w:r>
      <w:r w:rsidRPr="00C1353C">
        <w:rPr>
          <w:rFonts w:ascii="Times New Roman" w:hAnsi="Times New Roman"/>
          <w:noProof/>
          <w:sz w:val="24"/>
          <w:szCs w:val="24"/>
        </w:rPr>
        <w:t>. Oxford: Oxford University Press; 2003.</w:t>
      </w:r>
      <w:bookmarkEnd w:id="15"/>
    </w:p>
    <w:p w:rsidR="00C1353C" w:rsidRPr="00C1353C" w:rsidRDefault="00C1353C" w:rsidP="00F975F3">
      <w:pPr>
        <w:spacing w:after="0" w:line="480" w:lineRule="auto"/>
        <w:ind w:left="720" w:hanging="720"/>
        <w:rPr>
          <w:rFonts w:ascii="Times New Roman" w:hAnsi="Times New Roman"/>
          <w:noProof/>
          <w:sz w:val="24"/>
          <w:szCs w:val="24"/>
        </w:rPr>
      </w:pPr>
      <w:bookmarkStart w:id="16" w:name="_ENREF_16"/>
      <w:r w:rsidRPr="00C1353C">
        <w:rPr>
          <w:rFonts w:ascii="Times New Roman" w:hAnsi="Times New Roman"/>
          <w:noProof/>
          <w:sz w:val="24"/>
          <w:szCs w:val="24"/>
        </w:rPr>
        <w:t>16.</w:t>
      </w:r>
      <w:r w:rsidRPr="00C1353C">
        <w:rPr>
          <w:rFonts w:ascii="Times New Roman" w:hAnsi="Times New Roman"/>
          <w:noProof/>
          <w:sz w:val="24"/>
          <w:szCs w:val="24"/>
        </w:rPr>
        <w:tab/>
        <w:t xml:space="preserve">Measham F, Wood D, Dargan P, Moore K. The rise in legal highs: prevalence and patterns in the use of illegal drugs and first and second generation ‘legal highs’ on South London gay dance clubs. </w:t>
      </w:r>
      <w:r w:rsidRPr="00F975F3">
        <w:rPr>
          <w:rFonts w:ascii="Times New Roman" w:hAnsi="Times New Roman"/>
          <w:i/>
          <w:noProof/>
          <w:sz w:val="24"/>
          <w:szCs w:val="24"/>
        </w:rPr>
        <w:t>Journal of Substance Use</w:t>
      </w:r>
      <w:r w:rsidRPr="00C1353C">
        <w:rPr>
          <w:rFonts w:ascii="Times New Roman" w:hAnsi="Times New Roman"/>
          <w:noProof/>
          <w:sz w:val="24"/>
          <w:szCs w:val="24"/>
        </w:rPr>
        <w:t>. 2011;16(4):263-72.</w:t>
      </w:r>
      <w:bookmarkEnd w:id="16"/>
    </w:p>
    <w:p w:rsidR="00C1353C" w:rsidRPr="00C1353C" w:rsidRDefault="00C1353C" w:rsidP="00F975F3">
      <w:pPr>
        <w:spacing w:after="0" w:line="480" w:lineRule="auto"/>
        <w:ind w:left="720" w:hanging="720"/>
        <w:rPr>
          <w:rFonts w:ascii="Times New Roman" w:hAnsi="Times New Roman"/>
          <w:noProof/>
          <w:sz w:val="24"/>
          <w:szCs w:val="24"/>
        </w:rPr>
      </w:pPr>
      <w:bookmarkStart w:id="17" w:name="_ENREF_17"/>
      <w:r w:rsidRPr="00C1353C">
        <w:rPr>
          <w:rFonts w:ascii="Times New Roman" w:hAnsi="Times New Roman"/>
          <w:noProof/>
          <w:sz w:val="24"/>
          <w:szCs w:val="24"/>
        </w:rPr>
        <w:t>17.</w:t>
      </w:r>
      <w:r w:rsidRPr="00C1353C">
        <w:rPr>
          <w:rFonts w:ascii="Times New Roman" w:hAnsi="Times New Roman"/>
          <w:noProof/>
          <w:sz w:val="24"/>
          <w:szCs w:val="24"/>
        </w:rPr>
        <w:tab/>
        <w:t xml:space="preserve">ACMD. </w:t>
      </w:r>
      <w:r w:rsidRPr="00F975F3">
        <w:rPr>
          <w:rFonts w:ascii="Times New Roman" w:hAnsi="Times New Roman"/>
          <w:i/>
          <w:noProof/>
          <w:sz w:val="24"/>
          <w:szCs w:val="24"/>
        </w:rPr>
        <w:t>Consideration of the naphthylpyrovalerone analogues and related compounds</w:t>
      </w:r>
      <w:r w:rsidRPr="00C1353C">
        <w:rPr>
          <w:rFonts w:ascii="Times New Roman" w:hAnsi="Times New Roman"/>
          <w:noProof/>
          <w:sz w:val="24"/>
          <w:szCs w:val="24"/>
        </w:rPr>
        <w:t>. London: Home Office; 2010.</w:t>
      </w:r>
      <w:bookmarkEnd w:id="17"/>
    </w:p>
    <w:p w:rsidR="00C1353C" w:rsidRPr="00C1353C" w:rsidRDefault="00C1353C" w:rsidP="00F975F3">
      <w:pPr>
        <w:spacing w:after="0" w:line="480" w:lineRule="auto"/>
        <w:ind w:left="720" w:hanging="720"/>
        <w:rPr>
          <w:rFonts w:ascii="Times New Roman" w:hAnsi="Times New Roman"/>
          <w:noProof/>
          <w:sz w:val="24"/>
          <w:szCs w:val="24"/>
        </w:rPr>
      </w:pPr>
      <w:bookmarkStart w:id="18" w:name="_ENREF_18"/>
      <w:r w:rsidRPr="00C1353C">
        <w:rPr>
          <w:rFonts w:ascii="Times New Roman" w:hAnsi="Times New Roman"/>
          <w:noProof/>
          <w:sz w:val="24"/>
          <w:szCs w:val="24"/>
        </w:rPr>
        <w:t>18.</w:t>
      </w:r>
      <w:r w:rsidRPr="00C1353C">
        <w:rPr>
          <w:rFonts w:ascii="Times New Roman" w:hAnsi="Times New Roman"/>
          <w:noProof/>
          <w:sz w:val="24"/>
          <w:szCs w:val="24"/>
        </w:rPr>
        <w:tab/>
        <w:t xml:space="preserve">ACMD. </w:t>
      </w:r>
      <w:r w:rsidRPr="00F975F3">
        <w:rPr>
          <w:rFonts w:ascii="Times New Roman" w:hAnsi="Times New Roman"/>
          <w:i/>
          <w:noProof/>
          <w:sz w:val="24"/>
          <w:szCs w:val="24"/>
        </w:rPr>
        <w:t>Methoxetamine Report</w:t>
      </w:r>
      <w:r w:rsidRPr="00C1353C">
        <w:rPr>
          <w:rFonts w:ascii="Times New Roman" w:hAnsi="Times New Roman"/>
          <w:noProof/>
          <w:sz w:val="24"/>
          <w:szCs w:val="24"/>
        </w:rPr>
        <w:t>. London: Home Office; 2012.</w:t>
      </w:r>
      <w:bookmarkEnd w:id="18"/>
    </w:p>
    <w:p w:rsidR="00C1353C" w:rsidRPr="00C1353C" w:rsidRDefault="00C1353C" w:rsidP="00F975F3">
      <w:pPr>
        <w:spacing w:after="0" w:line="480" w:lineRule="auto"/>
        <w:ind w:left="720" w:hanging="720"/>
        <w:rPr>
          <w:rFonts w:ascii="Times New Roman" w:hAnsi="Times New Roman"/>
          <w:noProof/>
          <w:sz w:val="24"/>
          <w:szCs w:val="24"/>
        </w:rPr>
      </w:pPr>
      <w:bookmarkStart w:id="19" w:name="_ENREF_19"/>
      <w:r w:rsidRPr="00C1353C">
        <w:rPr>
          <w:rFonts w:ascii="Times New Roman" w:hAnsi="Times New Roman"/>
          <w:noProof/>
          <w:sz w:val="24"/>
          <w:szCs w:val="24"/>
        </w:rPr>
        <w:t>19.</w:t>
      </w:r>
      <w:r w:rsidRPr="00C1353C">
        <w:rPr>
          <w:rFonts w:ascii="Times New Roman" w:hAnsi="Times New Roman"/>
          <w:noProof/>
          <w:sz w:val="24"/>
          <w:szCs w:val="24"/>
        </w:rPr>
        <w:tab/>
        <w:t xml:space="preserve">Stevens A. Telling Policy Stories: An Ethnographic Study of the Use of Evidence in Policy-making in the UK. </w:t>
      </w:r>
      <w:r w:rsidRPr="00F975F3">
        <w:rPr>
          <w:rFonts w:ascii="Times New Roman" w:hAnsi="Times New Roman"/>
          <w:i/>
          <w:noProof/>
          <w:sz w:val="24"/>
          <w:szCs w:val="24"/>
        </w:rPr>
        <w:t>Journal of Social Policy</w:t>
      </w:r>
      <w:r w:rsidRPr="00C1353C">
        <w:rPr>
          <w:rFonts w:ascii="Times New Roman" w:hAnsi="Times New Roman"/>
          <w:noProof/>
          <w:sz w:val="24"/>
          <w:szCs w:val="24"/>
        </w:rPr>
        <w:t>. 2011;40(2):237-56.</w:t>
      </w:r>
      <w:bookmarkEnd w:id="19"/>
    </w:p>
    <w:p w:rsidR="00C1353C" w:rsidRPr="00C1353C" w:rsidRDefault="00C1353C" w:rsidP="00F975F3">
      <w:pPr>
        <w:spacing w:after="0" w:line="480" w:lineRule="auto"/>
        <w:ind w:left="720" w:hanging="720"/>
        <w:rPr>
          <w:rFonts w:ascii="Times New Roman" w:hAnsi="Times New Roman"/>
          <w:noProof/>
          <w:sz w:val="24"/>
          <w:szCs w:val="24"/>
        </w:rPr>
      </w:pPr>
      <w:bookmarkStart w:id="20" w:name="_ENREF_20"/>
      <w:r w:rsidRPr="00C1353C">
        <w:rPr>
          <w:rFonts w:ascii="Times New Roman" w:hAnsi="Times New Roman"/>
          <w:noProof/>
          <w:sz w:val="24"/>
          <w:szCs w:val="24"/>
        </w:rPr>
        <w:t>20.</w:t>
      </w:r>
      <w:r w:rsidRPr="00C1353C">
        <w:rPr>
          <w:rFonts w:ascii="Times New Roman" w:hAnsi="Times New Roman"/>
          <w:noProof/>
          <w:sz w:val="24"/>
          <w:szCs w:val="24"/>
        </w:rPr>
        <w:tab/>
        <w:t xml:space="preserve">Ritter A. How do drug policy makers access research evidence? </w:t>
      </w:r>
      <w:r w:rsidRPr="00F975F3">
        <w:rPr>
          <w:rFonts w:ascii="Times New Roman" w:hAnsi="Times New Roman"/>
          <w:i/>
          <w:noProof/>
          <w:sz w:val="24"/>
          <w:szCs w:val="24"/>
        </w:rPr>
        <w:t>International Journal of Drug Policy</w:t>
      </w:r>
      <w:r w:rsidRPr="00C1353C">
        <w:rPr>
          <w:rFonts w:ascii="Times New Roman" w:hAnsi="Times New Roman"/>
          <w:noProof/>
          <w:sz w:val="24"/>
          <w:szCs w:val="24"/>
        </w:rPr>
        <w:t>. 2009;20(1):70-5.</w:t>
      </w:r>
      <w:bookmarkEnd w:id="20"/>
    </w:p>
    <w:p w:rsidR="00C1353C" w:rsidRPr="00C1353C" w:rsidRDefault="00C1353C" w:rsidP="00F975F3">
      <w:pPr>
        <w:spacing w:after="0" w:line="480" w:lineRule="auto"/>
        <w:ind w:left="720" w:hanging="720"/>
        <w:rPr>
          <w:rFonts w:ascii="Times New Roman" w:hAnsi="Times New Roman"/>
          <w:noProof/>
          <w:sz w:val="24"/>
          <w:szCs w:val="24"/>
        </w:rPr>
      </w:pPr>
      <w:bookmarkStart w:id="21" w:name="_ENREF_21"/>
      <w:r w:rsidRPr="00C1353C">
        <w:rPr>
          <w:rFonts w:ascii="Times New Roman" w:hAnsi="Times New Roman"/>
          <w:noProof/>
          <w:sz w:val="24"/>
          <w:szCs w:val="24"/>
        </w:rPr>
        <w:t>21.</w:t>
      </w:r>
      <w:r w:rsidRPr="00C1353C">
        <w:rPr>
          <w:rFonts w:ascii="Times New Roman" w:hAnsi="Times New Roman"/>
          <w:noProof/>
          <w:sz w:val="24"/>
          <w:szCs w:val="24"/>
        </w:rPr>
        <w:tab/>
        <w:t xml:space="preserve">Hajer MA. </w:t>
      </w:r>
      <w:r w:rsidRPr="00F975F3">
        <w:rPr>
          <w:rFonts w:ascii="Times New Roman" w:hAnsi="Times New Roman"/>
          <w:i/>
          <w:noProof/>
          <w:sz w:val="24"/>
          <w:szCs w:val="24"/>
        </w:rPr>
        <w:t>The Politics of Environmental Discourse: Environmental Modernization and the Policy Process</w:t>
      </w:r>
      <w:r w:rsidRPr="00C1353C">
        <w:rPr>
          <w:rFonts w:ascii="Times New Roman" w:hAnsi="Times New Roman"/>
          <w:noProof/>
          <w:sz w:val="24"/>
          <w:szCs w:val="24"/>
        </w:rPr>
        <w:t>. Oxford: Oxford University Press; 1995.</w:t>
      </w:r>
      <w:bookmarkEnd w:id="21"/>
    </w:p>
    <w:p w:rsidR="00C1353C" w:rsidRPr="00F975F3" w:rsidRDefault="00C1353C" w:rsidP="00F975F3">
      <w:pPr>
        <w:spacing w:after="0" w:line="480" w:lineRule="auto"/>
        <w:ind w:left="720" w:hanging="720"/>
        <w:rPr>
          <w:rFonts w:ascii="Times New Roman" w:hAnsi="Times New Roman"/>
          <w:noProof/>
          <w:sz w:val="24"/>
          <w:szCs w:val="24"/>
        </w:rPr>
      </w:pPr>
      <w:bookmarkStart w:id="22" w:name="_ENREF_22"/>
      <w:r w:rsidRPr="00C1353C">
        <w:rPr>
          <w:rFonts w:ascii="Times New Roman" w:hAnsi="Times New Roman"/>
          <w:noProof/>
          <w:sz w:val="24"/>
          <w:szCs w:val="24"/>
        </w:rPr>
        <w:t>22.</w:t>
      </w:r>
      <w:r w:rsidRPr="00C1353C">
        <w:rPr>
          <w:rFonts w:ascii="Times New Roman" w:hAnsi="Times New Roman"/>
          <w:noProof/>
          <w:sz w:val="24"/>
          <w:szCs w:val="24"/>
        </w:rPr>
        <w:tab/>
        <w:t xml:space="preserve">Hajer MA. </w:t>
      </w:r>
      <w:r w:rsidRPr="00F975F3">
        <w:rPr>
          <w:rFonts w:ascii="Times New Roman" w:hAnsi="Times New Roman"/>
          <w:i/>
          <w:noProof/>
          <w:sz w:val="24"/>
          <w:szCs w:val="24"/>
        </w:rPr>
        <w:t>City Politics: Hegemonic Projects and Discourse</w:t>
      </w:r>
      <w:r w:rsidRPr="00C1353C">
        <w:rPr>
          <w:rFonts w:ascii="Times New Roman" w:hAnsi="Times New Roman"/>
          <w:noProof/>
          <w:sz w:val="24"/>
          <w:szCs w:val="24"/>
        </w:rPr>
        <w:t>. Aldershot: Avebury; 1989.</w:t>
      </w:r>
      <w:bookmarkEnd w:id="22"/>
    </w:p>
    <w:p w:rsidR="00C1353C" w:rsidRPr="00F975F3" w:rsidRDefault="00C1353C" w:rsidP="00F975F3">
      <w:pPr>
        <w:spacing w:after="0" w:line="480" w:lineRule="auto"/>
        <w:ind w:left="720" w:hanging="720"/>
        <w:rPr>
          <w:rFonts w:ascii="Times New Roman" w:hAnsi="Times New Roman"/>
          <w:noProof/>
          <w:sz w:val="24"/>
          <w:szCs w:val="24"/>
        </w:rPr>
      </w:pPr>
      <w:bookmarkStart w:id="23" w:name="_ENREF_23"/>
      <w:r w:rsidRPr="00F975F3">
        <w:rPr>
          <w:rFonts w:ascii="Times New Roman" w:hAnsi="Times New Roman"/>
          <w:noProof/>
          <w:sz w:val="24"/>
          <w:szCs w:val="24"/>
        </w:rPr>
        <w:t>23.</w:t>
      </w:r>
      <w:r w:rsidRPr="00F975F3">
        <w:rPr>
          <w:rFonts w:ascii="Times New Roman" w:hAnsi="Times New Roman"/>
          <w:noProof/>
          <w:sz w:val="24"/>
          <w:szCs w:val="24"/>
        </w:rPr>
        <w:tab/>
        <w:t xml:space="preserve">Young J. </w:t>
      </w:r>
      <w:r w:rsidRPr="00F975F3">
        <w:rPr>
          <w:rFonts w:ascii="Times New Roman" w:hAnsi="Times New Roman"/>
          <w:i/>
          <w:noProof/>
          <w:sz w:val="24"/>
          <w:szCs w:val="24"/>
        </w:rPr>
        <w:t>The Drugtakers: The Social Meaning of Drug Use</w:t>
      </w:r>
      <w:r w:rsidRPr="00F975F3">
        <w:rPr>
          <w:rFonts w:ascii="Times New Roman" w:hAnsi="Times New Roman"/>
          <w:noProof/>
          <w:sz w:val="24"/>
          <w:szCs w:val="24"/>
        </w:rPr>
        <w:t>. London: Paladin; 1971.</w:t>
      </w:r>
      <w:bookmarkEnd w:id="23"/>
    </w:p>
    <w:p w:rsidR="00C1353C" w:rsidRPr="00F975F3" w:rsidRDefault="00C1353C" w:rsidP="00F975F3">
      <w:pPr>
        <w:spacing w:after="0" w:line="480" w:lineRule="auto"/>
        <w:ind w:left="720" w:hanging="720"/>
        <w:rPr>
          <w:rFonts w:ascii="Times New Roman" w:hAnsi="Times New Roman"/>
          <w:noProof/>
          <w:sz w:val="24"/>
          <w:szCs w:val="24"/>
        </w:rPr>
      </w:pPr>
      <w:bookmarkStart w:id="24" w:name="_ENREF_24"/>
      <w:r w:rsidRPr="00F975F3">
        <w:rPr>
          <w:rFonts w:ascii="Times New Roman" w:hAnsi="Times New Roman"/>
          <w:noProof/>
          <w:sz w:val="24"/>
          <w:szCs w:val="24"/>
        </w:rPr>
        <w:t>24.</w:t>
      </w:r>
      <w:r w:rsidRPr="00F975F3">
        <w:rPr>
          <w:rFonts w:ascii="Times New Roman" w:hAnsi="Times New Roman"/>
          <w:noProof/>
          <w:sz w:val="24"/>
          <w:szCs w:val="24"/>
        </w:rPr>
        <w:tab/>
        <w:t xml:space="preserve">Transform. </w:t>
      </w:r>
      <w:r w:rsidRPr="00F975F3">
        <w:rPr>
          <w:rFonts w:ascii="Times New Roman" w:hAnsi="Times New Roman"/>
          <w:i/>
          <w:noProof/>
          <w:sz w:val="24"/>
          <w:szCs w:val="24"/>
        </w:rPr>
        <w:t>Pre-election prohibitio</w:t>
      </w:r>
      <w:r w:rsidR="00F975F3" w:rsidRPr="00F975F3">
        <w:rPr>
          <w:rFonts w:ascii="Times New Roman" w:hAnsi="Times New Roman"/>
          <w:i/>
          <w:noProof/>
          <w:sz w:val="24"/>
          <w:szCs w:val="24"/>
        </w:rPr>
        <w:t>n fast-track for mephedrone</w:t>
      </w:r>
      <w:r w:rsidR="00F975F3">
        <w:rPr>
          <w:rFonts w:ascii="Times New Roman" w:hAnsi="Times New Roman"/>
          <w:noProof/>
          <w:sz w:val="24"/>
          <w:szCs w:val="24"/>
        </w:rPr>
        <w:t xml:space="preserve"> </w:t>
      </w:r>
      <w:r w:rsidR="00F975F3" w:rsidRPr="00F975F3">
        <w:rPr>
          <w:rFonts w:ascii="Times New Roman" w:hAnsi="Times New Roman"/>
          <w:noProof/>
          <w:sz w:val="24"/>
          <w:szCs w:val="24"/>
        </w:rPr>
        <w:t>2010</w:t>
      </w:r>
      <w:r w:rsidRPr="00F975F3">
        <w:rPr>
          <w:rFonts w:ascii="Times New Roman" w:hAnsi="Times New Roman"/>
          <w:noProof/>
          <w:sz w:val="24"/>
          <w:szCs w:val="24"/>
        </w:rPr>
        <w:t xml:space="preserve"> </w:t>
      </w:r>
      <w:r w:rsidR="00F975F3" w:rsidRPr="00F975F3">
        <w:rPr>
          <w:rFonts w:ascii="Times New Roman" w:hAnsi="Times New Roman"/>
          <w:sz w:val="24"/>
          <w:szCs w:val="24"/>
        </w:rPr>
        <w:t>http://transform-drugs.blogspot.co.uk/2010/03/pre-election-prohibitio</w:t>
      </w:r>
      <w:r w:rsidR="00F975F3">
        <w:rPr>
          <w:rFonts w:ascii="Times New Roman" w:hAnsi="Times New Roman"/>
          <w:sz w:val="24"/>
          <w:szCs w:val="24"/>
        </w:rPr>
        <w:t>n-fast-track-for.html. Accessed 8th April 2013</w:t>
      </w:r>
      <w:r w:rsidR="00F975F3" w:rsidRPr="00F975F3">
        <w:rPr>
          <w:rFonts w:ascii="Times New Roman" w:hAnsi="Times New Roman"/>
          <w:sz w:val="24"/>
          <w:szCs w:val="24"/>
        </w:rPr>
        <w:t xml:space="preserve"> </w:t>
      </w:r>
      <w:hyperlink r:id="rId8" w:history="1">
        <w:r w:rsidR="00F975F3" w:rsidRPr="00F975F3">
          <w:rPr>
            <w:rStyle w:val="Hyperlink"/>
            <w:rFonts w:ascii="Times New Roman" w:hAnsi="Times New Roman"/>
            <w:color w:val="auto"/>
            <w:sz w:val="24"/>
            <w:szCs w:val="24"/>
            <w:u w:val="none"/>
          </w:rPr>
          <w:t>(Archived by WebCite</w:t>
        </w:r>
        <w:r w:rsidR="00F975F3" w:rsidRPr="00F975F3">
          <w:rPr>
            <w:rStyle w:val="Hyperlink"/>
            <w:rFonts w:ascii="Times New Roman" w:hAnsi="Times New Roman"/>
            <w:color w:val="auto"/>
            <w:sz w:val="24"/>
            <w:szCs w:val="24"/>
            <w:u w:val="none"/>
            <w:vertAlign w:val="superscript"/>
          </w:rPr>
          <w:t>®</w:t>
        </w:r>
        <w:r w:rsidR="00F975F3" w:rsidRPr="00F975F3">
          <w:rPr>
            <w:rStyle w:val="Hyperlink"/>
            <w:rFonts w:ascii="Times New Roman" w:hAnsi="Times New Roman"/>
            <w:color w:val="auto"/>
            <w:sz w:val="24"/>
            <w:szCs w:val="24"/>
            <w:u w:val="none"/>
          </w:rPr>
          <w:t xml:space="preserve"> at http://www.webcitation.org/6FjIb243v)</w:t>
        </w:r>
      </w:hyperlink>
      <w:r w:rsidRPr="00F975F3">
        <w:rPr>
          <w:rFonts w:ascii="Times New Roman" w:hAnsi="Times New Roman"/>
          <w:noProof/>
          <w:sz w:val="24"/>
          <w:szCs w:val="24"/>
        </w:rPr>
        <w:t>.</w:t>
      </w:r>
      <w:bookmarkEnd w:id="24"/>
    </w:p>
    <w:p w:rsidR="00C1353C" w:rsidRPr="00F975F3" w:rsidRDefault="00C1353C" w:rsidP="00F975F3">
      <w:pPr>
        <w:spacing w:after="0" w:line="480" w:lineRule="auto"/>
        <w:ind w:left="720" w:hanging="720"/>
        <w:rPr>
          <w:rFonts w:ascii="Times New Roman" w:hAnsi="Times New Roman"/>
          <w:noProof/>
          <w:sz w:val="24"/>
          <w:szCs w:val="24"/>
        </w:rPr>
      </w:pPr>
      <w:bookmarkStart w:id="25" w:name="_ENREF_25"/>
      <w:r w:rsidRPr="00F975F3">
        <w:rPr>
          <w:rFonts w:ascii="Times New Roman" w:hAnsi="Times New Roman"/>
          <w:noProof/>
          <w:sz w:val="24"/>
          <w:szCs w:val="24"/>
        </w:rPr>
        <w:t>25.</w:t>
      </w:r>
      <w:r w:rsidRPr="00F975F3">
        <w:rPr>
          <w:rFonts w:ascii="Times New Roman" w:hAnsi="Times New Roman"/>
          <w:noProof/>
          <w:sz w:val="24"/>
          <w:szCs w:val="24"/>
        </w:rPr>
        <w:tab/>
        <w:t xml:space="preserve">Measham F, Moore K, Østergaard J. Mephedrone, “Bubble” and unidentified white powders: the contested identities of synthetic “legal highs”. </w:t>
      </w:r>
      <w:r w:rsidRPr="00F975F3">
        <w:rPr>
          <w:rFonts w:ascii="Times New Roman" w:hAnsi="Times New Roman"/>
          <w:i/>
          <w:noProof/>
          <w:sz w:val="24"/>
          <w:szCs w:val="24"/>
        </w:rPr>
        <w:t>Drugs and Alcohol Today</w:t>
      </w:r>
      <w:r w:rsidRPr="00F975F3">
        <w:rPr>
          <w:rFonts w:ascii="Times New Roman" w:hAnsi="Times New Roman"/>
          <w:noProof/>
          <w:sz w:val="24"/>
          <w:szCs w:val="24"/>
        </w:rPr>
        <w:t>. 2011;11(3):137-46.</w:t>
      </w:r>
      <w:bookmarkEnd w:id="25"/>
    </w:p>
    <w:p w:rsidR="00C1353C" w:rsidRPr="00F975F3" w:rsidRDefault="00C1353C" w:rsidP="00F975F3">
      <w:pPr>
        <w:spacing w:after="0" w:line="480" w:lineRule="auto"/>
        <w:ind w:left="720" w:hanging="720"/>
        <w:rPr>
          <w:rFonts w:ascii="Times New Roman" w:hAnsi="Times New Roman"/>
          <w:noProof/>
          <w:sz w:val="24"/>
          <w:szCs w:val="24"/>
        </w:rPr>
      </w:pPr>
      <w:bookmarkStart w:id="26" w:name="_ENREF_26"/>
      <w:r w:rsidRPr="00F975F3">
        <w:rPr>
          <w:rFonts w:ascii="Times New Roman" w:hAnsi="Times New Roman"/>
          <w:noProof/>
          <w:sz w:val="24"/>
          <w:szCs w:val="24"/>
        </w:rPr>
        <w:t>26.</w:t>
      </w:r>
      <w:r w:rsidRPr="00F975F3">
        <w:rPr>
          <w:rFonts w:ascii="Times New Roman" w:hAnsi="Times New Roman"/>
          <w:noProof/>
          <w:sz w:val="24"/>
          <w:szCs w:val="24"/>
        </w:rPr>
        <w:tab/>
        <w:t xml:space="preserve">Brokenshire J. Column 1031. </w:t>
      </w:r>
      <w:r w:rsidRPr="00F975F3">
        <w:rPr>
          <w:rFonts w:ascii="Times New Roman" w:hAnsi="Times New Roman"/>
          <w:i/>
          <w:noProof/>
          <w:sz w:val="24"/>
          <w:szCs w:val="24"/>
        </w:rPr>
        <w:t>Hansard</w:t>
      </w:r>
      <w:r w:rsidRPr="00F975F3">
        <w:rPr>
          <w:rFonts w:ascii="Times New Roman" w:hAnsi="Times New Roman"/>
          <w:noProof/>
          <w:sz w:val="24"/>
          <w:szCs w:val="24"/>
        </w:rPr>
        <w:t>. 2010;</w:t>
      </w:r>
      <w:r w:rsidR="00F975F3">
        <w:rPr>
          <w:rFonts w:ascii="Times New Roman" w:hAnsi="Times New Roman"/>
          <w:noProof/>
          <w:sz w:val="24"/>
          <w:szCs w:val="24"/>
        </w:rPr>
        <w:t xml:space="preserve"> </w:t>
      </w:r>
      <w:r w:rsidRPr="00F975F3">
        <w:rPr>
          <w:rFonts w:ascii="Times New Roman" w:hAnsi="Times New Roman"/>
          <w:noProof/>
          <w:sz w:val="24"/>
          <w:szCs w:val="24"/>
        </w:rPr>
        <w:t>7</w:t>
      </w:r>
      <w:r w:rsidR="00F975F3">
        <w:rPr>
          <w:rFonts w:ascii="Times New Roman" w:hAnsi="Times New Roman"/>
          <w:noProof/>
          <w:sz w:val="24"/>
          <w:szCs w:val="24"/>
        </w:rPr>
        <w:t>th</w:t>
      </w:r>
      <w:r w:rsidRPr="00F975F3">
        <w:rPr>
          <w:rFonts w:ascii="Times New Roman" w:hAnsi="Times New Roman"/>
          <w:noProof/>
          <w:sz w:val="24"/>
          <w:szCs w:val="24"/>
        </w:rPr>
        <w:t xml:space="preserve"> April</w:t>
      </w:r>
      <w:bookmarkEnd w:id="26"/>
      <w:r w:rsidR="00F975F3">
        <w:rPr>
          <w:rFonts w:ascii="Times New Roman" w:hAnsi="Times New Roman"/>
          <w:noProof/>
          <w:sz w:val="24"/>
          <w:szCs w:val="24"/>
        </w:rPr>
        <w:t>.</w:t>
      </w:r>
    </w:p>
    <w:p w:rsidR="00C1353C" w:rsidRPr="00F975F3" w:rsidRDefault="00C1353C" w:rsidP="00F975F3">
      <w:pPr>
        <w:spacing w:after="0" w:line="480" w:lineRule="auto"/>
        <w:ind w:left="720" w:hanging="720"/>
        <w:rPr>
          <w:rFonts w:ascii="Times New Roman" w:hAnsi="Times New Roman"/>
          <w:noProof/>
          <w:sz w:val="24"/>
          <w:szCs w:val="24"/>
        </w:rPr>
      </w:pPr>
      <w:bookmarkStart w:id="27" w:name="_ENREF_27"/>
      <w:r w:rsidRPr="00F975F3">
        <w:rPr>
          <w:rFonts w:ascii="Times New Roman" w:hAnsi="Times New Roman"/>
          <w:noProof/>
          <w:sz w:val="24"/>
          <w:szCs w:val="24"/>
        </w:rPr>
        <w:t>27.</w:t>
      </w:r>
      <w:r w:rsidRPr="00F975F3">
        <w:rPr>
          <w:rFonts w:ascii="Times New Roman" w:hAnsi="Times New Roman"/>
          <w:noProof/>
          <w:sz w:val="24"/>
          <w:szCs w:val="24"/>
        </w:rPr>
        <w:tab/>
        <w:t xml:space="preserve">BBC. </w:t>
      </w:r>
      <w:r w:rsidRPr="00F975F3">
        <w:rPr>
          <w:rFonts w:ascii="Times New Roman" w:hAnsi="Times New Roman"/>
          <w:i/>
          <w:noProof/>
          <w:sz w:val="24"/>
          <w:szCs w:val="24"/>
        </w:rPr>
        <w:t>Mephedrone may be banned, chief drug advis</w:t>
      </w:r>
      <w:r w:rsidR="00F975F3" w:rsidRPr="00F975F3">
        <w:rPr>
          <w:rFonts w:ascii="Times New Roman" w:hAnsi="Times New Roman"/>
          <w:i/>
          <w:noProof/>
          <w:sz w:val="24"/>
          <w:szCs w:val="24"/>
        </w:rPr>
        <w:t>er indicates</w:t>
      </w:r>
      <w:r w:rsidR="00F975F3" w:rsidRPr="00F975F3">
        <w:rPr>
          <w:rFonts w:ascii="Times New Roman" w:hAnsi="Times New Roman"/>
          <w:noProof/>
          <w:sz w:val="24"/>
          <w:szCs w:val="24"/>
        </w:rPr>
        <w:t xml:space="preserve"> 2010</w:t>
      </w:r>
      <w:r w:rsidRPr="00F975F3">
        <w:rPr>
          <w:rFonts w:ascii="Times New Roman" w:hAnsi="Times New Roman"/>
          <w:noProof/>
          <w:sz w:val="24"/>
          <w:szCs w:val="24"/>
        </w:rPr>
        <w:t xml:space="preserve">: </w:t>
      </w:r>
      <w:r w:rsidR="00F975F3" w:rsidRPr="00F975F3">
        <w:rPr>
          <w:rFonts w:ascii="Times New Roman" w:hAnsi="Times New Roman"/>
          <w:sz w:val="24"/>
          <w:szCs w:val="24"/>
        </w:rPr>
        <w:t xml:space="preserve">http://news.bbc.co.uk/1/hi/uk/8582999.stm. Accessed: </w:t>
      </w:r>
      <w:r w:rsidR="00F975F3">
        <w:rPr>
          <w:rFonts w:ascii="Times New Roman" w:hAnsi="Times New Roman"/>
          <w:sz w:val="24"/>
          <w:szCs w:val="24"/>
        </w:rPr>
        <w:t>8th April 2013</w:t>
      </w:r>
      <w:r w:rsidR="00F975F3" w:rsidRPr="00F975F3">
        <w:rPr>
          <w:rFonts w:ascii="Times New Roman" w:hAnsi="Times New Roman"/>
          <w:sz w:val="24"/>
          <w:szCs w:val="24"/>
        </w:rPr>
        <w:t xml:space="preserve"> </w:t>
      </w:r>
      <w:hyperlink r:id="rId9" w:history="1">
        <w:r w:rsidR="00F975F3" w:rsidRPr="00F975F3">
          <w:rPr>
            <w:rStyle w:val="Hyperlink"/>
            <w:rFonts w:ascii="Times New Roman" w:hAnsi="Times New Roman"/>
            <w:color w:val="auto"/>
            <w:sz w:val="24"/>
            <w:szCs w:val="24"/>
            <w:u w:val="none"/>
          </w:rPr>
          <w:t>(Archived by WebCite</w:t>
        </w:r>
        <w:r w:rsidR="00F975F3" w:rsidRPr="00F975F3">
          <w:rPr>
            <w:rStyle w:val="Hyperlink"/>
            <w:rFonts w:ascii="Times New Roman" w:hAnsi="Times New Roman"/>
            <w:color w:val="auto"/>
            <w:sz w:val="24"/>
            <w:szCs w:val="24"/>
            <w:u w:val="none"/>
            <w:vertAlign w:val="superscript"/>
          </w:rPr>
          <w:t>®</w:t>
        </w:r>
        <w:r w:rsidR="00F975F3" w:rsidRPr="00F975F3">
          <w:rPr>
            <w:rStyle w:val="Hyperlink"/>
            <w:rFonts w:ascii="Times New Roman" w:hAnsi="Times New Roman"/>
            <w:color w:val="auto"/>
            <w:sz w:val="24"/>
            <w:szCs w:val="24"/>
            <w:u w:val="none"/>
          </w:rPr>
          <w:t xml:space="preserve"> at http://www.webcitation.org/6FjIiqLrp)</w:t>
        </w:r>
      </w:hyperlink>
      <w:r w:rsidRPr="00F975F3">
        <w:rPr>
          <w:rFonts w:ascii="Times New Roman" w:hAnsi="Times New Roman"/>
          <w:noProof/>
          <w:sz w:val="24"/>
          <w:szCs w:val="24"/>
        </w:rPr>
        <w:t>.</w:t>
      </w:r>
      <w:bookmarkEnd w:id="27"/>
    </w:p>
    <w:p w:rsidR="00C1353C" w:rsidRPr="00F975F3" w:rsidRDefault="00C1353C" w:rsidP="00F975F3">
      <w:pPr>
        <w:spacing w:after="0" w:line="480" w:lineRule="auto"/>
        <w:ind w:left="720" w:hanging="720"/>
        <w:rPr>
          <w:rFonts w:ascii="Times New Roman" w:hAnsi="Times New Roman"/>
          <w:noProof/>
          <w:sz w:val="24"/>
          <w:szCs w:val="24"/>
        </w:rPr>
      </w:pPr>
      <w:bookmarkStart w:id="28" w:name="_ENREF_28"/>
      <w:r w:rsidRPr="00F975F3">
        <w:rPr>
          <w:rFonts w:ascii="Times New Roman" w:hAnsi="Times New Roman"/>
          <w:noProof/>
          <w:sz w:val="24"/>
          <w:szCs w:val="24"/>
        </w:rPr>
        <w:t>28.</w:t>
      </w:r>
      <w:r w:rsidRPr="00F975F3">
        <w:rPr>
          <w:rFonts w:ascii="Times New Roman" w:hAnsi="Times New Roman"/>
          <w:noProof/>
          <w:sz w:val="24"/>
          <w:szCs w:val="24"/>
        </w:rPr>
        <w:tab/>
        <w:t>Brown G. Column 244</w:t>
      </w:r>
      <w:r w:rsidRPr="00F975F3">
        <w:rPr>
          <w:rFonts w:ascii="Times New Roman" w:hAnsi="Times New Roman"/>
          <w:i/>
          <w:noProof/>
          <w:sz w:val="24"/>
          <w:szCs w:val="24"/>
        </w:rPr>
        <w:t>. Hansard</w:t>
      </w:r>
      <w:r w:rsidRPr="00F975F3">
        <w:rPr>
          <w:rFonts w:ascii="Times New Roman" w:hAnsi="Times New Roman"/>
          <w:noProof/>
          <w:sz w:val="24"/>
          <w:szCs w:val="24"/>
        </w:rPr>
        <w:t>. 2010;</w:t>
      </w:r>
      <w:r w:rsidR="00F975F3">
        <w:rPr>
          <w:rFonts w:ascii="Times New Roman" w:hAnsi="Times New Roman"/>
          <w:noProof/>
          <w:sz w:val="24"/>
          <w:szCs w:val="24"/>
        </w:rPr>
        <w:t xml:space="preserve"> </w:t>
      </w:r>
      <w:r w:rsidRPr="00F975F3">
        <w:rPr>
          <w:rFonts w:ascii="Times New Roman" w:hAnsi="Times New Roman"/>
          <w:noProof/>
          <w:sz w:val="24"/>
          <w:szCs w:val="24"/>
        </w:rPr>
        <w:t>24</w:t>
      </w:r>
      <w:r w:rsidR="00F975F3">
        <w:rPr>
          <w:rFonts w:ascii="Times New Roman" w:hAnsi="Times New Roman"/>
          <w:noProof/>
          <w:sz w:val="24"/>
          <w:szCs w:val="24"/>
        </w:rPr>
        <w:t>th</w:t>
      </w:r>
      <w:r w:rsidRPr="00F975F3">
        <w:rPr>
          <w:rFonts w:ascii="Times New Roman" w:hAnsi="Times New Roman"/>
          <w:noProof/>
          <w:sz w:val="24"/>
          <w:szCs w:val="24"/>
        </w:rPr>
        <w:t xml:space="preserve"> March.</w:t>
      </w:r>
      <w:bookmarkEnd w:id="28"/>
    </w:p>
    <w:p w:rsidR="00C1353C" w:rsidRPr="00C1353C" w:rsidRDefault="00C1353C" w:rsidP="00F975F3">
      <w:pPr>
        <w:spacing w:after="0" w:line="480" w:lineRule="auto"/>
        <w:ind w:left="720" w:hanging="720"/>
        <w:rPr>
          <w:rFonts w:ascii="Times New Roman" w:hAnsi="Times New Roman"/>
          <w:noProof/>
          <w:sz w:val="24"/>
          <w:szCs w:val="24"/>
        </w:rPr>
      </w:pPr>
      <w:bookmarkStart w:id="29" w:name="_ENREF_29"/>
      <w:r w:rsidRPr="00F975F3">
        <w:rPr>
          <w:rFonts w:ascii="Times New Roman" w:hAnsi="Times New Roman"/>
          <w:noProof/>
          <w:sz w:val="24"/>
          <w:szCs w:val="24"/>
        </w:rPr>
        <w:t>29.</w:t>
      </w:r>
      <w:r w:rsidRPr="00F975F3">
        <w:rPr>
          <w:rFonts w:ascii="Times New Roman" w:hAnsi="Times New Roman"/>
          <w:noProof/>
          <w:sz w:val="24"/>
          <w:szCs w:val="24"/>
        </w:rPr>
        <w:tab/>
        <w:t xml:space="preserve">Mathiesen T. </w:t>
      </w:r>
      <w:r w:rsidRPr="00F975F3">
        <w:rPr>
          <w:rFonts w:ascii="Times New Roman" w:hAnsi="Times New Roman"/>
          <w:i/>
          <w:noProof/>
          <w:sz w:val="24"/>
          <w:szCs w:val="24"/>
        </w:rPr>
        <w:t>Silently Silenced: Essays on the Creation of Acquiescence in Modern Society</w:t>
      </w:r>
      <w:r w:rsidRPr="00C1353C">
        <w:rPr>
          <w:rFonts w:ascii="Times New Roman" w:hAnsi="Times New Roman"/>
          <w:noProof/>
          <w:sz w:val="24"/>
          <w:szCs w:val="24"/>
        </w:rPr>
        <w:t>. Winchester: Waterside Press; 2004.</w:t>
      </w:r>
      <w:bookmarkEnd w:id="29"/>
    </w:p>
    <w:p w:rsidR="00C1353C" w:rsidRPr="00C1353C" w:rsidRDefault="00C1353C" w:rsidP="00F975F3">
      <w:pPr>
        <w:spacing w:after="0" w:line="480" w:lineRule="auto"/>
        <w:ind w:left="720" w:hanging="720"/>
        <w:rPr>
          <w:rFonts w:ascii="Times New Roman" w:hAnsi="Times New Roman"/>
          <w:noProof/>
          <w:sz w:val="24"/>
          <w:szCs w:val="24"/>
        </w:rPr>
      </w:pPr>
      <w:bookmarkStart w:id="30" w:name="_ENREF_30"/>
      <w:r w:rsidRPr="00C1353C">
        <w:rPr>
          <w:rFonts w:ascii="Times New Roman" w:hAnsi="Times New Roman"/>
          <w:noProof/>
          <w:sz w:val="24"/>
          <w:szCs w:val="24"/>
        </w:rPr>
        <w:t>30.</w:t>
      </w:r>
      <w:r w:rsidRPr="00C1353C">
        <w:rPr>
          <w:rFonts w:ascii="Times New Roman" w:hAnsi="Times New Roman"/>
          <w:noProof/>
          <w:sz w:val="24"/>
          <w:szCs w:val="24"/>
        </w:rPr>
        <w:tab/>
        <w:t xml:space="preserve">Nutt DJ, King LA, Nichols DE. Schedule I drugs and research: from Presumptive Prejudice to a Neuroscientific Enlightenment? </w:t>
      </w:r>
      <w:r w:rsidRPr="00F975F3">
        <w:rPr>
          <w:rFonts w:ascii="Times New Roman" w:hAnsi="Times New Roman"/>
          <w:i/>
          <w:noProof/>
          <w:sz w:val="24"/>
          <w:szCs w:val="24"/>
        </w:rPr>
        <w:t>Nature Reviews Neuroscience</w:t>
      </w:r>
      <w:r w:rsidRPr="00C1353C">
        <w:rPr>
          <w:rFonts w:ascii="Times New Roman" w:hAnsi="Times New Roman"/>
          <w:noProof/>
          <w:sz w:val="24"/>
          <w:szCs w:val="24"/>
        </w:rPr>
        <w:t>. In press.</w:t>
      </w:r>
      <w:bookmarkEnd w:id="30"/>
    </w:p>
    <w:p w:rsidR="00C1353C" w:rsidRPr="00C1353C" w:rsidRDefault="00C1353C" w:rsidP="00F975F3">
      <w:pPr>
        <w:spacing w:after="0" w:line="480" w:lineRule="auto"/>
        <w:ind w:left="720" w:hanging="720"/>
        <w:rPr>
          <w:rFonts w:ascii="Times New Roman" w:hAnsi="Times New Roman"/>
          <w:noProof/>
          <w:sz w:val="24"/>
          <w:szCs w:val="24"/>
        </w:rPr>
      </w:pPr>
      <w:bookmarkStart w:id="31" w:name="_ENREF_31"/>
      <w:r w:rsidRPr="00C1353C">
        <w:rPr>
          <w:rFonts w:ascii="Times New Roman" w:hAnsi="Times New Roman"/>
          <w:noProof/>
          <w:sz w:val="24"/>
          <w:szCs w:val="24"/>
        </w:rPr>
        <w:t>31.</w:t>
      </w:r>
      <w:r w:rsidRPr="00C1353C">
        <w:rPr>
          <w:rFonts w:ascii="Times New Roman" w:hAnsi="Times New Roman"/>
          <w:noProof/>
          <w:sz w:val="24"/>
          <w:szCs w:val="24"/>
        </w:rPr>
        <w:tab/>
        <w:t xml:space="preserve">Douglas M. </w:t>
      </w:r>
      <w:r w:rsidRPr="00F975F3">
        <w:rPr>
          <w:rFonts w:ascii="Times New Roman" w:hAnsi="Times New Roman"/>
          <w:i/>
          <w:noProof/>
          <w:sz w:val="24"/>
          <w:szCs w:val="24"/>
        </w:rPr>
        <w:t>How Institutions Think</w:t>
      </w:r>
      <w:r w:rsidRPr="00C1353C">
        <w:rPr>
          <w:rFonts w:ascii="Times New Roman" w:hAnsi="Times New Roman"/>
          <w:noProof/>
          <w:sz w:val="24"/>
          <w:szCs w:val="24"/>
        </w:rPr>
        <w:t>. London: Routledge &amp; Kegan Paul; 1987.</w:t>
      </w:r>
      <w:bookmarkEnd w:id="31"/>
    </w:p>
    <w:p w:rsidR="00C1353C" w:rsidRPr="00C1353C" w:rsidRDefault="00C1353C" w:rsidP="00F975F3">
      <w:pPr>
        <w:spacing w:line="480" w:lineRule="auto"/>
        <w:ind w:left="720" w:hanging="720"/>
        <w:rPr>
          <w:rFonts w:ascii="Times New Roman" w:hAnsi="Times New Roman"/>
          <w:noProof/>
          <w:sz w:val="24"/>
          <w:szCs w:val="24"/>
        </w:rPr>
      </w:pPr>
      <w:bookmarkStart w:id="32" w:name="_ENREF_32"/>
      <w:r w:rsidRPr="00C1353C">
        <w:rPr>
          <w:rFonts w:ascii="Times New Roman" w:hAnsi="Times New Roman"/>
          <w:noProof/>
          <w:sz w:val="24"/>
          <w:szCs w:val="24"/>
        </w:rPr>
        <w:t>32.</w:t>
      </w:r>
      <w:r w:rsidRPr="00C1353C">
        <w:rPr>
          <w:rFonts w:ascii="Times New Roman" w:hAnsi="Times New Roman"/>
          <w:noProof/>
          <w:sz w:val="24"/>
          <w:szCs w:val="24"/>
        </w:rPr>
        <w:tab/>
        <w:t xml:space="preserve">King LA. </w:t>
      </w:r>
      <w:r w:rsidRPr="00F975F3">
        <w:rPr>
          <w:rFonts w:ascii="Times New Roman" w:hAnsi="Times New Roman"/>
          <w:i/>
          <w:noProof/>
          <w:sz w:val="24"/>
          <w:szCs w:val="24"/>
        </w:rPr>
        <w:t>Forensic Chemistry of Substance Misuse: A Guide to Drug Control</w:t>
      </w:r>
      <w:r w:rsidRPr="00C1353C">
        <w:rPr>
          <w:rFonts w:ascii="Times New Roman" w:hAnsi="Times New Roman"/>
          <w:noProof/>
          <w:sz w:val="24"/>
          <w:szCs w:val="24"/>
        </w:rPr>
        <w:t>. Cambridge: RSC Publishing; 2009.</w:t>
      </w:r>
      <w:bookmarkEnd w:id="32"/>
    </w:p>
    <w:p w:rsidR="00C1353C" w:rsidRPr="00C1353C" w:rsidRDefault="00C1353C" w:rsidP="00C1353C">
      <w:pPr>
        <w:spacing w:line="480" w:lineRule="auto"/>
        <w:rPr>
          <w:rFonts w:ascii="Times New Roman" w:hAnsi="Times New Roman"/>
          <w:b/>
          <w:sz w:val="24"/>
          <w:szCs w:val="24"/>
        </w:rPr>
      </w:pPr>
      <w:r w:rsidRPr="00C1353C">
        <w:rPr>
          <w:rFonts w:ascii="Times New Roman" w:hAnsi="Times New Roman"/>
          <w:b/>
          <w:sz w:val="24"/>
          <w:szCs w:val="24"/>
        </w:rPr>
        <w:br w:type="page"/>
      </w:r>
    </w:p>
    <w:p w:rsidR="00116FE9" w:rsidRDefault="00116FE9" w:rsidP="007510F8">
      <w:pPr>
        <w:spacing w:after="0" w:line="480" w:lineRule="auto"/>
        <w:rPr>
          <w:rFonts w:ascii="Times New Roman" w:hAnsi="Times New Roman"/>
          <w:b/>
          <w:sz w:val="24"/>
          <w:szCs w:val="24"/>
        </w:rPr>
      </w:pPr>
    </w:p>
    <w:tbl>
      <w:tblPr>
        <w:tblW w:w="0" w:type="auto"/>
        <w:tblBorders>
          <w:top w:val="single" w:sz="12" w:space="0" w:color="auto"/>
          <w:left w:val="single" w:sz="12" w:space="0" w:color="auto"/>
          <w:bottom w:val="single" w:sz="12" w:space="0" w:color="auto"/>
          <w:right w:val="single" w:sz="12" w:space="0" w:color="auto"/>
          <w:insideV w:val="single" w:sz="12" w:space="0" w:color="auto"/>
        </w:tblBorders>
        <w:tblLayout w:type="fixed"/>
        <w:tblLook w:val="04A0" w:firstRow="1" w:lastRow="0" w:firstColumn="1" w:lastColumn="0" w:noHBand="0" w:noVBand="1"/>
      </w:tblPr>
      <w:tblGrid>
        <w:gridCol w:w="1881"/>
        <w:gridCol w:w="2622"/>
        <w:gridCol w:w="425"/>
        <w:gridCol w:w="2647"/>
        <w:gridCol w:w="1667"/>
      </w:tblGrid>
      <w:tr w:rsidR="004A1D4B" w:rsidRPr="0023781A" w:rsidTr="004A1D4B">
        <w:tc>
          <w:tcPr>
            <w:tcW w:w="9242" w:type="dxa"/>
            <w:gridSpan w:val="5"/>
            <w:tcBorders>
              <w:top w:val="nil"/>
              <w:left w:val="nil"/>
              <w:bottom w:val="single" w:sz="12" w:space="0" w:color="auto"/>
              <w:right w:val="nil"/>
            </w:tcBorders>
          </w:tcPr>
          <w:p w:rsidR="004A1D4B" w:rsidRPr="0023781A" w:rsidRDefault="004A1D4B" w:rsidP="004A1D4B">
            <w:pPr>
              <w:spacing w:after="0" w:line="240" w:lineRule="auto"/>
              <w:rPr>
                <w:rFonts w:ascii="Times New Roman" w:hAnsi="Times New Roman"/>
                <w:sz w:val="24"/>
                <w:szCs w:val="24"/>
              </w:rPr>
            </w:pPr>
            <w:r w:rsidRPr="004A1D4B">
              <w:rPr>
                <w:rFonts w:ascii="Times New Roman" w:hAnsi="Times New Roman"/>
                <w:b/>
                <w:sz w:val="24"/>
                <w:szCs w:val="24"/>
              </w:rPr>
              <w:t>Table 1</w:t>
            </w:r>
            <w:r w:rsidRPr="0023781A">
              <w:rPr>
                <w:rFonts w:ascii="Times New Roman" w:hAnsi="Times New Roman"/>
                <w:sz w:val="24"/>
                <w:szCs w:val="24"/>
              </w:rPr>
              <w:t>: Changes to drug classification under the Misuse of Drugs Act 1971</w:t>
            </w:r>
            <w:r>
              <w:rPr>
                <w:rFonts w:ascii="Times New Roman" w:hAnsi="Times New Roman"/>
                <w:sz w:val="24"/>
                <w:szCs w:val="24"/>
              </w:rPr>
              <w:t xml:space="preserve"> and Drugs Act 2005</w:t>
            </w:r>
          </w:p>
        </w:tc>
      </w:tr>
      <w:tr w:rsidR="004A1D4B" w:rsidRPr="0023781A" w:rsidTr="004A1D4B">
        <w:tc>
          <w:tcPr>
            <w:tcW w:w="4503" w:type="dxa"/>
            <w:gridSpan w:val="2"/>
            <w:tcBorders>
              <w:top w:val="single" w:sz="12" w:space="0" w:color="auto"/>
              <w:left w:val="nil"/>
              <w:bottom w:val="single" w:sz="4" w:space="0" w:color="auto"/>
              <w:right w:val="nil"/>
            </w:tcBorders>
            <w:shd w:val="clear" w:color="auto" w:fill="auto"/>
          </w:tcPr>
          <w:p w:rsidR="004A1D4B" w:rsidRPr="0023781A" w:rsidRDefault="004A1D4B" w:rsidP="004A1D4B">
            <w:pPr>
              <w:spacing w:before="120" w:after="0" w:line="240" w:lineRule="auto"/>
              <w:rPr>
                <w:rFonts w:ascii="Times New Roman" w:hAnsi="Times New Roman"/>
                <w:sz w:val="24"/>
                <w:szCs w:val="24"/>
              </w:rPr>
            </w:pPr>
            <w:r w:rsidRPr="0023781A">
              <w:rPr>
                <w:rFonts w:ascii="Times New Roman" w:hAnsi="Times New Roman"/>
                <w:sz w:val="24"/>
                <w:szCs w:val="24"/>
              </w:rPr>
              <w:t>Changes that have increased penalties</w:t>
            </w:r>
          </w:p>
        </w:tc>
        <w:tc>
          <w:tcPr>
            <w:tcW w:w="425" w:type="dxa"/>
            <w:tcBorders>
              <w:top w:val="single" w:sz="12" w:space="0" w:color="auto"/>
              <w:left w:val="nil"/>
              <w:bottom w:val="nil"/>
              <w:right w:val="nil"/>
            </w:tcBorders>
          </w:tcPr>
          <w:p w:rsidR="004A1D4B" w:rsidRPr="0023781A" w:rsidRDefault="004A1D4B" w:rsidP="004A1D4B">
            <w:pPr>
              <w:spacing w:before="120" w:after="0" w:line="240" w:lineRule="auto"/>
              <w:rPr>
                <w:rFonts w:ascii="Times New Roman" w:hAnsi="Times New Roman"/>
                <w:sz w:val="24"/>
                <w:szCs w:val="24"/>
              </w:rPr>
            </w:pPr>
          </w:p>
        </w:tc>
        <w:tc>
          <w:tcPr>
            <w:tcW w:w="4314" w:type="dxa"/>
            <w:gridSpan w:val="2"/>
            <w:tcBorders>
              <w:top w:val="single" w:sz="12" w:space="0" w:color="auto"/>
              <w:left w:val="nil"/>
              <w:bottom w:val="single" w:sz="4" w:space="0" w:color="auto"/>
              <w:right w:val="nil"/>
            </w:tcBorders>
            <w:shd w:val="clear" w:color="auto" w:fill="auto"/>
          </w:tcPr>
          <w:p w:rsidR="004A1D4B" w:rsidRPr="0023781A" w:rsidRDefault="004A1D4B" w:rsidP="004A1D4B">
            <w:pPr>
              <w:spacing w:before="120" w:after="0" w:line="240" w:lineRule="auto"/>
              <w:rPr>
                <w:rFonts w:ascii="Times New Roman" w:hAnsi="Times New Roman"/>
                <w:sz w:val="24"/>
                <w:szCs w:val="24"/>
              </w:rPr>
            </w:pPr>
            <w:r w:rsidRPr="0023781A">
              <w:rPr>
                <w:rFonts w:ascii="Times New Roman" w:hAnsi="Times New Roman"/>
                <w:sz w:val="24"/>
                <w:szCs w:val="24"/>
              </w:rPr>
              <w:t>Changes that have reduced penalties</w:t>
            </w:r>
          </w:p>
        </w:tc>
      </w:tr>
      <w:tr w:rsidR="004A1D4B" w:rsidRPr="0023781A" w:rsidTr="004A1D4B">
        <w:tc>
          <w:tcPr>
            <w:tcW w:w="1881" w:type="dxa"/>
            <w:tcBorders>
              <w:top w:val="single" w:sz="4" w:space="0" w:color="auto"/>
              <w:left w:val="nil"/>
              <w:bottom w:val="single" w:sz="4" w:space="0" w:color="auto"/>
              <w:right w:val="nil"/>
            </w:tcBorders>
            <w:shd w:val="clear" w:color="auto" w:fill="auto"/>
          </w:tcPr>
          <w:p w:rsidR="004A1D4B" w:rsidRPr="004A1D4B" w:rsidRDefault="004A1D4B" w:rsidP="004A1D4B">
            <w:pPr>
              <w:spacing w:before="120" w:after="0" w:line="240" w:lineRule="auto"/>
              <w:rPr>
                <w:rFonts w:ascii="Times New Roman" w:hAnsi="Times New Roman"/>
                <w:i/>
                <w:sz w:val="20"/>
                <w:szCs w:val="20"/>
              </w:rPr>
            </w:pPr>
            <w:r w:rsidRPr="004A1D4B">
              <w:rPr>
                <w:rFonts w:ascii="Times New Roman" w:hAnsi="Times New Roman"/>
                <w:i/>
                <w:sz w:val="20"/>
                <w:szCs w:val="20"/>
              </w:rPr>
              <w:t>Selected drugs that have been placed under control by MDA or Drugs Act since 1971</w:t>
            </w:r>
          </w:p>
        </w:tc>
        <w:tc>
          <w:tcPr>
            <w:tcW w:w="2622" w:type="dxa"/>
            <w:tcBorders>
              <w:top w:val="single" w:sz="4" w:space="0" w:color="auto"/>
              <w:left w:val="nil"/>
              <w:bottom w:val="single" w:sz="4" w:space="0" w:color="auto"/>
              <w:right w:val="nil"/>
            </w:tcBorders>
            <w:shd w:val="clear" w:color="auto" w:fill="auto"/>
          </w:tcPr>
          <w:p w:rsidR="004A1D4B" w:rsidRPr="004A1D4B" w:rsidRDefault="004A1D4B" w:rsidP="004A1D4B">
            <w:pPr>
              <w:spacing w:before="120" w:after="0" w:line="240" w:lineRule="auto"/>
              <w:rPr>
                <w:rFonts w:ascii="Times New Roman" w:hAnsi="Times New Roman"/>
                <w:i/>
                <w:sz w:val="20"/>
                <w:szCs w:val="20"/>
              </w:rPr>
            </w:pPr>
            <w:r w:rsidRPr="004A1D4B">
              <w:rPr>
                <w:rFonts w:ascii="Times New Roman" w:hAnsi="Times New Roman"/>
                <w:i/>
                <w:sz w:val="20"/>
                <w:szCs w:val="20"/>
              </w:rPr>
              <w:t>Drugs that have been moved to a higher class in MDA</w:t>
            </w:r>
          </w:p>
        </w:tc>
        <w:tc>
          <w:tcPr>
            <w:tcW w:w="425" w:type="dxa"/>
            <w:tcBorders>
              <w:top w:val="nil"/>
              <w:left w:val="nil"/>
              <w:bottom w:val="single" w:sz="4" w:space="0" w:color="auto"/>
              <w:right w:val="nil"/>
            </w:tcBorders>
          </w:tcPr>
          <w:p w:rsidR="004A1D4B" w:rsidRPr="004A1D4B" w:rsidRDefault="004A1D4B" w:rsidP="004A1D4B">
            <w:pPr>
              <w:spacing w:before="120" w:after="0" w:line="240" w:lineRule="auto"/>
              <w:rPr>
                <w:rFonts w:ascii="Times New Roman" w:hAnsi="Times New Roman"/>
                <w:i/>
                <w:sz w:val="20"/>
                <w:szCs w:val="20"/>
              </w:rPr>
            </w:pPr>
          </w:p>
        </w:tc>
        <w:tc>
          <w:tcPr>
            <w:tcW w:w="2647" w:type="dxa"/>
            <w:tcBorders>
              <w:top w:val="nil"/>
              <w:left w:val="nil"/>
              <w:bottom w:val="single" w:sz="4" w:space="0" w:color="auto"/>
              <w:right w:val="nil"/>
            </w:tcBorders>
            <w:shd w:val="clear" w:color="auto" w:fill="auto"/>
          </w:tcPr>
          <w:p w:rsidR="004A1D4B" w:rsidRPr="004A1D4B" w:rsidRDefault="004A1D4B" w:rsidP="004A1D4B">
            <w:pPr>
              <w:spacing w:before="120" w:after="0" w:line="240" w:lineRule="auto"/>
              <w:rPr>
                <w:rFonts w:ascii="Times New Roman" w:hAnsi="Times New Roman"/>
                <w:i/>
                <w:sz w:val="20"/>
                <w:szCs w:val="20"/>
              </w:rPr>
            </w:pPr>
            <w:r w:rsidRPr="004A1D4B">
              <w:rPr>
                <w:rFonts w:ascii="Times New Roman" w:hAnsi="Times New Roman"/>
                <w:i/>
                <w:sz w:val="20"/>
                <w:szCs w:val="20"/>
              </w:rPr>
              <w:t>Drugs that have been taken out of control by MDA since 1971</w:t>
            </w:r>
          </w:p>
        </w:tc>
        <w:tc>
          <w:tcPr>
            <w:tcW w:w="1667" w:type="dxa"/>
            <w:tcBorders>
              <w:top w:val="nil"/>
              <w:left w:val="nil"/>
              <w:bottom w:val="single" w:sz="4" w:space="0" w:color="auto"/>
              <w:right w:val="nil"/>
            </w:tcBorders>
            <w:shd w:val="clear" w:color="auto" w:fill="auto"/>
          </w:tcPr>
          <w:p w:rsidR="004A1D4B" w:rsidRPr="004A1D4B" w:rsidRDefault="004A1D4B" w:rsidP="004A1D4B">
            <w:pPr>
              <w:spacing w:before="120" w:after="0" w:line="240" w:lineRule="auto"/>
              <w:rPr>
                <w:rFonts w:ascii="Times New Roman" w:hAnsi="Times New Roman"/>
                <w:i/>
                <w:sz w:val="20"/>
                <w:szCs w:val="20"/>
              </w:rPr>
            </w:pPr>
            <w:r w:rsidRPr="004A1D4B">
              <w:rPr>
                <w:rFonts w:ascii="Times New Roman" w:hAnsi="Times New Roman"/>
                <w:i/>
                <w:sz w:val="20"/>
                <w:szCs w:val="20"/>
              </w:rPr>
              <w:t>Drugs that have been moved to a lower class in MDA</w:t>
            </w:r>
          </w:p>
        </w:tc>
      </w:tr>
      <w:tr w:rsidR="004A1D4B" w:rsidRPr="0023781A" w:rsidTr="004A1D4B">
        <w:tc>
          <w:tcPr>
            <w:tcW w:w="1881" w:type="dxa"/>
            <w:tcBorders>
              <w:top w:val="single" w:sz="4" w:space="0" w:color="auto"/>
              <w:left w:val="nil"/>
              <w:bottom w:val="nil"/>
              <w:right w:val="nil"/>
            </w:tcBorders>
            <w:shd w:val="clear" w:color="auto" w:fill="auto"/>
          </w:tcPr>
          <w:p w:rsidR="004A1D4B" w:rsidRPr="004A1D4B" w:rsidRDefault="004A1D4B" w:rsidP="004A1D4B">
            <w:pPr>
              <w:spacing w:before="120" w:after="0" w:line="240" w:lineRule="auto"/>
              <w:rPr>
                <w:rFonts w:ascii="Times New Roman" w:hAnsi="Times New Roman"/>
                <w:sz w:val="20"/>
                <w:szCs w:val="20"/>
              </w:rPr>
            </w:pPr>
            <w:r w:rsidRPr="004A1D4B">
              <w:rPr>
                <w:rFonts w:ascii="Times New Roman" w:hAnsi="Times New Roman"/>
                <w:sz w:val="20"/>
                <w:szCs w:val="20"/>
              </w:rPr>
              <w:t>Phenethylamines, including MDMA (into class A in 1977)</w:t>
            </w:r>
          </w:p>
        </w:tc>
        <w:tc>
          <w:tcPr>
            <w:tcW w:w="2622" w:type="dxa"/>
            <w:tcBorders>
              <w:top w:val="single" w:sz="4" w:space="0" w:color="auto"/>
              <w:left w:val="nil"/>
              <w:bottom w:val="nil"/>
              <w:right w:val="nil"/>
            </w:tcBorders>
            <w:shd w:val="clear" w:color="auto" w:fill="auto"/>
          </w:tcPr>
          <w:p w:rsidR="004A1D4B" w:rsidRPr="004A1D4B" w:rsidRDefault="004A1D4B" w:rsidP="004A1D4B">
            <w:pPr>
              <w:spacing w:before="120" w:after="0" w:line="240" w:lineRule="auto"/>
              <w:rPr>
                <w:rFonts w:ascii="Times New Roman" w:hAnsi="Times New Roman"/>
                <w:sz w:val="20"/>
                <w:szCs w:val="20"/>
              </w:rPr>
            </w:pPr>
            <w:r w:rsidRPr="004A1D4B">
              <w:rPr>
                <w:rFonts w:ascii="Times New Roman" w:hAnsi="Times New Roman"/>
                <w:sz w:val="20"/>
                <w:szCs w:val="20"/>
              </w:rPr>
              <w:t>Methaqualone (from C to B in 1984)</w:t>
            </w:r>
          </w:p>
        </w:tc>
        <w:tc>
          <w:tcPr>
            <w:tcW w:w="425" w:type="dxa"/>
            <w:tcBorders>
              <w:top w:val="single" w:sz="4" w:space="0" w:color="auto"/>
              <w:left w:val="nil"/>
              <w:bottom w:val="nil"/>
              <w:right w:val="nil"/>
            </w:tcBorders>
          </w:tcPr>
          <w:p w:rsidR="004A1D4B" w:rsidRPr="004A1D4B" w:rsidRDefault="004A1D4B" w:rsidP="004A1D4B">
            <w:pPr>
              <w:spacing w:before="120" w:after="0" w:line="240" w:lineRule="auto"/>
              <w:rPr>
                <w:rFonts w:ascii="Times New Roman" w:eastAsia="MS Mincho" w:hAnsi="Times New Roman"/>
                <w:sz w:val="20"/>
                <w:szCs w:val="20"/>
              </w:rPr>
            </w:pPr>
          </w:p>
        </w:tc>
        <w:tc>
          <w:tcPr>
            <w:tcW w:w="2647" w:type="dxa"/>
            <w:tcBorders>
              <w:top w:val="single" w:sz="4" w:space="0" w:color="auto"/>
              <w:left w:val="nil"/>
              <w:bottom w:val="nil"/>
              <w:right w:val="nil"/>
            </w:tcBorders>
            <w:shd w:val="clear" w:color="auto" w:fill="auto"/>
          </w:tcPr>
          <w:p w:rsidR="004A1D4B" w:rsidRPr="004A1D4B" w:rsidRDefault="004A1D4B" w:rsidP="004A1D4B">
            <w:pPr>
              <w:spacing w:before="120" w:after="0" w:line="240" w:lineRule="auto"/>
              <w:rPr>
                <w:rFonts w:ascii="Times New Roman" w:hAnsi="Times New Roman"/>
                <w:sz w:val="20"/>
                <w:szCs w:val="20"/>
              </w:rPr>
            </w:pPr>
            <w:r w:rsidRPr="004A1D4B">
              <w:rPr>
                <w:rFonts w:ascii="Times New Roman" w:eastAsia="MS Mincho" w:hAnsi="Times New Roman"/>
                <w:sz w:val="20"/>
                <w:szCs w:val="20"/>
              </w:rPr>
              <w:t>Propylhexedrine (removed from class C in 1996)</w:t>
            </w:r>
          </w:p>
        </w:tc>
        <w:tc>
          <w:tcPr>
            <w:tcW w:w="1667" w:type="dxa"/>
            <w:tcBorders>
              <w:top w:val="single" w:sz="4" w:space="0" w:color="auto"/>
              <w:left w:val="nil"/>
              <w:bottom w:val="nil"/>
              <w:right w:val="nil"/>
            </w:tcBorders>
            <w:shd w:val="clear" w:color="auto" w:fill="auto"/>
          </w:tcPr>
          <w:p w:rsidR="004A1D4B" w:rsidRPr="004A1D4B" w:rsidRDefault="004A1D4B" w:rsidP="004A1D4B">
            <w:pPr>
              <w:spacing w:before="120" w:after="0" w:line="240" w:lineRule="auto"/>
              <w:rPr>
                <w:rFonts w:ascii="Times New Roman" w:hAnsi="Times New Roman"/>
                <w:sz w:val="20"/>
                <w:szCs w:val="20"/>
              </w:rPr>
            </w:pPr>
            <w:r w:rsidRPr="004A1D4B">
              <w:rPr>
                <w:rFonts w:ascii="Times New Roman" w:hAnsi="Times New Roman"/>
                <w:sz w:val="20"/>
                <w:szCs w:val="20"/>
              </w:rPr>
              <w:t>Nicodicodine (from A to B in 1973)</w:t>
            </w:r>
          </w:p>
        </w:tc>
      </w:tr>
      <w:tr w:rsidR="004A1D4B" w:rsidRPr="0023781A" w:rsidTr="004A1D4B">
        <w:tc>
          <w:tcPr>
            <w:tcW w:w="1881" w:type="dxa"/>
            <w:tcBorders>
              <w:top w:val="nil"/>
              <w:left w:val="nil"/>
              <w:bottom w:val="nil"/>
              <w:right w:val="nil"/>
            </w:tcBorders>
            <w:shd w:val="clear" w:color="auto" w:fill="auto"/>
          </w:tcPr>
          <w:p w:rsidR="004A1D4B" w:rsidRPr="004A1D4B" w:rsidRDefault="004A1D4B" w:rsidP="00774E83">
            <w:pPr>
              <w:spacing w:before="120" w:after="0" w:line="240" w:lineRule="auto"/>
              <w:rPr>
                <w:rFonts w:ascii="Times New Roman" w:hAnsi="Times New Roman"/>
                <w:sz w:val="20"/>
                <w:szCs w:val="20"/>
              </w:rPr>
            </w:pPr>
            <w:r w:rsidRPr="004A1D4B">
              <w:rPr>
                <w:rFonts w:ascii="Times New Roman" w:hAnsi="Times New Roman"/>
                <w:sz w:val="20"/>
                <w:szCs w:val="20"/>
              </w:rPr>
              <w:t xml:space="preserve">Anabolic steroids (into </w:t>
            </w:r>
            <w:r w:rsidR="00774E83">
              <w:rPr>
                <w:rFonts w:ascii="Times New Roman" w:hAnsi="Times New Roman"/>
                <w:sz w:val="20"/>
                <w:szCs w:val="20"/>
              </w:rPr>
              <w:t xml:space="preserve">class </w:t>
            </w:r>
            <w:r w:rsidRPr="004A1D4B">
              <w:rPr>
                <w:rFonts w:ascii="Times New Roman" w:hAnsi="Times New Roman"/>
                <w:sz w:val="20"/>
                <w:szCs w:val="20"/>
              </w:rPr>
              <w:t>C in 1996)</w:t>
            </w:r>
          </w:p>
        </w:tc>
        <w:tc>
          <w:tcPr>
            <w:tcW w:w="2622" w:type="dxa"/>
            <w:tcBorders>
              <w:top w:val="nil"/>
              <w:left w:val="nil"/>
              <w:bottom w:val="nil"/>
              <w:right w:val="nil"/>
            </w:tcBorders>
            <w:shd w:val="clear" w:color="auto" w:fill="auto"/>
          </w:tcPr>
          <w:p w:rsidR="004A1D4B" w:rsidRPr="004A1D4B" w:rsidRDefault="004A1D4B" w:rsidP="004A1D4B">
            <w:pPr>
              <w:spacing w:before="120" w:after="0" w:line="240" w:lineRule="auto"/>
              <w:rPr>
                <w:rFonts w:ascii="Times New Roman" w:hAnsi="Times New Roman"/>
                <w:sz w:val="20"/>
                <w:szCs w:val="20"/>
              </w:rPr>
            </w:pPr>
            <w:r w:rsidRPr="004A1D4B">
              <w:rPr>
                <w:rFonts w:ascii="Times New Roman" w:hAnsi="Times New Roman"/>
                <w:sz w:val="20"/>
                <w:szCs w:val="20"/>
              </w:rPr>
              <w:t>Methylamphetamine (from B to A in 2006</w:t>
            </w:r>
          </w:p>
        </w:tc>
        <w:tc>
          <w:tcPr>
            <w:tcW w:w="425" w:type="dxa"/>
            <w:tcBorders>
              <w:top w:val="nil"/>
              <w:left w:val="nil"/>
              <w:bottom w:val="nil"/>
              <w:right w:val="nil"/>
            </w:tcBorders>
          </w:tcPr>
          <w:p w:rsidR="004A1D4B" w:rsidRPr="004A1D4B" w:rsidRDefault="004A1D4B" w:rsidP="004A1D4B">
            <w:pPr>
              <w:spacing w:before="120" w:after="0" w:line="240" w:lineRule="auto"/>
              <w:rPr>
                <w:rFonts w:ascii="Times New Roman" w:hAnsi="Times New Roman"/>
                <w:sz w:val="20"/>
                <w:szCs w:val="20"/>
              </w:rPr>
            </w:pPr>
          </w:p>
        </w:tc>
        <w:tc>
          <w:tcPr>
            <w:tcW w:w="2647" w:type="dxa"/>
            <w:tcBorders>
              <w:top w:val="nil"/>
              <w:left w:val="nil"/>
              <w:bottom w:val="nil"/>
              <w:right w:val="nil"/>
            </w:tcBorders>
            <w:shd w:val="clear" w:color="auto" w:fill="auto"/>
          </w:tcPr>
          <w:p w:rsidR="004A1D4B" w:rsidRPr="004A1D4B" w:rsidRDefault="004A1D4B" w:rsidP="004A1D4B">
            <w:pPr>
              <w:spacing w:before="120" w:after="0" w:line="240" w:lineRule="auto"/>
              <w:rPr>
                <w:rFonts w:ascii="Times New Roman" w:hAnsi="Times New Roman"/>
                <w:sz w:val="20"/>
                <w:szCs w:val="20"/>
              </w:rPr>
            </w:pPr>
          </w:p>
        </w:tc>
        <w:tc>
          <w:tcPr>
            <w:tcW w:w="1667" w:type="dxa"/>
            <w:tcBorders>
              <w:top w:val="nil"/>
              <w:left w:val="nil"/>
              <w:bottom w:val="nil"/>
              <w:right w:val="nil"/>
            </w:tcBorders>
            <w:shd w:val="clear" w:color="auto" w:fill="auto"/>
          </w:tcPr>
          <w:p w:rsidR="004A1D4B" w:rsidRPr="004A1D4B" w:rsidRDefault="004A1D4B" w:rsidP="004A1D4B">
            <w:pPr>
              <w:spacing w:after="0" w:line="240" w:lineRule="auto"/>
              <w:rPr>
                <w:rFonts w:ascii="Times New Roman" w:hAnsi="Times New Roman"/>
                <w:sz w:val="20"/>
                <w:szCs w:val="20"/>
              </w:rPr>
            </w:pPr>
            <w:r w:rsidRPr="004A1D4B">
              <w:rPr>
                <w:rFonts w:ascii="Times New Roman" w:hAnsi="Times New Roman"/>
                <w:sz w:val="20"/>
                <w:szCs w:val="20"/>
              </w:rPr>
              <w:t>Cannabinol and its derivatives (from A to C in 2004)</w:t>
            </w:r>
          </w:p>
        </w:tc>
      </w:tr>
      <w:tr w:rsidR="004A1D4B" w:rsidRPr="0023781A" w:rsidTr="004A1D4B">
        <w:tc>
          <w:tcPr>
            <w:tcW w:w="1881" w:type="dxa"/>
            <w:tcBorders>
              <w:top w:val="nil"/>
              <w:left w:val="nil"/>
              <w:bottom w:val="nil"/>
              <w:right w:val="nil"/>
            </w:tcBorders>
            <w:shd w:val="clear" w:color="auto" w:fill="auto"/>
          </w:tcPr>
          <w:p w:rsidR="004A1D4B" w:rsidRPr="004A1D4B" w:rsidRDefault="004A1D4B" w:rsidP="004A1D4B">
            <w:pPr>
              <w:spacing w:before="120" w:after="0" w:line="240" w:lineRule="auto"/>
              <w:rPr>
                <w:rFonts w:ascii="Times New Roman" w:hAnsi="Times New Roman"/>
                <w:sz w:val="20"/>
                <w:szCs w:val="20"/>
              </w:rPr>
            </w:pPr>
            <w:r w:rsidRPr="004A1D4B">
              <w:rPr>
                <w:rFonts w:ascii="Times New Roman" w:hAnsi="Times New Roman"/>
                <w:sz w:val="20"/>
                <w:szCs w:val="20"/>
              </w:rPr>
              <w:t>Unprocessed  fungi containing psilocin or its esters (into class A in 2005)</w:t>
            </w:r>
          </w:p>
        </w:tc>
        <w:tc>
          <w:tcPr>
            <w:tcW w:w="2622" w:type="dxa"/>
            <w:tcBorders>
              <w:top w:val="nil"/>
              <w:left w:val="nil"/>
              <w:bottom w:val="nil"/>
              <w:right w:val="nil"/>
            </w:tcBorders>
            <w:shd w:val="clear" w:color="auto" w:fill="auto"/>
          </w:tcPr>
          <w:p w:rsidR="004A1D4B" w:rsidRPr="004A1D4B" w:rsidRDefault="004A1D4B" w:rsidP="004A1D4B">
            <w:pPr>
              <w:spacing w:before="120" w:after="0" w:line="240" w:lineRule="auto"/>
              <w:rPr>
                <w:rFonts w:ascii="Times New Roman" w:hAnsi="Times New Roman"/>
                <w:sz w:val="20"/>
                <w:szCs w:val="20"/>
              </w:rPr>
            </w:pPr>
            <w:r w:rsidRPr="004A1D4B">
              <w:rPr>
                <w:rFonts w:ascii="Times New Roman" w:hAnsi="Times New Roman"/>
                <w:sz w:val="20"/>
                <w:szCs w:val="20"/>
              </w:rPr>
              <w:t>Cannabinol and its derivatives (from C to B in 2008)</w:t>
            </w:r>
          </w:p>
        </w:tc>
        <w:tc>
          <w:tcPr>
            <w:tcW w:w="425" w:type="dxa"/>
            <w:tcBorders>
              <w:top w:val="nil"/>
              <w:left w:val="nil"/>
              <w:bottom w:val="nil"/>
              <w:right w:val="nil"/>
            </w:tcBorders>
          </w:tcPr>
          <w:p w:rsidR="004A1D4B" w:rsidRPr="004A1D4B" w:rsidRDefault="004A1D4B" w:rsidP="004A1D4B">
            <w:pPr>
              <w:spacing w:before="120" w:after="0" w:line="240" w:lineRule="auto"/>
              <w:rPr>
                <w:rFonts w:ascii="Times New Roman" w:hAnsi="Times New Roman"/>
                <w:sz w:val="20"/>
                <w:szCs w:val="20"/>
              </w:rPr>
            </w:pPr>
          </w:p>
        </w:tc>
        <w:tc>
          <w:tcPr>
            <w:tcW w:w="2647" w:type="dxa"/>
            <w:tcBorders>
              <w:top w:val="nil"/>
              <w:left w:val="nil"/>
              <w:bottom w:val="nil"/>
              <w:right w:val="nil"/>
            </w:tcBorders>
            <w:shd w:val="clear" w:color="auto" w:fill="auto"/>
          </w:tcPr>
          <w:p w:rsidR="004A1D4B" w:rsidRPr="004A1D4B" w:rsidRDefault="004A1D4B" w:rsidP="004A1D4B">
            <w:pPr>
              <w:spacing w:before="120" w:after="0" w:line="240" w:lineRule="auto"/>
              <w:rPr>
                <w:rFonts w:ascii="Times New Roman" w:hAnsi="Times New Roman"/>
                <w:sz w:val="20"/>
                <w:szCs w:val="20"/>
              </w:rPr>
            </w:pPr>
          </w:p>
        </w:tc>
        <w:tc>
          <w:tcPr>
            <w:tcW w:w="1667" w:type="dxa"/>
            <w:tcBorders>
              <w:top w:val="nil"/>
              <w:left w:val="nil"/>
              <w:bottom w:val="nil"/>
              <w:right w:val="nil"/>
            </w:tcBorders>
            <w:shd w:val="clear" w:color="auto" w:fill="auto"/>
          </w:tcPr>
          <w:p w:rsidR="004A1D4B" w:rsidRPr="004A1D4B" w:rsidRDefault="004A1D4B" w:rsidP="004A1D4B">
            <w:pPr>
              <w:spacing w:before="120" w:after="0" w:line="240" w:lineRule="auto"/>
              <w:rPr>
                <w:rFonts w:ascii="Times New Roman" w:hAnsi="Times New Roman"/>
                <w:sz w:val="20"/>
                <w:szCs w:val="20"/>
              </w:rPr>
            </w:pPr>
            <w:r w:rsidRPr="004A1D4B">
              <w:rPr>
                <w:rFonts w:ascii="Times New Roman" w:hAnsi="Times New Roman"/>
                <w:sz w:val="20"/>
                <w:szCs w:val="20"/>
              </w:rPr>
              <w:t>Cannabis (from B to C in 2004)</w:t>
            </w:r>
          </w:p>
        </w:tc>
      </w:tr>
      <w:tr w:rsidR="004A1D4B" w:rsidRPr="0023781A" w:rsidTr="004A1D4B">
        <w:tc>
          <w:tcPr>
            <w:tcW w:w="1881" w:type="dxa"/>
            <w:tcBorders>
              <w:top w:val="nil"/>
              <w:left w:val="nil"/>
              <w:bottom w:val="nil"/>
              <w:right w:val="nil"/>
            </w:tcBorders>
            <w:shd w:val="clear" w:color="auto" w:fill="auto"/>
          </w:tcPr>
          <w:p w:rsidR="004A1D4B" w:rsidRPr="004A1D4B" w:rsidRDefault="004A1D4B" w:rsidP="004A1D4B">
            <w:pPr>
              <w:spacing w:before="120" w:after="0" w:line="240" w:lineRule="auto"/>
              <w:rPr>
                <w:rFonts w:ascii="Times New Roman" w:hAnsi="Times New Roman"/>
                <w:sz w:val="20"/>
                <w:szCs w:val="20"/>
              </w:rPr>
            </w:pPr>
            <w:r w:rsidRPr="004A1D4B">
              <w:rPr>
                <w:rFonts w:ascii="Times New Roman" w:hAnsi="Times New Roman"/>
                <w:sz w:val="20"/>
                <w:szCs w:val="20"/>
              </w:rPr>
              <w:t>Ketamine (into class C in 2006)</w:t>
            </w:r>
          </w:p>
        </w:tc>
        <w:tc>
          <w:tcPr>
            <w:tcW w:w="2622" w:type="dxa"/>
            <w:tcBorders>
              <w:top w:val="nil"/>
              <w:left w:val="nil"/>
              <w:bottom w:val="nil"/>
              <w:right w:val="nil"/>
            </w:tcBorders>
            <w:shd w:val="clear" w:color="auto" w:fill="auto"/>
          </w:tcPr>
          <w:p w:rsidR="004A1D4B" w:rsidRPr="004A1D4B" w:rsidRDefault="004A1D4B" w:rsidP="004A1D4B">
            <w:pPr>
              <w:spacing w:before="120" w:after="0" w:line="240" w:lineRule="auto"/>
              <w:rPr>
                <w:rFonts w:ascii="Times New Roman" w:hAnsi="Times New Roman"/>
                <w:sz w:val="20"/>
                <w:szCs w:val="20"/>
              </w:rPr>
            </w:pPr>
            <w:r w:rsidRPr="004A1D4B">
              <w:rPr>
                <w:rFonts w:ascii="Times New Roman" w:hAnsi="Times New Roman"/>
                <w:sz w:val="20"/>
                <w:szCs w:val="20"/>
              </w:rPr>
              <w:t>Cannabis (from C to B in 2009)</w:t>
            </w:r>
          </w:p>
        </w:tc>
        <w:tc>
          <w:tcPr>
            <w:tcW w:w="425" w:type="dxa"/>
            <w:tcBorders>
              <w:top w:val="nil"/>
              <w:left w:val="nil"/>
              <w:bottom w:val="nil"/>
              <w:right w:val="nil"/>
            </w:tcBorders>
          </w:tcPr>
          <w:p w:rsidR="004A1D4B" w:rsidRPr="004A1D4B" w:rsidRDefault="004A1D4B" w:rsidP="004A1D4B">
            <w:pPr>
              <w:spacing w:before="120" w:after="0" w:line="240" w:lineRule="auto"/>
              <w:rPr>
                <w:rFonts w:ascii="Times New Roman" w:hAnsi="Times New Roman"/>
                <w:sz w:val="20"/>
                <w:szCs w:val="20"/>
              </w:rPr>
            </w:pPr>
          </w:p>
        </w:tc>
        <w:tc>
          <w:tcPr>
            <w:tcW w:w="2647" w:type="dxa"/>
            <w:tcBorders>
              <w:top w:val="nil"/>
              <w:left w:val="nil"/>
              <w:bottom w:val="nil"/>
              <w:right w:val="nil"/>
            </w:tcBorders>
            <w:shd w:val="clear" w:color="auto" w:fill="auto"/>
          </w:tcPr>
          <w:p w:rsidR="004A1D4B" w:rsidRPr="004A1D4B" w:rsidRDefault="004A1D4B" w:rsidP="004A1D4B">
            <w:pPr>
              <w:spacing w:before="120" w:after="0" w:line="240" w:lineRule="auto"/>
              <w:rPr>
                <w:rFonts w:ascii="Times New Roman" w:hAnsi="Times New Roman"/>
                <w:sz w:val="20"/>
                <w:szCs w:val="20"/>
              </w:rPr>
            </w:pPr>
          </w:p>
        </w:tc>
        <w:tc>
          <w:tcPr>
            <w:tcW w:w="1667" w:type="dxa"/>
            <w:tcBorders>
              <w:top w:val="nil"/>
              <w:left w:val="nil"/>
              <w:bottom w:val="nil"/>
              <w:right w:val="nil"/>
            </w:tcBorders>
            <w:shd w:val="clear" w:color="auto" w:fill="auto"/>
          </w:tcPr>
          <w:p w:rsidR="004A1D4B" w:rsidRPr="004A1D4B" w:rsidRDefault="004A1D4B" w:rsidP="004A1D4B">
            <w:pPr>
              <w:spacing w:after="0" w:line="240" w:lineRule="auto"/>
              <w:rPr>
                <w:rFonts w:ascii="Times New Roman" w:hAnsi="Times New Roman"/>
                <w:sz w:val="20"/>
                <w:szCs w:val="20"/>
              </w:rPr>
            </w:pPr>
          </w:p>
        </w:tc>
      </w:tr>
      <w:tr w:rsidR="004A1D4B" w:rsidRPr="0023781A" w:rsidTr="004A1D4B">
        <w:tc>
          <w:tcPr>
            <w:tcW w:w="1881" w:type="dxa"/>
            <w:tcBorders>
              <w:top w:val="nil"/>
              <w:left w:val="nil"/>
              <w:bottom w:val="nil"/>
              <w:right w:val="nil"/>
            </w:tcBorders>
            <w:shd w:val="clear" w:color="auto" w:fill="auto"/>
          </w:tcPr>
          <w:p w:rsidR="004A1D4B" w:rsidRPr="004A1D4B" w:rsidRDefault="004A1D4B" w:rsidP="004A1D4B">
            <w:pPr>
              <w:spacing w:before="120" w:after="0" w:line="240" w:lineRule="auto"/>
              <w:rPr>
                <w:rFonts w:ascii="Times New Roman" w:hAnsi="Times New Roman"/>
                <w:sz w:val="20"/>
                <w:szCs w:val="20"/>
              </w:rPr>
            </w:pPr>
            <w:r w:rsidRPr="004A1D4B">
              <w:rPr>
                <w:rFonts w:ascii="Times New Roman" w:hAnsi="Times New Roman"/>
                <w:sz w:val="20"/>
                <w:szCs w:val="20"/>
              </w:rPr>
              <w:t>Gamma-butyrolactone (into class C in 2009)</w:t>
            </w:r>
          </w:p>
        </w:tc>
        <w:tc>
          <w:tcPr>
            <w:tcW w:w="2622" w:type="dxa"/>
            <w:tcBorders>
              <w:top w:val="nil"/>
              <w:left w:val="nil"/>
              <w:bottom w:val="nil"/>
              <w:right w:val="nil"/>
            </w:tcBorders>
            <w:shd w:val="clear" w:color="auto" w:fill="auto"/>
          </w:tcPr>
          <w:p w:rsidR="004A1D4B" w:rsidRPr="004A1D4B" w:rsidRDefault="004A1D4B" w:rsidP="004A1D4B">
            <w:pPr>
              <w:spacing w:before="120" w:after="0" w:line="240" w:lineRule="auto"/>
              <w:rPr>
                <w:rFonts w:ascii="Times New Roman" w:hAnsi="Times New Roman"/>
                <w:sz w:val="20"/>
                <w:szCs w:val="20"/>
              </w:rPr>
            </w:pPr>
            <w:r w:rsidRPr="004A1D4B">
              <w:rPr>
                <w:rFonts w:ascii="Times New Roman" w:hAnsi="Times New Roman"/>
                <w:sz w:val="20"/>
                <w:szCs w:val="20"/>
              </w:rPr>
              <w:t>Pipradrol (from C to B in 2012)</w:t>
            </w:r>
          </w:p>
        </w:tc>
        <w:tc>
          <w:tcPr>
            <w:tcW w:w="425" w:type="dxa"/>
            <w:tcBorders>
              <w:top w:val="nil"/>
              <w:left w:val="nil"/>
              <w:bottom w:val="nil"/>
              <w:right w:val="nil"/>
            </w:tcBorders>
          </w:tcPr>
          <w:p w:rsidR="004A1D4B" w:rsidRPr="004A1D4B" w:rsidRDefault="004A1D4B" w:rsidP="004A1D4B">
            <w:pPr>
              <w:spacing w:before="120" w:after="0" w:line="240" w:lineRule="auto"/>
              <w:rPr>
                <w:rFonts w:ascii="Times New Roman" w:hAnsi="Times New Roman"/>
                <w:sz w:val="20"/>
                <w:szCs w:val="20"/>
              </w:rPr>
            </w:pPr>
          </w:p>
        </w:tc>
        <w:tc>
          <w:tcPr>
            <w:tcW w:w="2647" w:type="dxa"/>
            <w:tcBorders>
              <w:top w:val="nil"/>
              <w:left w:val="nil"/>
              <w:bottom w:val="nil"/>
              <w:right w:val="nil"/>
            </w:tcBorders>
            <w:shd w:val="clear" w:color="auto" w:fill="auto"/>
          </w:tcPr>
          <w:p w:rsidR="004A1D4B" w:rsidRPr="004A1D4B" w:rsidRDefault="004A1D4B" w:rsidP="004A1D4B">
            <w:pPr>
              <w:spacing w:before="120" w:after="0" w:line="240" w:lineRule="auto"/>
              <w:rPr>
                <w:rFonts w:ascii="Times New Roman" w:hAnsi="Times New Roman"/>
                <w:sz w:val="20"/>
                <w:szCs w:val="20"/>
              </w:rPr>
            </w:pPr>
          </w:p>
        </w:tc>
        <w:tc>
          <w:tcPr>
            <w:tcW w:w="1667" w:type="dxa"/>
            <w:tcBorders>
              <w:top w:val="nil"/>
              <w:left w:val="nil"/>
              <w:bottom w:val="nil"/>
              <w:right w:val="nil"/>
            </w:tcBorders>
            <w:shd w:val="clear" w:color="auto" w:fill="auto"/>
          </w:tcPr>
          <w:p w:rsidR="004A1D4B" w:rsidRPr="004A1D4B" w:rsidRDefault="004A1D4B" w:rsidP="004A1D4B">
            <w:pPr>
              <w:spacing w:after="0" w:line="240" w:lineRule="auto"/>
              <w:rPr>
                <w:rFonts w:ascii="Times New Roman" w:hAnsi="Times New Roman"/>
                <w:sz w:val="20"/>
                <w:szCs w:val="20"/>
              </w:rPr>
            </w:pPr>
          </w:p>
        </w:tc>
      </w:tr>
      <w:tr w:rsidR="004A1D4B" w:rsidRPr="0023781A" w:rsidTr="004A1D4B">
        <w:tc>
          <w:tcPr>
            <w:tcW w:w="1881" w:type="dxa"/>
            <w:tcBorders>
              <w:top w:val="nil"/>
              <w:left w:val="nil"/>
              <w:bottom w:val="nil"/>
              <w:right w:val="nil"/>
            </w:tcBorders>
            <w:shd w:val="clear" w:color="auto" w:fill="auto"/>
          </w:tcPr>
          <w:p w:rsidR="004A1D4B" w:rsidRPr="004A1D4B" w:rsidRDefault="004A1D4B" w:rsidP="004A1D4B">
            <w:pPr>
              <w:spacing w:before="120" w:after="0" w:line="240" w:lineRule="auto"/>
              <w:rPr>
                <w:rFonts w:ascii="Times New Roman" w:hAnsi="Times New Roman"/>
                <w:sz w:val="20"/>
                <w:szCs w:val="20"/>
              </w:rPr>
            </w:pPr>
            <w:r w:rsidRPr="004A1D4B">
              <w:rPr>
                <w:rFonts w:ascii="Times New Roman" w:hAnsi="Times New Roman"/>
                <w:sz w:val="20"/>
                <w:szCs w:val="20"/>
              </w:rPr>
              <w:t>Synthetic cannabinoid agonists (into class B in 2009)</w:t>
            </w:r>
          </w:p>
        </w:tc>
        <w:tc>
          <w:tcPr>
            <w:tcW w:w="2622" w:type="dxa"/>
            <w:tcBorders>
              <w:top w:val="nil"/>
              <w:left w:val="nil"/>
              <w:bottom w:val="nil"/>
              <w:right w:val="nil"/>
            </w:tcBorders>
            <w:shd w:val="clear" w:color="auto" w:fill="auto"/>
          </w:tcPr>
          <w:p w:rsidR="004A1D4B" w:rsidRPr="004A1D4B" w:rsidRDefault="004A1D4B" w:rsidP="004A1D4B">
            <w:pPr>
              <w:spacing w:before="120" w:after="0" w:line="240" w:lineRule="auto"/>
              <w:rPr>
                <w:rFonts w:ascii="Times New Roman" w:hAnsi="Times New Roman"/>
                <w:sz w:val="20"/>
                <w:szCs w:val="20"/>
              </w:rPr>
            </w:pPr>
          </w:p>
        </w:tc>
        <w:tc>
          <w:tcPr>
            <w:tcW w:w="425" w:type="dxa"/>
            <w:tcBorders>
              <w:top w:val="nil"/>
              <w:left w:val="nil"/>
              <w:bottom w:val="nil"/>
              <w:right w:val="nil"/>
            </w:tcBorders>
          </w:tcPr>
          <w:p w:rsidR="004A1D4B" w:rsidRPr="004A1D4B" w:rsidRDefault="004A1D4B" w:rsidP="004A1D4B">
            <w:pPr>
              <w:spacing w:before="120" w:after="0" w:line="240" w:lineRule="auto"/>
              <w:rPr>
                <w:rFonts w:ascii="Times New Roman" w:hAnsi="Times New Roman"/>
                <w:sz w:val="20"/>
                <w:szCs w:val="20"/>
              </w:rPr>
            </w:pPr>
          </w:p>
        </w:tc>
        <w:tc>
          <w:tcPr>
            <w:tcW w:w="2647" w:type="dxa"/>
            <w:tcBorders>
              <w:top w:val="nil"/>
              <w:left w:val="nil"/>
              <w:bottom w:val="nil"/>
              <w:right w:val="nil"/>
            </w:tcBorders>
            <w:shd w:val="clear" w:color="auto" w:fill="auto"/>
          </w:tcPr>
          <w:p w:rsidR="004A1D4B" w:rsidRPr="004A1D4B" w:rsidRDefault="004A1D4B" w:rsidP="004A1D4B">
            <w:pPr>
              <w:spacing w:before="120" w:after="0" w:line="240" w:lineRule="auto"/>
              <w:rPr>
                <w:rFonts w:ascii="Times New Roman" w:hAnsi="Times New Roman"/>
                <w:sz w:val="20"/>
                <w:szCs w:val="20"/>
              </w:rPr>
            </w:pPr>
          </w:p>
        </w:tc>
        <w:tc>
          <w:tcPr>
            <w:tcW w:w="1667" w:type="dxa"/>
            <w:tcBorders>
              <w:top w:val="nil"/>
              <w:left w:val="nil"/>
              <w:bottom w:val="nil"/>
              <w:right w:val="nil"/>
            </w:tcBorders>
            <w:shd w:val="clear" w:color="auto" w:fill="auto"/>
          </w:tcPr>
          <w:p w:rsidR="004A1D4B" w:rsidRPr="004A1D4B" w:rsidRDefault="004A1D4B" w:rsidP="004A1D4B">
            <w:pPr>
              <w:spacing w:after="0" w:line="240" w:lineRule="auto"/>
              <w:rPr>
                <w:rFonts w:ascii="Times New Roman" w:hAnsi="Times New Roman"/>
                <w:sz w:val="20"/>
                <w:szCs w:val="20"/>
              </w:rPr>
            </w:pPr>
          </w:p>
        </w:tc>
      </w:tr>
      <w:tr w:rsidR="004A1D4B" w:rsidRPr="0023781A" w:rsidTr="004A1D4B">
        <w:tc>
          <w:tcPr>
            <w:tcW w:w="1881" w:type="dxa"/>
            <w:tcBorders>
              <w:top w:val="nil"/>
              <w:left w:val="nil"/>
              <w:bottom w:val="nil"/>
              <w:right w:val="nil"/>
            </w:tcBorders>
            <w:shd w:val="clear" w:color="auto" w:fill="auto"/>
          </w:tcPr>
          <w:p w:rsidR="004A1D4B" w:rsidRPr="004A1D4B" w:rsidRDefault="004A1D4B" w:rsidP="004A1D4B">
            <w:pPr>
              <w:spacing w:before="120" w:after="0" w:line="240" w:lineRule="auto"/>
              <w:rPr>
                <w:rFonts w:ascii="Times New Roman" w:hAnsi="Times New Roman"/>
                <w:sz w:val="20"/>
                <w:szCs w:val="20"/>
              </w:rPr>
            </w:pPr>
            <w:r w:rsidRPr="004A1D4B">
              <w:rPr>
                <w:rFonts w:ascii="Times New Roman" w:hAnsi="Times New Roman"/>
                <w:sz w:val="20"/>
                <w:szCs w:val="20"/>
              </w:rPr>
              <w:t>Piperazines (into class C in 2009)</w:t>
            </w:r>
          </w:p>
        </w:tc>
        <w:tc>
          <w:tcPr>
            <w:tcW w:w="2622" w:type="dxa"/>
            <w:tcBorders>
              <w:top w:val="nil"/>
              <w:left w:val="nil"/>
              <w:bottom w:val="nil"/>
              <w:right w:val="nil"/>
            </w:tcBorders>
            <w:shd w:val="clear" w:color="auto" w:fill="auto"/>
          </w:tcPr>
          <w:p w:rsidR="004A1D4B" w:rsidRPr="004A1D4B" w:rsidRDefault="004A1D4B" w:rsidP="004A1D4B">
            <w:pPr>
              <w:spacing w:before="120" w:after="0" w:line="240" w:lineRule="auto"/>
              <w:rPr>
                <w:rFonts w:ascii="Times New Roman" w:hAnsi="Times New Roman"/>
                <w:sz w:val="20"/>
                <w:szCs w:val="20"/>
              </w:rPr>
            </w:pPr>
          </w:p>
        </w:tc>
        <w:tc>
          <w:tcPr>
            <w:tcW w:w="425" w:type="dxa"/>
            <w:tcBorders>
              <w:top w:val="nil"/>
              <w:left w:val="nil"/>
              <w:bottom w:val="nil"/>
              <w:right w:val="nil"/>
            </w:tcBorders>
          </w:tcPr>
          <w:p w:rsidR="004A1D4B" w:rsidRPr="004A1D4B" w:rsidRDefault="004A1D4B" w:rsidP="004A1D4B">
            <w:pPr>
              <w:spacing w:before="120" w:after="0" w:line="240" w:lineRule="auto"/>
              <w:rPr>
                <w:rFonts w:ascii="Times New Roman" w:hAnsi="Times New Roman"/>
                <w:sz w:val="20"/>
                <w:szCs w:val="20"/>
              </w:rPr>
            </w:pPr>
          </w:p>
        </w:tc>
        <w:tc>
          <w:tcPr>
            <w:tcW w:w="2647" w:type="dxa"/>
            <w:tcBorders>
              <w:top w:val="nil"/>
              <w:left w:val="nil"/>
              <w:bottom w:val="nil"/>
              <w:right w:val="nil"/>
            </w:tcBorders>
            <w:shd w:val="clear" w:color="auto" w:fill="auto"/>
          </w:tcPr>
          <w:p w:rsidR="004A1D4B" w:rsidRPr="004A1D4B" w:rsidRDefault="004A1D4B" w:rsidP="004A1D4B">
            <w:pPr>
              <w:spacing w:before="120" w:after="0" w:line="240" w:lineRule="auto"/>
              <w:rPr>
                <w:rFonts w:ascii="Times New Roman" w:hAnsi="Times New Roman"/>
                <w:sz w:val="20"/>
                <w:szCs w:val="20"/>
              </w:rPr>
            </w:pPr>
          </w:p>
        </w:tc>
        <w:tc>
          <w:tcPr>
            <w:tcW w:w="1667" w:type="dxa"/>
            <w:tcBorders>
              <w:top w:val="nil"/>
              <w:left w:val="nil"/>
              <w:bottom w:val="nil"/>
              <w:right w:val="nil"/>
            </w:tcBorders>
            <w:shd w:val="clear" w:color="auto" w:fill="auto"/>
          </w:tcPr>
          <w:p w:rsidR="004A1D4B" w:rsidRPr="004A1D4B" w:rsidRDefault="004A1D4B" w:rsidP="004A1D4B">
            <w:pPr>
              <w:spacing w:after="0" w:line="240" w:lineRule="auto"/>
              <w:rPr>
                <w:rFonts w:ascii="Times New Roman" w:hAnsi="Times New Roman"/>
                <w:sz w:val="20"/>
                <w:szCs w:val="20"/>
              </w:rPr>
            </w:pPr>
          </w:p>
        </w:tc>
      </w:tr>
      <w:tr w:rsidR="004A1D4B" w:rsidRPr="0023781A" w:rsidTr="004A1D4B">
        <w:tc>
          <w:tcPr>
            <w:tcW w:w="1881" w:type="dxa"/>
            <w:tcBorders>
              <w:top w:val="nil"/>
              <w:left w:val="nil"/>
              <w:bottom w:val="nil"/>
              <w:right w:val="nil"/>
            </w:tcBorders>
            <w:shd w:val="clear" w:color="auto" w:fill="auto"/>
          </w:tcPr>
          <w:p w:rsidR="004A1D4B" w:rsidRPr="004A1D4B" w:rsidRDefault="004A1D4B" w:rsidP="004A1D4B">
            <w:pPr>
              <w:spacing w:before="120" w:after="0" w:line="240" w:lineRule="auto"/>
              <w:rPr>
                <w:rFonts w:ascii="Times New Roman" w:hAnsi="Times New Roman"/>
                <w:sz w:val="20"/>
                <w:szCs w:val="20"/>
              </w:rPr>
            </w:pPr>
            <w:r w:rsidRPr="004A1D4B">
              <w:rPr>
                <w:rFonts w:ascii="Times New Roman" w:hAnsi="Times New Roman"/>
                <w:sz w:val="20"/>
                <w:szCs w:val="20"/>
              </w:rPr>
              <w:t>Substituted cathinones (into class B in 2010)</w:t>
            </w:r>
          </w:p>
        </w:tc>
        <w:tc>
          <w:tcPr>
            <w:tcW w:w="2622" w:type="dxa"/>
            <w:tcBorders>
              <w:top w:val="nil"/>
              <w:left w:val="nil"/>
              <w:bottom w:val="nil"/>
              <w:right w:val="nil"/>
            </w:tcBorders>
            <w:shd w:val="clear" w:color="auto" w:fill="auto"/>
          </w:tcPr>
          <w:p w:rsidR="004A1D4B" w:rsidRPr="004A1D4B" w:rsidRDefault="004A1D4B" w:rsidP="004A1D4B">
            <w:pPr>
              <w:spacing w:before="120" w:after="0" w:line="240" w:lineRule="auto"/>
              <w:rPr>
                <w:rFonts w:ascii="Times New Roman" w:hAnsi="Times New Roman"/>
                <w:sz w:val="20"/>
                <w:szCs w:val="20"/>
              </w:rPr>
            </w:pPr>
          </w:p>
        </w:tc>
        <w:tc>
          <w:tcPr>
            <w:tcW w:w="425" w:type="dxa"/>
            <w:tcBorders>
              <w:top w:val="nil"/>
              <w:left w:val="nil"/>
              <w:bottom w:val="nil"/>
              <w:right w:val="nil"/>
            </w:tcBorders>
          </w:tcPr>
          <w:p w:rsidR="004A1D4B" w:rsidRPr="004A1D4B" w:rsidRDefault="004A1D4B" w:rsidP="004A1D4B">
            <w:pPr>
              <w:spacing w:before="120" w:after="0" w:line="240" w:lineRule="auto"/>
              <w:rPr>
                <w:rFonts w:ascii="Times New Roman" w:hAnsi="Times New Roman"/>
                <w:sz w:val="20"/>
                <w:szCs w:val="20"/>
                <w:u w:val="single"/>
              </w:rPr>
            </w:pPr>
          </w:p>
        </w:tc>
        <w:tc>
          <w:tcPr>
            <w:tcW w:w="2647" w:type="dxa"/>
            <w:tcBorders>
              <w:top w:val="nil"/>
              <w:left w:val="nil"/>
              <w:bottom w:val="nil"/>
              <w:right w:val="nil"/>
            </w:tcBorders>
            <w:shd w:val="clear" w:color="auto" w:fill="auto"/>
          </w:tcPr>
          <w:p w:rsidR="004A1D4B" w:rsidRPr="004A1D4B" w:rsidRDefault="004A1D4B" w:rsidP="004A1D4B">
            <w:pPr>
              <w:spacing w:before="120" w:after="0" w:line="240" w:lineRule="auto"/>
              <w:rPr>
                <w:rFonts w:ascii="Times New Roman" w:hAnsi="Times New Roman"/>
                <w:sz w:val="20"/>
                <w:szCs w:val="20"/>
                <w:u w:val="single"/>
              </w:rPr>
            </w:pPr>
          </w:p>
        </w:tc>
        <w:tc>
          <w:tcPr>
            <w:tcW w:w="1667" w:type="dxa"/>
            <w:tcBorders>
              <w:top w:val="nil"/>
              <w:left w:val="nil"/>
              <w:bottom w:val="nil"/>
              <w:right w:val="nil"/>
            </w:tcBorders>
            <w:shd w:val="clear" w:color="auto" w:fill="auto"/>
          </w:tcPr>
          <w:p w:rsidR="004A1D4B" w:rsidRPr="004A1D4B" w:rsidRDefault="004A1D4B" w:rsidP="004A1D4B">
            <w:pPr>
              <w:spacing w:after="0" w:line="240" w:lineRule="auto"/>
              <w:rPr>
                <w:rFonts w:ascii="Times New Roman" w:hAnsi="Times New Roman"/>
                <w:sz w:val="20"/>
                <w:szCs w:val="20"/>
                <w:u w:val="single"/>
              </w:rPr>
            </w:pPr>
          </w:p>
        </w:tc>
      </w:tr>
      <w:tr w:rsidR="004A1D4B" w:rsidRPr="0023781A" w:rsidTr="004A1D4B">
        <w:tc>
          <w:tcPr>
            <w:tcW w:w="1881" w:type="dxa"/>
            <w:tcBorders>
              <w:top w:val="nil"/>
              <w:left w:val="nil"/>
              <w:bottom w:val="nil"/>
              <w:right w:val="nil"/>
            </w:tcBorders>
            <w:shd w:val="clear" w:color="auto" w:fill="auto"/>
          </w:tcPr>
          <w:p w:rsidR="004A1D4B" w:rsidRPr="004A1D4B" w:rsidRDefault="004A1D4B" w:rsidP="004A1D4B">
            <w:pPr>
              <w:spacing w:before="120" w:after="0" w:line="240" w:lineRule="auto"/>
              <w:rPr>
                <w:rFonts w:ascii="Times New Roman" w:hAnsi="Times New Roman"/>
                <w:sz w:val="20"/>
                <w:szCs w:val="20"/>
              </w:rPr>
            </w:pPr>
            <w:r w:rsidRPr="004A1D4B">
              <w:rPr>
                <w:rFonts w:ascii="Times New Roman" w:hAnsi="Times New Roman"/>
                <w:sz w:val="20"/>
                <w:szCs w:val="20"/>
              </w:rPr>
              <w:t>Substituted pyrovalerones (into class B in 2010)</w:t>
            </w:r>
          </w:p>
        </w:tc>
        <w:tc>
          <w:tcPr>
            <w:tcW w:w="2622" w:type="dxa"/>
            <w:tcBorders>
              <w:top w:val="nil"/>
              <w:left w:val="nil"/>
              <w:bottom w:val="nil"/>
              <w:right w:val="nil"/>
            </w:tcBorders>
            <w:shd w:val="clear" w:color="auto" w:fill="auto"/>
          </w:tcPr>
          <w:p w:rsidR="004A1D4B" w:rsidRPr="004A1D4B" w:rsidRDefault="004A1D4B" w:rsidP="004A1D4B">
            <w:pPr>
              <w:spacing w:before="120" w:after="0" w:line="240" w:lineRule="auto"/>
              <w:rPr>
                <w:rFonts w:ascii="Times New Roman" w:hAnsi="Times New Roman"/>
                <w:sz w:val="20"/>
                <w:szCs w:val="20"/>
              </w:rPr>
            </w:pPr>
          </w:p>
        </w:tc>
        <w:tc>
          <w:tcPr>
            <w:tcW w:w="425" w:type="dxa"/>
            <w:tcBorders>
              <w:top w:val="nil"/>
              <w:left w:val="nil"/>
              <w:bottom w:val="nil"/>
              <w:right w:val="nil"/>
            </w:tcBorders>
          </w:tcPr>
          <w:p w:rsidR="004A1D4B" w:rsidRPr="004A1D4B" w:rsidRDefault="004A1D4B" w:rsidP="004A1D4B">
            <w:pPr>
              <w:spacing w:before="120" w:after="0" w:line="240" w:lineRule="auto"/>
              <w:rPr>
                <w:rFonts w:ascii="Times New Roman" w:hAnsi="Times New Roman"/>
                <w:sz w:val="20"/>
                <w:szCs w:val="20"/>
                <w:u w:val="single"/>
              </w:rPr>
            </w:pPr>
          </w:p>
        </w:tc>
        <w:tc>
          <w:tcPr>
            <w:tcW w:w="2647" w:type="dxa"/>
            <w:tcBorders>
              <w:top w:val="nil"/>
              <w:left w:val="nil"/>
              <w:bottom w:val="nil"/>
              <w:right w:val="nil"/>
            </w:tcBorders>
            <w:shd w:val="clear" w:color="auto" w:fill="auto"/>
          </w:tcPr>
          <w:p w:rsidR="004A1D4B" w:rsidRPr="004A1D4B" w:rsidRDefault="004A1D4B" w:rsidP="004A1D4B">
            <w:pPr>
              <w:spacing w:before="120" w:after="0" w:line="240" w:lineRule="auto"/>
              <w:rPr>
                <w:rFonts w:ascii="Times New Roman" w:hAnsi="Times New Roman"/>
                <w:sz w:val="20"/>
                <w:szCs w:val="20"/>
                <w:u w:val="single"/>
              </w:rPr>
            </w:pPr>
          </w:p>
        </w:tc>
        <w:tc>
          <w:tcPr>
            <w:tcW w:w="1667" w:type="dxa"/>
            <w:tcBorders>
              <w:top w:val="nil"/>
              <w:left w:val="nil"/>
              <w:bottom w:val="nil"/>
              <w:right w:val="nil"/>
            </w:tcBorders>
            <w:shd w:val="clear" w:color="auto" w:fill="auto"/>
          </w:tcPr>
          <w:p w:rsidR="004A1D4B" w:rsidRPr="004A1D4B" w:rsidRDefault="004A1D4B" w:rsidP="004A1D4B">
            <w:pPr>
              <w:spacing w:after="0" w:line="240" w:lineRule="auto"/>
              <w:rPr>
                <w:rFonts w:ascii="Times New Roman" w:hAnsi="Times New Roman"/>
                <w:sz w:val="20"/>
                <w:szCs w:val="20"/>
                <w:u w:val="single"/>
              </w:rPr>
            </w:pPr>
          </w:p>
        </w:tc>
      </w:tr>
      <w:tr w:rsidR="004A1D4B" w:rsidRPr="0023781A" w:rsidTr="004A1D4B">
        <w:tc>
          <w:tcPr>
            <w:tcW w:w="1881" w:type="dxa"/>
            <w:tcBorders>
              <w:top w:val="nil"/>
              <w:left w:val="nil"/>
              <w:bottom w:val="nil"/>
              <w:right w:val="nil"/>
            </w:tcBorders>
            <w:shd w:val="clear" w:color="auto" w:fill="auto"/>
          </w:tcPr>
          <w:p w:rsidR="004A1D4B" w:rsidRPr="004A1D4B" w:rsidRDefault="004A1D4B" w:rsidP="004A1D4B">
            <w:pPr>
              <w:spacing w:before="120" w:after="0" w:line="240" w:lineRule="auto"/>
              <w:rPr>
                <w:rFonts w:ascii="Times New Roman" w:hAnsi="Times New Roman"/>
                <w:sz w:val="20"/>
                <w:szCs w:val="20"/>
              </w:rPr>
            </w:pPr>
            <w:r w:rsidRPr="004A1D4B">
              <w:rPr>
                <w:rFonts w:ascii="Times New Roman" w:hAnsi="Times New Roman"/>
                <w:sz w:val="20"/>
                <w:szCs w:val="20"/>
              </w:rPr>
              <w:t>Generically defined pipradrol derivatives (into class B in 2012)</w:t>
            </w:r>
          </w:p>
        </w:tc>
        <w:tc>
          <w:tcPr>
            <w:tcW w:w="2622" w:type="dxa"/>
            <w:tcBorders>
              <w:top w:val="nil"/>
              <w:left w:val="nil"/>
              <w:bottom w:val="nil"/>
              <w:right w:val="nil"/>
            </w:tcBorders>
            <w:shd w:val="clear" w:color="auto" w:fill="auto"/>
          </w:tcPr>
          <w:p w:rsidR="004A1D4B" w:rsidRPr="004A1D4B" w:rsidRDefault="004A1D4B" w:rsidP="004A1D4B">
            <w:pPr>
              <w:spacing w:before="120" w:after="0" w:line="240" w:lineRule="auto"/>
              <w:rPr>
                <w:rFonts w:ascii="Times New Roman" w:hAnsi="Times New Roman"/>
                <w:sz w:val="20"/>
                <w:szCs w:val="20"/>
              </w:rPr>
            </w:pPr>
          </w:p>
        </w:tc>
        <w:tc>
          <w:tcPr>
            <w:tcW w:w="425" w:type="dxa"/>
            <w:tcBorders>
              <w:top w:val="nil"/>
              <w:left w:val="nil"/>
              <w:bottom w:val="nil"/>
              <w:right w:val="nil"/>
            </w:tcBorders>
          </w:tcPr>
          <w:p w:rsidR="004A1D4B" w:rsidRPr="004A1D4B" w:rsidRDefault="004A1D4B" w:rsidP="004A1D4B">
            <w:pPr>
              <w:spacing w:before="120" w:after="0" w:line="240" w:lineRule="auto"/>
              <w:rPr>
                <w:rFonts w:ascii="Times New Roman" w:hAnsi="Times New Roman"/>
                <w:sz w:val="20"/>
                <w:szCs w:val="20"/>
                <w:u w:val="single"/>
              </w:rPr>
            </w:pPr>
          </w:p>
        </w:tc>
        <w:tc>
          <w:tcPr>
            <w:tcW w:w="2647" w:type="dxa"/>
            <w:tcBorders>
              <w:top w:val="nil"/>
              <w:left w:val="nil"/>
              <w:bottom w:val="nil"/>
              <w:right w:val="nil"/>
            </w:tcBorders>
            <w:shd w:val="clear" w:color="auto" w:fill="auto"/>
          </w:tcPr>
          <w:p w:rsidR="004A1D4B" w:rsidRPr="004A1D4B" w:rsidRDefault="004A1D4B" w:rsidP="004A1D4B">
            <w:pPr>
              <w:spacing w:before="120" w:after="0" w:line="240" w:lineRule="auto"/>
              <w:rPr>
                <w:rFonts w:ascii="Times New Roman" w:hAnsi="Times New Roman"/>
                <w:sz w:val="20"/>
                <w:szCs w:val="20"/>
                <w:u w:val="single"/>
              </w:rPr>
            </w:pPr>
          </w:p>
        </w:tc>
        <w:tc>
          <w:tcPr>
            <w:tcW w:w="1667" w:type="dxa"/>
            <w:tcBorders>
              <w:top w:val="nil"/>
              <w:left w:val="nil"/>
              <w:bottom w:val="nil"/>
              <w:right w:val="nil"/>
            </w:tcBorders>
            <w:shd w:val="clear" w:color="auto" w:fill="auto"/>
          </w:tcPr>
          <w:p w:rsidR="004A1D4B" w:rsidRPr="004A1D4B" w:rsidRDefault="004A1D4B" w:rsidP="004A1D4B">
            <w:pPr>
              <w:spacing w:after="0" w:line="240" w:lineRule="auto"/>
              <w:rPr>
                <w:rFonts w:ascii="Times New Roman" w:hAnsi="Times New Roman"/>
                <w:sz w:val="20"/>
                <w:szCs w:val="20"/>
                <w:u w:val="single"/>
              </w:rPr>
            </w:pPr>
          </w:p>
        </w:tc>
      </w:tr>
      <w:tr w:rsidR="004A1D4B" w:rsidRPr="0023781A" w:rsidTr="004A1D4B">
        <w:tc>
          <w:tcPr>
            <w:tcW w:w="1881" w:type="dxa"/>
            <w:tcBorders>
              <w:top w:val="nil"/>
              <w:left w:val="nil"/>
              <w:bottom w:val="single" w:sz="4" w:space="0" w:color="auto"/>
              <w:right w:val="nil"/>
            </w:tcBorders>
            <w:shd w:val="clear" w:color="auto" w:fill="auto"/>
          </w:tcPr>
          <w:p w:rsidR="004A1D4B" w:rsidRPr="004A1D4B" w:rsidRDefault="004A1D4B" w:rsidP="004A1D4B">
            <w:pPr>
              <w:spacing w:before="120" w:after="120" w:line="240" w:lineRule="auto"/>
              <w:rPr>
                <w:rFonts w:ascii="Times New Roman" w:hAnsi="Times New Roman"/>
                <w:sz w:val="20"/>
                <w:szCs w:val="20"/>
              </w:rPr>
            </w:pPr>
            <w:r w:rsidRPr="004A1D4B">
              <w:rPr>
                <w:rFonts w:ascii="Times New Roman" w:hAnsi="Times New Roman"/>
                <w:sz w:val="20"/>
                <w:szCs w:val="20"/>
              </w:rPr>
              <w:t xml:space="preserve">Methoxetamine and generically defined analogues of ketamine and </w:t>
            </w:r>
            <w:r w:rsidR="00774E83">
              <w:rPr>
                <w:rFonts w:ascii="Times New Roman" w:hAnsi="Times New Roman"/>
                <w:sz w:val="20"/>
                <w:szCs w:val="20"/>
                <w:lang w:val="en-US"/>
              </w:rPr>
              <w:t>phencyclidine</w:t>
            </w:r>
            <w:r w:rsidRPr="004A1D4B">
              <w:rPr>
                <w:rFonts w:ascii="Times New Roman" w:hAnsi="Times New Roman"/>
                <w:sz w:val="20"/>
                <w:szCs w:val="20"/>
                <w:lang w:val="en-US"/>
              </w:rPr>
              <w:t xml:space="preserve"> </w:t>
            </w:r>
            <w:r w:rsidRPr="004A1D4B">
              <w:rPr>
                <w:rFonts w:ascii="Times New Roman" w:hAnsi="Times New Roman"/>
                <w:sz w:val="20"/>
                <w:szCs w:val="20"/>
              </w:rPr>
              <w:t>(into class B in 2013)</w:t>
            </w:r>
          </w:p>
        </w:tc>
        <w:tc>
          <w:tcPr>
            <w:tcW w:w="2622" w:type="dxa"/>
            <w:tcBorders>
              <w:top w:val="nil"/>
              <w:left w:val="nil"/>
              <w:bottom w:val="single" w:sz="4" w:space="0" w:color="auto"/>
              <w:right w:val="nil"/>
            </w:tcBorders>
            <w:shd w:val="clear" w:color="auto" w:fill="auto"/>
          </w:tcPr>
          <w:p w:rsidR="004A1D4B" w:rsidRPr="004A1D4B" w:rsidRDefault="004A1D4B" w:rsidP="004A1D4B">
            <w:pPr>
              <w:spacing w:before="120" w:after="0" w:line="240" w:lineRule="auto"/>
              <w:rPr>
                <w:rFonts w:ascii="Times New Roman" w:hAnsi="Times New Roman"/>
                <w:sz w:val="20"/>
                <w:szCs w:val="20"/>
              </w:rPr>
            </w:pPr>
          </w:p>
        </w:tc>
        <w:tc>
          <w:tcPr>
            <w:tcW w:w="425" w:type="dxa"/>
            <w:tcBorders>
              <w:top w:val="nil"/>
              <w:left w:val="nil"/>
              <w:bottom w:val="single" w:sz="4" w:space="0" w:color="auto"/>
              <w:right w:val="nil"/>
            </w:tcBorders>
          </w:tcPr>
          <w:p w:rsidR="004A1D4B" w:rsidRPr="004A1D4B" w:rsidRDefault="004A1D4B" w:rsidP="004A1D4B">
            <w:pPr>
              <w:spacing w:before="120" w:after="0" w:line="240" w:lineRule="auto"/>
              <w:rPr>
                <w:rFonts w:ascii="Times New Roman" w:hAnsi="Times New Roman"/>
                <w:sz w:val="20"/>
                <w:szCs w:val="20"/>
                <w:u w:val="single"/>
              </w:rPr>
            </w:pPr>
          </w:p>
        </w:tc>
        <w:tc>
          <w:tcPr>
            <w:tcW w:w="2647" w:type="dxa"/>
            <w:tcBorders>
              <w:top w:val="nil"/>
              <w:left w:val="nil"/>
              <w:bottom w:val="single" w:sz="4" w:space="0" w:color="auto"/>
              <w:right w:val="nil"/>
            </w:tcBorders>
            <w:shd w:val="clear" w:color="auto" w:fill="auto"/>
          </w:tcPr>
          <w:p w:rsidR="004A1D4B" w:rsidRPr="004A1D4B" w:rsidRDefault="004A1D4B" w:rsidP="004A1D4B">
            <w:pPr>
              <w:spacing w:before="120" w:after="0" w:line="240" w:lineRule="auto"/>
              <w:rPr>
                <w:rFonts w:ascii="Times New Roman" w:hAnsi="Times New Roman"/>
                <w:sz w:val="20"/>
                <w:szCs w:val="20"/>
                <w:u w:val="single"/>
              </w:rPr>
            </w:pPr>
          </w:p>
        </w:tc>
        <w:tc>
          <w:tcPr>
            <w:tcW w:w="1667" w:type="dxa"/>
            <w:tcBorders>
              <w:top w:val="nil"/>
              <w:left w:val="nil"/>
              <w:bottom w:val="single" w:sz="4" w:space="0" w:color="auto"/>
              <w:right w:val="nil"/>
            </w:tcBorders>
            <w:shd w:val="clear" w:color="auto" w:fill="auto"/>
          </w:tcPr>
          <w:p w:rsidR="004A1D4B" w:rsidRPr="004A1D4B" w:rsidRDefault="004A1D4B" w:rsidP="004A1D4B">
            <w:pPr>
              <w:spacing w:after="0" w:line="240" w:lineRule="auto"/>
              <w:rPr>
                <w:rFonts w:ascii="Times New Roman" w:hAnsi="Times New Roman"/>
                <w:sz w:val="20"/>
                <w:szCs w:val="20"/>
                <w:u w:val="single"/>
              </w:rPr>
            </w:pPr>
          </w:p>
        </w:tc>
      </w:tr>
    </w:tbl>
    <w:p w:rsidR="00116FE9" w:rsidRDefault="00116FE9" w:rsidP="007510F8">
      <w:pPr>
        <w:spacing w:after="0" w:line="480" w:lineRule="auto"/>
        <w:rPr>
          <w:rFonts w:ascii="Times New Roman" w:hAnsi="Times New Roman"/>
          <w:sz w:val="24"/>
          <w:szCs w:val="24"/>
        </w:rPr>
      </w:pPr>
      <w:r>
        <w:rPr>
          <w:rFonts w:ascii="Times New Roman" w:hAnsi="Times New Roman"/>
          <w:sz w:val="24"/>
          <w:szCs w:val="24"/>
        </w:rPr>
        <w:t xml:space="preserve">Source: Based on appendix one of </w:t>
      </w:r>
      <w:r>
        <w:rPr>
          <w:rFonts w:ascii="Times New Roman" w:hAnsi="Times New Roman"/>
          <w:noProof/>
          <w:sz w:val="24"/>
          <w:szCs w:val="24"/>
        </w:rPr>
        <w:t>(32)</w:t>
      </w:r>
      <w:r>
        <w:rPr>
          <w:rFonts w:ascii="Times New Roman" w:hAnsi="Times New Roman"/>
          <w:sz w:val="24"/>
          <w:szCs w:val="24"/>
        </w:rPr>
        <w:t xml:space="preserve">, with more recent additions. </w:t>
      </w:r>
    </w:p>
    <w:p w:rsidR="00CE3174" w:rsidRDefault="00CE3174"/>
    <w:sectPr w:rsidR="00CE3174">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85D" w:rsidRDefault="00A3185D">
      <w:pPr>
        <w:spacing w:after="0" w:line="240" w:lineRule="auto"/>
      </w:pPr>
      <w:r>
        <w:separator/>
      </w:r>
    </w:p>
  </w:endnote>
  <w:endnote w:type="continuationSeparator" w:id="0">
    <w:p w:rsidR="00A3185D" w:rsidRDefault="00A31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3DF2" w:rsidRDefault="00C1353C">
    <w:pPr>
      <w:pStyle w:val="Footer"/>
      <w:jc w:val="right"/>
    </w:pPr>
    <w:r>
      <w:fldChar w:fldCharType="begin"/>
    </w:r>
    <w:r>
      <w:instrText xml:space="preserve"> PAGE   \* MERGEFORMAT </w:instrText>
    </w:r>
    <w:r>
      <w:fldChar w:fldCharType="separate"/>
    </w:r>
    <w:r w:rsidR="00D82761">
      <w:rPr>
        <w:noProof/>
      </w:rPr>
      <w:t>1</w:t>
    </w:r>
    <w:r>
      <w:rPr>
        <w:noProof/>
      </w:rPr>
      <w:fldChar w:fldCharType="end"/>
    </w:r>
  </w:p>
  <w:p w:rsidR="00A13DF2" w:rsidRDefault="00D827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85D" w:rsidRDefault="00A3185D">
      <w:pPr>
        <w:spacing w:after="0" w:line="240" w:lineRule="auto"/>
      </w:pPr>
      <w:r>
        <w:separator/>
      </w:r>
    </w:p>
  </w:footnote>
  <w:footnote w:type="continuationSeparator" w:id="0">
    <w:p w:rsidR="00A3185D" w:rsidRDefault="00A318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860B79"/>
    <w:multiLevelType w:val="hybridMultilevel"/>
    <w:tmpl w:val="F9F26E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EB4542"/>
    <w:multiLevelType w:val="hybridMultilevel"/>
    <w:tmpl w:val="93E8D32A"/>
    <w:lvl w:ilvl="0" w:tplc="93466BFE">
      <w:start w:val="1"/>
      <w:numFmt w:val="bullet"/>
      <w:lvlText w:val="•"/>
      <w:lvlJc w:val="left"/>
      <w:pPr>
        <w:tabs>
          <w:tab w:val="num" w:pos="720"/>
        </w:tabs>
        <w:ind w:left="720" w:hanging="360"/>
      </w:pPr>
      <w:rPr>
        <w:rFonts w:ascii="Times New Roman" w:hAnsi="Times New Roman" w:hint="default"/>
      </w:rPr>
    </w:lvl>
    <w:lvl w:ilvl="1" w:tplc="917E230A">
      <w:start w:val="2005"/>
      <w:numFmt w:val="bullet"/>
      <w:lvlText w:val=""/>
      <w:lvlJc w:val="left"/>
      <w:pPr>
        <w:tabs>
          <w:tab w:val="num" w:pos="1440"/>
        </w:tabs>
        <w:ind w:left="1440" w:hanging="360"/>
      </w:pPr>
      <w:rPr>
        <w:rFonts w:ascii="Wingdings" w:hAnsi="Wingdings" w:hint="default"/>
      </w:rPr>
    </w:lvl>
    <w:lvl w:ilvl="2" w:tplc="BED8EE80">
      <w:start w:val="2005"/>
      <w:numFmt w:val="bullet"/>
      <w:lvlText w:val="•"/>
      <w:lvlJc w:val="left"/>
      <w:pPr>
        <w:tabs>
          <w:tab w:val="num" w:pos="2160"/>
        </w:tabs>
        <w:ind w:left="2160" w:hanging="360"/>
      </w:pPr>
      <w:rPr>
        <w:rFonts w:ascii="Times New Roman" w:hAnsi="Times New Roman" w:hint="default"/>
      </w:rPr>
    </w:lvl>
    <w:lvl w:ilvl="3" w:tplc="6B840248" w:tentative="1">
      <w:start w:val="1"/>
      <w:numFmt w:val="bullet"/>
      <w:lvlText w:val="•"/>
      <w:lvlJc w:val="left"/>
      <w:pPr>
        <w:tabs>
          <w:tab w:val="num" w:pos="2880"/>
        </w:tabs>
        <w:ind w:left="2880" w:hanging="360"/>
      </w:pPr>
      <w:rPr>
        <w:rFonts w:ascii="Times New Roman" w:hAnsi="Times New Roman" w:hint="default"/>
      </w:rPr>
    </w:lvl>
    <w:lvl w:ilvl="4" w:tplc="D9F42474" w:tentative="1">
      <w:start w:val="1"/>
      <w:numFmt w:val="bullet"/>
      <w:lvlText w:val="•"/>
      <w:lvlJc w:val="left"/>
      <w:pPr>
        <w:tabs>
          <w:tab w:val="num" w:pos="3600"/>
        </w:tabs>
        <w:ind w:left="3600" w:hanging="360"/>
      </w:pPr>
      <w:rPr>
        <w:rFonts w:ascii="Times New Roman" w:hAnsi="Times New Roman" w:hint="default"/>
      </w:rPr>
    </w:lvl>
    <w:lvl w:ilvl="5" w:tplc="FCBEBA0E" w:tentative="1">
      <w:start w:val="1"/>
      <w:numFmt w:val="bullet"/>
      <w:lvlText w:val="•"/>
      <w:lvlJc w:val="left"/>
      <w:pPr>
        <w:tabs>
          <w:tab w:val="num" w:pos="4320"/>
        </w:tabs>
        <w:ind w:left="4320" w:hanging="360"/>
      </w:pPr>
      <w:rPr>
        <w:rFonts w:ascii="Times New Roman" w:hAnsi="Times New Roman" w:hint="default"/>
      </w:rPr>
    </w:lvl>
    <w:lvl w:ilvl="6" w:tplc="5C103FBE" w:tentative="1">
      <w:start w:val="1"/>
      <w:numFmt w:val="bullet"/>
      <w:lvlText w:val="•"/>
      <w:lvlJc w:val="left"/>
      <w:pPr>
        <w:tabs>
          <w:tab w:val="num" w:pos="5040"/>
        </w:tabs>
        <w:ind w:left="5040" w:hanging="360"/>
      </w:pPr>
      <w:rPr>
        <w:rFonts w:ascii="Times New Roman" w:hAnsi="Times New Roman" w:hint="default"/>
      </w:rPr>
    </w:lvl>
    <w:lvl w:ilvl="7" w:tplc="EA8A5C18" w:tentative="1">
      <w:start w:val="1"/>
      <w:numFmt w:val="bullet"/>
      <w:lvlText w:val="•"/>
      <w:lvlJc w:val="left"/>
      <w:pPr>
        <w:tabs>
          <w:tab w:val="num" w:pos="5760"/>
        </w:tabs>
        <w:ind w:left="5760" w:hanging="360"/>
      </w:pPr>
      <w:rPr>
        <w:rFonts w:ascii="Times New Roman" w:hAnsi="Times New Roman" w:hint="default"/>
      </w:rPr>
    </w:lvl>
    <w:lvl w:ilvl="8" w:tplc="7DC0CDB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3E0C0AF5"/>
    <w:multiLevelType w:val="hybridMultilevel"/>
    <w:tmpl w:val="EFE25168"/>
    <w:lvl w:ilvl="0" w:tplc="54606504">
      <w:start w:val="1"/>
      <w:numFmt w:val="bullet"/>
      <w:lvlText w:val="•"/>
      <w:lvlJc w:val="left"/>
      <w:pPr>
        <w:tabs>
          <w:tab w:val="num" w:pos="720"/>
        </w:tabs>
        <w:ind w:left="720" w:hanging="360"/>
      </w:pPr>
      <w:rPr>
        <w:rFonts w:ascii="Times New Roman" w:hAnsi="Times New Roman" w:hint="default"/>
      </w:rPr>
    </w:lvl>
    <w:lvl w:ilvl="1" w:tplc="A434F76A" w:tentative="1">
      <w:start w:val="1"/>
      <w:numFmt w:val="bullet"/>
      <w:lvlText w:val="•"/>
      <w:lvlJc w:val="left"/>
      <w:pPr>
        <w:tabs>
          <w:tab w:val="num" w:pos="1440"/>
        </w:tabs>
        <w:ind w:left="1440" w:hanging="360"/>
      </w:pPr>
      <w:rPr>
        <w:rFonts w:ascii="Times New Roman" w:hAnsi="Times New Roman" w:hint="default"/>
      </w:rPr>
    </w:lvl>
    <w:lvl w:ilvl="2" w:tplc="54A6F9FC" w:tentative="1">
      <w:start w:val="1"/>
      <w:numFmt w:val="bullet"/>
      <w:lvlText w:val="•"/>
      <w:lvlJc w:val="left"/>
      <w:pPr>
        <w:tabs>
          <w:tab w:val="num" w:pos="2160"/>
        </w:tabs>
        <w:ind w:left="2160" w:hanging="360"/>
      </w:pPr>
      <w:rPr>
        <w:rFonts w:ascii="Times New Roman" w:hAnsi="Times New Roman" w:hint="default"/>
      </w:rPr>
    </w:lvl>
    <w:lvl w:ilvl="3" w:tplc="041E5CB0" w:tentative="1">
      <w:start w:val="1"/>
      <w:numFmt w:val="bullet"/>
      <w:lvlText w:val="•"/>
      <w:lvlJc w:val="left"/>
      <w:pPr>
        <w:tabs>
          <w:tab w:val="num" w:pos="2880"/>
        </w:tabs>
        <w:ind w:left="2880" w:hanging="360"/>
      </w:pPr>
      <w:rPr>
        <w:rFonts w:ascii="Times New Roman" w:hAnsi="Times New Roman" w:hint="default"/>
      </w:rPr>
    </w:lvl>
    <w:lvl w:ilvl="4" w:tplc="2EBE8582" w:tentative="1">
      <w:start w:val="1"/>
      <w:numFmt w:val="bullet"/>
      <w:lvlText w:val="•"/>
      <w:lvlJc w:val="left"/>
      <w:pPr>
        <w:tabs>
          <w:tab w:val="num" w:pos="3600"/>
        </w:tabs>
        <w:ind w:left="3600" w:hanging="360"/>
      </w:pPr>
      <w:rPr>
        <w:rFonts w:ascii="Times New Roman" w:hAnsi="Times New Roman" w:hint="default"/>
      </w:rPr>
    </w:lvl>
    <w:lvl w:ilvl="5" w:tplc="71DEE5F6" w:tentative="1">
      <w:start w:val="1"/>
      <w:numFmt w:val="bullet"/>
      <w:lvlText w:val="•"/>
      <w:lvlJc w:val="left"/>
      <w:pPr>
        <w:tabs>
          <w:tab w:val="num" w:pos="4320"/>
        </w:tabs>
        <w:ind w:left="4320" w:hanging="360"/>
      </w:pPr>
      <w:rPr>
        <w:rFonts w:ascii="Times New Roman" w:hAnsi="Times New Roman" w:hint="default"/>
      </w:rPr>
    </w:lvl>
    <w:lvl w:ilvl="6" w:tplc="8DFC96E0" w:tentative="1">
      <w:start w:val="1"/>
      <w:numFmt w:val="bullet"/>
      <w:lvlText w:val="•"/>
      <w:lvlJc w:val="left"/>
      <w:pPr>
        <w:tabs>
          <w:tab w:val="num" w:pos="5040"/>
        </w:tabs>
        <w:ind w:left="5040" w:hanging="360"/>
      </w:pPr>
      <w:rPr>
        <w:rFonts w:ascii="Times New Roman" w:hAnsi="Times New Roman" w:hint="default"/>
      </w:rPr>
    </w:lvl>
    <w:lvl w:ilvl="7" w:tplc="919ED22C" w:tentative="1">
      <w:start w:val="1"/>
      <w:numFmt w:val="bullet"/>
      <w:lvlText w:val="•"/>
      <w:lvlJc w:val="left"/>
      <w:pPr>
        <w:tabs>
          <w:tab w:val="num" w:pos="5760"/>
        </w:tabs>
        <w:ind w:left="5760" w:hanging="360"/>
      </w:pPr>
      <w:rPr>
        <w:rFonts w:ascii="Times New Roman" w:hAnsi="Times New Roman" w:hint="default"/>
      </w:rPr>
    </w:lvl>
    <w:lvl w:ilvl="8" w:tplc="61BE24D6"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0&lt;/Enabled&gt;&lt;ScanUnformatted&gt;1&lt;/ScanUnformatted&gt;&lt;ScanChanges&gt;1&lt;/ScanChanges&gt;&lt;/ENInstantFormat&gt;"/>
  </w:docVars>
  <w:rsids>
    <w:rsidRoot w:val="00116FE9"/>
    <w:rsid w:val="00116FE9"/>
    <w:rsid w:val="004A1D4B"/>
    <w:rsid w:val="00774E83"/>
    <w:rsid w:val="00911E58"/>
    <w:rsid w:val="00A3185D"/>
    <w:rsid w:val="00A65CDE"/>
    <w:rsid w:val="00A836B6"/>
    <w:rsid w:val="00C1353C"/>
    <w:rsid w:val="00CE3174"/>
    <w:rsid w:val="00CE6CA3"/>
    <w:rsid w:val="00D82761"/>
    <w:rsid w:val="00F975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F5FBC6-3BFC-4027-8A96-BCE2CD34EC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6FE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16FE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16FE9"/>
    <w:rPr>
      <w:rFonts w:ascii="Tahoma" w:eastAsia="Calibri" w:hAnsi="Tahoma" w:cs="Times New Roman"/>
      <w:sz w:val="16"/>
      <w:szCs w:val="16"/>
      <w:lang w:val="x-none" w:eastAsia="x-none"/>
    </w:rPr>
  </w:style>
  <w:style w:type="character" w:styleId="Hyperlink">
    <w:name w:val="Hyperlink"/>
    <w:uiPriority w:val="99"/>
    <w:unhideWhenUsed/>
    <w:rsid w:val="00116FE9"/>
    <w:rPr>
      <w:color w:val="0000FF"/>
      <w:u w:val="single"/>
    </w:rPr>
  </w:style>
  <w:style w:type="character" w:styleId="CommentReference">
    <w:name w:val="annotation reference"/>
    <w:uiPriority w:val="99"/>
    <w:semiHidden/>
    <w:unhideWhenUsed/>
    <w:rsid w:val="00116FE9"/>
    <w:rPr>
      <w:sz w:val="16"/>
      <w:szCs w:val="16"/>
    </w:rPr>
  </w:style>
  <w:style w:type="paragraph" w:styleId="CommentText">
    <w:name w:val="annotation text"/>
    <w:basedOn w:val="Normal"/>
    <w:link w:val="CommentTextChar"/>
    <w:uiPriority w:val="99"/>
    <w:semiHidden/>
    <w:unhideWhenUsed/>
    <w:rsid w:val="00116FE9"/>
    <w:pPr>
      <w:spacing w:line="240" w:lineRule="auto"/>
    </w:pPr>
    <w:rPr>
      <w:sz w:val="20"/>
      <w:szCs w:val="20"/>
      <w:lang w:val="x-none" w:eastAsia="x-none"/>
    </w:rPr>
  </w:style>
  <w:style w:type="character" w:customStyle="1" w:styleId="CommentTextChar">
    <w:name w:val="Comment Text Char"/>
    <w:link w:val="CommentText"/>
    <w:uiPriority w:val="99"/>
    <w:semiHidden/>
    <w:rsid w:val="00116FE9"/>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116FE9"/>
    <w:rPr>
      <w:b/>
      <w:bCs/>
    </w:rPr>
  </w:style>
  <w:style w:type="character" w:customStyle="1" w:styleId="CommentSubjectChar">
    <w:name w:val="Comment Subject Char"/>
    <w:link w:val="CommentSubject"/>
    <w:uiPriority w:val="99"/>
    <w:semiHidden/>
    <w:rsid w:val="00116FE9"/>
    <w:rPr>
      <w:rFonts w:ascii="Calibri" w:eastAsia="Calibri" w:hAnsi="Calibri" w:cs="Times New Roman"/>
      <w:b/>
      <w:bCs/>
      <w:sz w:val="20"/>
      <w:szCs w:val="20"/>
      <w:lang w:val="x-none" w:eastAsia="x-none"/>
    </w:rPr>
  </w:style>
  <w:style w:type="paragraph" w:styleId="HTMLPreformatted">
    <w:name w:val="HTML Preformatted"/>
    <w:basedOn w:val="Normal"/>
    <w:link w:val="HTMLPreformattedChar"/>
    <w:uiPriority w:val="99"/>
    <w:semiHidden/>
    <w:unhideWhenUsed/>
    <w:rsid w:val="00116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en-GB"/>
    </w:rPr>
  </w:style>
  <w:style w:type="character" w:customStyle="1" w:styleId="HTMLPreformattedChar">
    <w:name w:val="HTML Preformatted Char"/>
    <w:link w:val="HTMLPreformatted"/>
    <w:uiPriority w:val="99"/>
    <w:semiHidden/>
    <w:rsid w:val="00116FE9"/>
    <w:rPr>
      <w:rFonts w:ascii="Courier New" w:eastAsia="Calibri" w:hAnsi="Courier New" w:cs="Times New Roman"/>
      <w:sz w:val="20"/>
      <w:szCs w:val="20"/>
      <w:lang w:val="x-none" w:eastAsia="en-GB"/>
    </w:rPr>
  </w:style>
  <w:style w:type="paragraph" w:styleId="Header">
    <w:name w:val="header"/>
    <w:basedOn w:val="Normal"/>
    <w:link w:val="HeaderChar"/>
    <w:uiPriority w:val="99"/>
    <w:unhideWhenUsed/>
    <w:rsid w:val="00116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6FE9"/>
    <w:rPr>
      <w:rFonts w:ascii="Calibri" w:eastAsia="Calibri" w:hAnsi="Calibri" w:cs="Times New Roman"/>
    </w:rPr>
  </w:style>
  <w:style w:type="paragraph" w:styleId="Footer">
    <w:name w:val="footer"/>
    <w:basedOn w:val="Normal"/>
    <w:link w:val="FooterChar"/>
    <w:uiPriority w:val="99"/>
    <w:unhideWhenUsed/>
    <w:rsid w:val="00116F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6FE9"/>
    <w:rPr>
      <w:rFonts w:ascii="Calibri" w:eastAsia="Calibri" w:hAnsi="Calibri" w:cs="Times New Roman"/>
    </w:rPr>
  </w:style>
  <w:style w:type="paragraph" w:styleId="NormalWeb">
    <w:name w:val="Normal (Web)"/>
    <w:basedOn w:val="Normal"/>
    <w:uiPriority w:val="99"/>
    <w:unhideWhenUsed/>
    <w:rsid w:val="00116FE9"/>
    <w:pPr>
      <w:spacing w:before="100" w:beforeAutospacing="1" w:after="100" w:afterAutospacing="1" w:line="240" w:lineRule="auto"/>
    </w:pPr>
    <w:rPr>
      <w:rFonts w:ascii="Times New Roman" w:eastAsia="Times New Roman" w:hAnsi="Times New Roman"/>
      <w:sz w:val="24"/>
      <w:szCs w:val="24"/>
      <w:lang w:val="en-US"/>
    </w:rPr>
  </w:style>
  <w:style w:type="character" w:customStyle="1" w:styleId="apple-style-span">
    <w:name w:val="apple-style-span"/>
    <w:basedOn w:val="DefaultParagraphFont"/>
    <w:rsid w:val="00116FE9"/>
  </w:style>
  <w:style w:type="table" w:styleId="TableGrid">
    <w:name w:val="Table Grid"/>
    <w:basedOn w:val="TableNormal"/>
    <w:uiPriority w:val="59"/>
    <w:rsid w:val="00116FE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16FE9"/>
    <w:pPr>
      <w:autoSpaceDE w:val="0"/>
      <w:autoSpaceDN w:val="0"/>
      <w:adjustRightInd w:val="0"/>
      <w:spacing w:after="0" w:line="240" w:lineRule="auto"/>
    </w:pPr>
    <w:rPr>
      <w:rFonts w:ascii="Arial" w:eastAsia="Calibri"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bcitation.org/6FjIb243v" TargetMode="External"/><Relationship Id="rId3" Type="http://schemas.openxmlformats.org/officeDocument/2006/relationships/settings" Target="settings.xml"/><Relationship Id="rId7" Type="http://schemas.openxmlformats.org/officeDocument/2006/relationships/hyperlink" Target="mailto:a.w.stevens@kent.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ebcitation.org/6FjIiqL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3556</Words>
  <Characters>20275</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23784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 Stevens</dc:creator>
  <cp:lastModifiedBy>Lisa Towers</cp:lastModifiedBy>
  <cp:revision>2</cp:revision>
  <dcterms:created xsi:type="dcterms:W3CDTF">2016-02-23T09:46:00Z</dcterms:created>
  <dcterms:modified xsi:type="dcterms:W3CDTF">2016-02-23T09:46:00Z</dcterms:modified>
</cp:coreProperties>
</file>