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986B8" w14:textId="77777777" w:rsidR="00A12143" w:rsidRPr="00A809AB" w:rsidRDefault="00A12143" w:rsidP="00744637">
      <w:pPr>
        <w:spacing w:after="0" w:line="480" w:lineRule="auto"/>
        <w:rPr>
          <w:b/>
          <w:sz w:val="28"/>
        </w:rPr>
      </w:pPr>
      <w:bookmarkStart w:id="0" w:name="_GoBack"/>
      <w:bookmarkEnd w:id="0"/>
      <w:r w:rsidRPr="00A809AB">
        <w:rPr>
          <w:b/>
          <w:sz w:val="28"/>
        </w:rPr>
        <w:t>Inequality and adolescent cannabis use: a qualitative comparative analysis of the link at national level</w:t>
      </w:r>
    </w:p>
    <w:p w14:paraId="095CB163" w14:textId="77777777" w:rsidR="00A12143" w:rsidRDefault="00A12143" w:rsidP="00744637">
      <w:pPr>
        <w:spacing w:after="0" w:line="480" w:lineRule="auto"/>
        <w:rPr>
          <w:b/>
        </w:rPr>
      </w:pPr>
    </w:p>
    <w:p w14:paraId="0724EE1D" w14:textId="6C08C43F" w:rsidR="00B70DA1" w:rsidRPr="00B70DA1" w:rsidRDefault="00B70DA1" w:rsidP="00744637">
      <w:pPr>
        <w:spacing w:after="0" w:line="480" w:lineRule="auto"/>
      </w:pPr>
      <w:r w:rsidRPr="00B70DA1">
        <w:t>Alex Stevens</w:t>
      </w:r>
    </w:p>
    <w:p w14:paraId="275DA3D1" w14:textId="583BD06B" w:rsidR="00B70DA1" w:rsidRPr="00B70DA1" w:rsidRDefault="00B70DA1" w:rsidP="00744637">
      <w:pPr>
        <w:spacing w:after="0" w:line="480" w:lineRule="auto"/>
      </w:pPr>
      <w:r w:rsidRPr="00B70DA1">
        <w:t>School of Social Policy, Sociology and Social Research</w:t>
      </w:r>
    </w:p>
    <w:p w14:paraId="592E172C" w14:textId="1B951D75" w:rsidR="00B70DA1" w:rsidRPr="00B70DA1" w:rsidRDefault="00B70DA1" w:rsidP="00744637">
      <w:pPr>
        <w:spacing w:after="0" w:line="480" w:lineRule="auto"/>
      </w:pPr>
      <w:r w:rsidRPr="00B70DA1">
        <w:t>University of Kent</w:t>
      </w:r>
    </w:p>
    <w:p w14:paraId="60A1004B" w14:textId="20BAF9BC" w:rsidR="00B70DA1" w:rsidRPr="00B70DA1" w:rsidRDefault="002B7DDB" w:rsidP="00744637">
      <w:pPr>
        <w:spacing w:after="0" w:line="480" w:lineRule="auto"/>
      </w:pPr>
      <w:hyperlink r:id="rId7" w:history="1">
        <w:r w:rsidR="00B70DA1" w:rsidRPr="00B70DA1">
          <w:rPr>
            <w:rStyle w:val="Hyperlink"/>
          </w:rPr>
          <w:t>a.w.stevens@kent.ac.uk</w:t>
        </w:r>
      </w:hyperlink>
    </w:p>
    <w:p w14:paraId="01988045" w14:textId="77777777" w:rsidR="00B70DA1" w:rsidRPr="00B70DA1" w:rsidRDefault="00B70DA1" w:rsidP="00744637">
      <w:pPr>
        <w:spacing w:after="0" w:line="480" w:lineRule="auto"/>
        <w:rPr>
          <w:i/>
        </w:rPr>
      </w:pPr>
    </w:p>
    <w:p w14:paraId="400B529A" w14:textId="05195988" w:rsidR="00B70DA1" w:rsidRPr="00B70DA1" w:rsidRDefault="00B70DA1" w:rsidP="00744637">
      <w:pPr>
        <w:spacing w:after="0" w:line="480" w:lineRule="auto"/>
        <w:rPr>
          <w:b/>
          <w:i/>
        </w:rPr>
      </w:pPr>
      <w:r w:rsidRPr="00B70DA1">
        <w:rPr>
          <w:i/>
        </w:rPr>
        <w:t xml:space="preserve">This is a pre-proof version of the article that was published with a DOI of </w:t>
      </w:r>
      <w:r w:rsidRPr="00B70DA1">
        <w:rPr>
          <w:i/>
          <w:color w:val="000000"/>
        </w:rPr>
        <w:t xml:space="preserve">10.3109/09687637.2015.1136266 in the journal </w:t>
      </w:r>
      <w:r w:rsidRPr="00B70DA1">
        <w:rPr>
          <w:color w:val="000000"/>
        </w:rPr>
        <w:t>Drugs: Education, Prevention and Policy</w:t>
      </w:r>
      <w:r w:rsidRPr="00B70DA1">
        <w:rPr>
          <w:i/>
          <w:color w:val="000000"/>
        </w:rPr>
        <w:t xml:space="preserve"> in 2016</w:t>
      </w:r>
    </w:p>
    <w:p w14:paraId="2ECF915F" w14:textId="77777777" w:rsidR="00B70DA1" w:rsidRDefault="00B70DA1" w:rsidP="00744637">
      <w:pPr>
        <w:spacing w:after="0" w:line="480" w:lineRule="auto"/>
        <w:rPr>
          <w:b/>
        </w:rPr>
      </w:pPr>
    </w:p>
    <w:p w14:paraId="359258C2" w14:textId="77777777" w:rsidR="00C35E30" w:rsidRPr="00CF4E6C" w:rsidRDefault="00C35E30" w:rsidP="00744637">
      <w:pPr>
        <w:spacing w:after="0" w:line="480" w:lineRule="auto"/>
        <w:rPr>
          <w:b/>
        </w:rPr>
      </w:pPr>
      <w:r w:rsidRPr="00CF4E6C">
        <w:rPr>
          <w:b/>
        </w:rPr>
        <w:t>Abstract</w:t>
      </w:r>
    </w:p>
    <w:p w14:paraId="56F2A468" w14:textId="531F5243" w:rsidR="00C35E30" w:rsidRDefault="2AB74EFE" w:rsidP="00B70DA1">
      <w:pPr>
        <w:spacing w:after="0" w:line="240" w:lineRule="auto"/>
      </w:pPr>
      <w:r>
        <w:t>Aim: this article explores the link between income inequality and adolescent cannabis use at the national level, in the context of other relevant social conditions, in developed countries.</w:t>
      </w:r>
    </w:p>
    <w:p w14:paraId="2CCCE613" w14:textId="77777777" w:rsidR="00C35E30" w:rsidRDefault="00C35E30" w:rsidP="00B70DA1">
      <w:pPr>
        <w:spacing w:after="0" w:line="240" w:lineRule="auto"/>
      </w:pPr>
      <w:r>
        <w:t xml:space="preserve">Methods and data: fuzzy set qualitative comparative analysis is applied to two datasets that contain information on </w:t>
      </w:r>
      <w:r w:rsidR="009F5DC2">
        <w:t xml:space="preserve">the national prevalence of </w:t>
      </w:r>
      <w:r>
        <w:t xml:space="preserve">past year cannabis use among 15 and 16 year olds, taken from the ESPAD and HBSC surveys, </w:t>
      </w:r>
      <w:r w:rsidR="00A12143">
        <w:t xml:space="preserve">with </w:t>
      </w:r>
      <w:r w:rsidR="009F5DC2">
        <w:t>supplement</w:t>
      </w:r>
      <w:r w:rsidR="00A12143">
        <w:t>ary data</w:t>
      </w:r>
      <w:r>
        <w:t xml:space="preserve"> from the MtF and ASSAD surveys for the USA and Australia</w:t>
      </w:r>
      <w:r w:rsidR="006E4B3D">
        <w:t xml:space="preserve"> (n = 9</w:t>
      </w:r>
      <w:r w:rsidR="009D3CE5">
        <w:t>7</w:t>
      </w:r>
      <w:r w:rsidR="006E4B3D">
        <w:t xml:space="preserve"> for the ESPAD and </w:t>
      </w:r>
      <w:r w:rsidR="001564EC">
        <w:t xml:space="preserve">n = </w:t>
      </w:r>
      <w:r w:rsidR="006E4B3D">
        <w:t>72 for the HBSC dataset)</w:t>
      </w:r>
      <w:r>
        <w:t>. The datasets also include data on national rates of income inequality (Gini coefficient), wealth (GDP per head)</w:t>
      </w:r>
      <w:r w:rsidR="009F5DC2">
        <w:t>, wel</w:t>
      </w:r>
      <w:r w:rsidR="00E64EDC">
        <w:t>f</w:t>
      </w:r>
      <w:r w:rsidR="009F5DC2">
        <w:t>are support (average benefit replacement rates)</w:t>
      </w:r>
      <w:r w:rsidR="00A12143">
        <w:t xml:space="preserve">, </w:t>
      </w:r>
      <w:r>
        <w:t>urbanisation</w:t>
      </w:r>
      <w:r w:rsidR="00A12143">
        <w:t xml:space="preserve"> and </w:t>
      </w:r>
      <w:r w:rsidR="001564EC">
        <w:t>labour market conditions (</w:t>
      </w:r>
      <w:r w:rsidR="009D3CE5">
        <w:t>youth unemployment</w:t>
      </w:r>
      <w:r w:rsidR="001564EC">
        <w:t>)</w:t>
      </w:r>
      <w:r>
        <w:t xml:space="preserve">. </w:t>
      </w:r>
    </w:p>
    <w:p w14:paraId="4C87ED69" w14:textId="77777777" w:rsidR="00C35E30" w:rsidRDefault="005A6640" w:rsidP="00B70DA1">
      <w:pPr>
        <w:spacing w:after="0" w:line="240" w:lineRule="auto"/>
      </w:pPr>
      <w:r>
        <w:t>Findings</w:t>
      </w:r>
      <w:r w:rsidR="00C35E30">
        <w:t>:</w:t>
      </w:r>
      <w:r w:rsidR="009F5DC2">
        <w:t xml:space="preserve"> </w:t>
      </w:r>
      <w:r w:rsidR="00C35E30">
        <w:t xml:space="preserve">the combination of high inequality </w:t>
      </w:r>
      <w:r w:rsidR="009D3CE5">
        <w:t xml:space="preserve">and </w:t>
      </w:r>
      <w:r w:rsidR="00C35E30">
        <w:t xml:space="preserve">high urbanisation </w:t>
      </w:r>
      <w:r w:rsidR="009D3CE5">
        <w:t>forms part of configurations that are consistent with being usually sufficient to cause high adolescent cannabis use, alongside high GDP per head in the ESPAD dataset, and low welfare support in the HBSC</w:t>
      </w:r>
      <w:r w:rsidR="001874BF">
        <w:t xml:space="preserve"> dataset</w:t>
      </w:r>
      <w:r w:rsidR="00BF7894">
        <w:t>.</w:t>
      </w:r>
      <w:r w:rsidR="009D3CE5">
        <w:t xml:space="preserve"> </w:t>
      </w:r>
    </w:p>
    <w:p w14:paraId="6F843A9F" w14:textId="09E3ADC1" w:rsidR="00C35E30" w:rsidRDefault="2AB74EFE" w:rsidP="00B70DA1">
      <w:pPr>
        <w:spacing w:after="0" w:line="240" w:lineRule="auto"/>
      </w:pPr>
      <w:r>
        <w:t xml:space="preserve">Conclusion: social conditions, and particularly the combination of income inequality and urbanisation, should be considered when studying the causation of high levels of adolescent cannabis use at the national level in developed countries. </w:t>
      </w:r>
    </w:p>
    <w:p w14:paraId="3A31FBC3" w14:textId="77777777" w:rsidR="001564EC" w:rsidRDefault="00BF7894" w:rsidP="00B70DA1">
      <w:pPr>
        <w:spacing w:after="0" w:line="240" w:lineRule="auto"/>
        <w:rPr>
          <w:b/>
          <w:sz w:val="28"/>
        </w:rPr>
      </w:pPr>
      <w:r>
        <w:br w:type="page"/>
      </w:r>
    </w:p>
    <w:p w14:paraId="79A68CE1" w14:textId="77777777" w:rsidR="007451D4" w:rsidRPr="00C35E30" w:rsidRDefault="00A12143" w:rsidP="00744637">
      <w:pPr>
        <w:spacing w:after="0" w:line="480" w:lineRule="auto"/>
      </w:pPr>
      <w:r w:rsidRPr="00A809AB">
        <w:rPr>
          <w:b/>
          <w:sz w:val="28"/>
        </w:rPr>
        <w:lastRenderedPageBreak/>
        <w:t>Inequality and adolescent cannabis use: a qualitative comparative analysis of the link at national level</w:t>
      </w:r>
    </w:p>
    <w:p w14:paraId="1A5F3E82" w14:textId="77777777" w:rsidR="00C35E30" w:rsidRDefault="00C35E30" w:rsidP="00744637">
      <w:pPr>
        <w:spacing w:after="0" w:line="480" w:lineRule="auto"/>
      </w:pPr>
    </w:p>
    <w:p w14:paraId="1B7757EE" w14:textId="77777777" w:rsidR="005D1133" w:rsidRPr="00CF4E6C" w:rsidRDefault="005D1133" w:rsidP="00744637">
      <w:pPr>
        <w:spacing w:after="0" w:line="480" w:lineRule="auto"/>
        <w:rPr>
          <w:b/>
        </w:rPr>
      </w:pPr>
      <w:r w:rsidRPr="00CF4E6C">
        <w:rPr>
          <w:b/>
        </w:rPr>
        <w:t>Introduction</w:t>
      </w:r>
    </w:p>
    <w:p w14:paraId="627D3371" w14:textId="77777777" w:rsidR="0071528F" w:rsidRPr="00CF4E6C" w:rsidRDefault="0071528F" w:rsidP="00744637">
      <w:pPr>
        <w:spacing w:after="0" w:line="480" w:lineRule="auto"/>
        <w:rPr>
          <w:i/>
        </w:rPr>
      </w:pPr>
    </w:p>
    <w:p w14:paraId="594FDE16" w14:textId="77777777" w:rsidR="0071528F" w:rsidRDefault="6E19D746" w:rsidP="00744637">
      <w:pPr>
        <w:spacing w:after="0" w:line="480" w:lineRule="auto"/>
      </w:pPr>
      <w:r>
        <w:t>This article introduce</w:t>
      </w:r>
      <w:r w:rsidR="00E64EDC">
        <w:t>s</w:t>
      </w:r>
      <w:r>
        <w:t xml:space="preserve"> the use of qualitative comparative analysis (QCA) to the field of drug policy studies. It does so through an exploration of the link between income inequality and adolescent cannabis use in the contexts of other social conditions which may influence the prevalence of illicit drug use at the national level.  </w:t>
      </w:r>
    </w:p>
    <w:p w14:paraId="3ECEB9DD" w14:textId="77777777" w:rsidR="001564EC" w:rsidRDefault="001564EC" w:rsidP="00744637">
      <w:pPr>
        <w:spacing w:after="0" w:line="480" w:lineRule="auto"/>
      </w:pPr>
    </w:p>
    <w:p w14:paraId="24790575" w14:textId="20B9F4FF" w:rsidR="006356B9" w:rsidRDefault="0071528F" w:rsidP="00744637">
      <w:pPr>
        <w:spacing w:after="0" w:line="480" w:lineRule="auto"/>
      </w:pPr>
      <w:r>
        <w:t xml:space="preserve">The use of illicit drugs by young people has historically been </w:t>
      </w:r>
      <w:r w:rsidR="001B0152">
        <w:t xml:space="preserve">a </w:t>
      </w:r>
      <w:r>
        <w:t>driver of pu</w:t>
      </w:r>
      <w:r w:rsidR="00BF7894">
        <w:t>blic concern and policy</w:t>
      </w:r>
      <w:r>
        <w:t xml:space="preserve"> </w:t>
      </w:r>
      <w:r w:rsidR="00D2201A" w:rsidRPr="00D2201A">
        <w:rPr>
          <w:noProof/>
        </w:rPr>
        <w:t>(Berridge, 2013; Kohn, 2001; Mills, 2013)</w:t>
      </w:r>
      <w:r w:rsidR="003F7B13">
        <w:t xml:space="preserve">. </w:t>
      </w:r>
      <w:r w:rsidR="009D3CE5">
        <w:t>There have been</w:t>
      </w:r>
      <w:r w:rsidR="003F7B13">
        <w:t xml:space="preserve"> suggesting that social conditions may </w:t>
      </w:r>
      <w:r w:rsidR="00B24BDC">
        <w:t>have more effect</w:t>
      </w:r>
      <w:r w:rsidR="003F7B13">
        <w:t xml:space="preserve"> than </w:t>
      </w:r>
      <w:r w:rsidR="009D3CE5">
        <w:t xml:space="preserve">drug policies </w:t>
      </w:r>
      <w:r w:rsidR="00B24BDC">
        <w:t xml:space="preserve">on levels of use </w:t>
      </w:r>
      <w:r w:rsidR="003F7B13" w:rsidRPr="003F7B13">
        <w:rPr>
          <w:noProof/>
        </w:rPr>
        <w:t xml:space="preserve">(Faupel, Horowitz, &amp; Weaver, 2004; </w:t>
      </w:r>
      <w:r w:rsidR="00D17531">
        <w:rPr>
          <w:noProof/>
        </w:rPr>
        <w:t>Stevens, 2011</w:t>
      </w:r>
      <w:r w:rsidR="003F7B13" w:rsidRPr="003F7B13">
        <w:rPr>
          <w:noProof/>
        </w:rPr>
        <w:t>)</w:t>
      </w:r>
      <w:r w:rsidR="003F7B13">
        <w:t xml:space="preserve">. </w:t>
      </w:r>
      <w:r w:rsidR="00B24BDC">
        <w:t xml:space="preserve">But study of the influence of social conditions on drug use prevalence is rare. </w:t>
      </w:r>
      <w:r w:rsidR="003F7B13">
        <w:t>This article focuses on the potential influence of income inequality, alongside other theoretically relevant social conditions</w:t>
      </w:r>
      <w:r w:rsidR="00BF7894">
        <w:t xml:space="preserve"> (in particular, socio-economic conditions)</w:t>
      </w:r>
      <w:r w:rsidR="003F7B13">
        <w:t xml:space="preserve"> on adolescent drug use; specifically cannabis use by 15 and 16 years olds in economically developed countries that have </w:t>
      </w:r>
      <w:r w:rsidR="00B24BDC">
        <w:t>similar</w:t>
      </w:r>
      <w:r w:rsidR="003F7B13">
        <w:t xml:space="preserve"> cultural background</w:t>
      </w:r>
      <w:r w:rsidR="00BF7894">
        <w:t>s</w:t>
      </w:r>
      <w:r w:rsidR="003F7B13">
        <w:t xml:space="preserve">. It is important to study influences on cannabis use at this age for at least two reasons. One is that cannabis use in adolescence is probably more damaging to </w:t>
      </w:r>
      <w:r w:rsidR="00D252E4">
        <w:t xml:space="preserve">both </w:t>
      </w:r>
      <w:r w:rsidR="003F7B13">
        <w:t>mental health and educational attainment than it i</w:t>
      </w:r>
      <w:r w:rsidR="006E4541">
        <w:t>s at o</w:t>
      </w:r>
      <w:r w:rsidR="00D2201A">
        <w:t>lder</w:t>
      </w:r>
      <w:r w:rsidR="00BF7894">
        <w:t xml:space="preserve"> </w:t>
      </w:r>
      <w:r w:rsidR="00D2201A">
        <w:t xml:space="preserve">ages </w:t>
      </w:r>
      <w:r w:rsidR="00D2201A" w:rsidRPr="00D2201A">
        <w:rPr>
          <w:noProof/>
        </w:rPr>
        <w:t>(Di Forti et al., 2015; Hall, 2015)</w:t>
      </w:r>
      <w:r w:rsidR="006E4541">
        <w:t xml:space="preserve">. The other is that it would be highly relevant to </w:t>
      </w:r>
      <w:r w:rsidR="00D252E4">
        <w:t xml:space="preserve">public </w:t>
      </w:r>
      <w:r w:rsidR="006E4541">
        <w:t xml:space="preserve">policy debates if it were found that social conditions that can be </w:t>
      </w:r>
      <w:r w:rsidR="00D252E4">
        <w:t>changed</w:t>
      </w:r>
      <w:r w:rsidR="006E4541">
        <w:t xml:space="preserve"> by social policy influence the prevalence of this behaviour</w:t>
      </w:r>
    </w:p>
    <w:p w14:paraId="47DA1020" w14:textId="77777777" w:rsidR="00867356" w:rsidRDefault="00867356" w:rsidP="00744637">
      <w:pPr>
        <w:spacing w:after="0" w:line="480" w:lineRule="auto"/>
      </w:pPr>
    </w:p>
    <w:p w14:paraId="1ED56EA4" w14:textId="77777777" w:rsidR="00BE75AC" w:rsidRDefault="001564EC" w:rsidP="00744637">
      <w:pPr>
        <w:spacing w:after="0" w:line="480" w:lineRule="auto"/>
      </w:pPr>
      <w:r>
        <w:t xml:space="preserve">QCA is presented as a method for the examination of a social phenomenon that is likely to have causes that are complex, multiple and contingent. The sample of countries in cross-national analysis </w:t>
      </w:r>
      <w:r>
        <w:lastRenderedPageBreak/>
        <w:t xml:space="preserve">tends to be small. QCA has been designed for the analysis of configurational causation in small samples of cases. </w:t>
      </w:r>
      <w:r w:rsidR="005D1133">
        <w:t>Th</w:t>
      </w:r>
      <w:r w:rsidR="006E4541">
        <w:t>is article does not present</w:t>
      </w:r>
      <w:r w:rsidR="00F33D4A">
        <w:t xml:space="preserve"> confirmatory analys</w:t>
      </w:r>
      <w:r w:rsidR="00C13713">
        <w:t>e</w:t>
      </w:r>
      <w:r w:rsidR="005D1133">
        <w:t xml:space="preserve">s that aim to close debate. </w:t>
      </w:r>
      <w:r w:rsidR="00B24BDC">
        <w:t xml:space="preserve">It does not aim to provide a complete, definitive explanation of the causes of cross-national variation in rates of adolescent cannabis use, but rather an exploratory analysis of the ways in which </w:t>
      </w:r>
      <w:r w:rsidR="00BF7894">
        <w:t>the influences of social conditions may combine</w:t>
      </w:r>
      <w:r w:rsidR="00B24BDC">
        <w:t>. A</w:t>
      </w:r>
      <w:r w:rsidR="005D1133">
        <w:t xml:space="preserve">ccording to a search of the </w:t>
      </w:r>
      <w:r w:rsidR="005D1133">
        <w:rPr>
          <w:i/>
        </w:rPr>
        <w:t>Web of Science</w:t>
      </w:r>
      <w:r w:rsidR="00B24BDC">
        <w:t xml:space="preserve"> - using the search terms (‘QCA’ OR ‘qualitative comparative analysis’) AND ‘drug’ - this is </w:t>
      </w:r>
      <w:r w:rsidR="005D1133">
        <w:t>the first article to apply QCA to the analysis of illicit drug use</w:t>
      </w:r>
      <w:r>
        <w:rPr>
          <w:rStyle w:val="EndnoteReference"/>
        </w:rPr>
        <w:endnoteReference w:id="1"/>
      </w:r>
      <w:r w:rsidR="005D1133">
        <w:t xml:space="preserve">. </w:t>
      </w:r>
    </w:p>
    <w:p w14:paraId="1086732C" w14:textId="77777777" w:rsidR="00BE75AC" w:rsidRDefault="00BE75AC" w:rsidP="00744637">
      <w:pPr>
        <w:spacing w:after="0" w:line="480" w:lineRule="auto"/>
      </w:pPr>
    </w:p>
    <w:p w14:paraId="7E6896C6" w14:textId="77777777" w:rsidR="005D1133" w:rsidRDefault="6E19D746" w:rsidP="00744637">
      <w:pPr>
        <w:spacing w:after="0" w:line="480" w:lineRule="auto"/>
      </w:pPr>
      <w:r>
        <w:t xml:space="preserve">The article </w:t>
      </w:r>
      <w:r w:rsidR="00120F46">
        <w:t xml:space="preserve">explains </w:t>
      </w:r>
      <w:r w:rsidR="00B01D57">
        <w:t xml:space="preserve">some </w:t>
      </w:r>
      <w:r>
        <w:t xml:space="preserve">theoretical </w:t>
      </w:r>
      <w:r w:rsidR="00B01D57">
        <w:t>reasons why inequality and other social conditions may affect adolescent drug use. It also</w:t>
      </w:r>
      <w:r w:rsidR="00BF7894">
        <w:t xml:space="preserve"> explains</w:t>
      </w:r>
      <w:r w:rsidR="00120F46">
        <w:t xml:space="preserve"> the QCA approach</w:t>
      </w:r>
      <w:r>
        <w:t>.</w:t>
      </w:r>
      <w:r w:rsidR="005B16A9">
        <w:t xml:space="preserve"> It then presents the data </w:t>
      </w:r>
      <w:r w:rsidR="007451D4">
        <w:t>that were collected</w:t>
      </w:r>
      <w:r w:rsidR="005B16A9">
        <w:t xml:space="preserve">, the </w:t>
      </w:r>
      <w:r w:rsidR="00744637">
        <w:t>analyse</w:t>
      </w:r>
      <w:r>
        <w:t>s applied</w:t>
      </w:r>
      <w:r w:rsidR="005B16A9">
        <w:t xml:space="preserve">, and results of </w:t>
      </w:r>
      <w:r w:rsidR="00744637">
        <w:t>this</w:t>
      </w:r>
      <w:r w:rsidR="005B16A9">
        <w:t xml:space="preserve"> fuzzy set</w:t>
      </w:r>
      <w:r w:rsidR="00744637">
        <w:t xml:space="preserve"> qualitative comparative analysi</w:t>
      </w:r>
      <w:r w:rsidR="005B16A9">
        <w:t>s</w:t>
      </w:r>
      <w:r w:rsidR="004736CC">
        <w:t xml:space="preserve"> (fsQCA)</w:t>
      </w:r>
      <w:r w:rsidR="005B16A9">
        <w:t xml:space="preserve">. </w:t>
      </w:r>
      <w:r w:rsidR="00744637">
        <w:t>The limitations and implications of these findings are discussed. T</w:t>
      </w:r>
      <w:r>
        <w:t xml:space="preserve">he article concludes with a </w:t>
      </w:r>
      <w:r w:rsidR="005B16A9">
        <w:t xml:space="preserve">brief </w:t>
      </w:r>
      <w:r>
        <w:t xml:space="preserve">summary of its contribution to </w:t>
      </w:r>
      <w:r w:rsidR="001564EC">
        <w:t>research</w:t>
      </w:r>
      <w:r>
        <w:t xml:space="preserve"> on the </w:t>
      </w:r>
      <w:r w:rsidR="00B01D57">
        <w:t>social conditions that may influence</w:t>
      </w:r>
      <w:r>
        <w:t xml:space="preserve"> adolescent cannabis use. </w:t>
      </w:r>
    </w:p>
    <w:p w14:paraId="4177F2AA" w14:textId="77777777" w:rsidR="00B01D57" w:rsidRDefault="00B01D57" w:rsidP="00744637">
      <w:pPr>
        <w:spacing w:after="0" w:line="480" w:lineRule="auto"/>
      </w:pPr>
    </w:p>
    <w:p w14:paraId="5EF46528" w14:textId="77777777" w:rsidR="00B01D57" w:rsidRDefault="00A1172C" w:rsidP="00744637">
      <w:pPr>
        <w:spacing w:after="0" w:line="480" w:lineRule="auto"/>
        <w:rPr>
          <w:b/>
        </w:rPr>
      </w:pPr>
      <w:r>
        <w:rPr>
          <w:b/>
        </w:rPr>
        <w:t>The</w:t>
      </w:r>
      <w:r w:rsidR="00B01D57">
        <w:rPr>
          <w:b/>
        </w:rPr>
        <w:t xml:space="preserve"> social conditions of adolescent cannabis use</w:t>
      </w:r>
    </w:p>
    <w:p w14:paraId="7EFCC626" w14:textId="77777777" w:rsidR="00B36B67" w:rsidRDefault="00B36B67" w:rsidP="00744637">
      <w:pPr>
        <w:spacing w:after="0" w:line="480" w:lineRule="auto"/>
      </w:pPr>
    </w:p>
    <w:p w14:paraId="61DAB035" w14:textId="77777777" w:rsidR="00CA7BE1" w:rsidRDefault="00CA7BE1" w:rsidP="00744637">
      <w:pPr>
        <w:spacing w:after="0" w:line="480" w:lineRule="auto"/>
      </w:pPr>
      <w:r>
        <w:t xml:space="preserve">The association between social conditions and illicit drug use has been observed in a number of single-country qualitative and quantitative studies </w:t>
      </w:r>
      <w:r w:rsidR="00F00389" w:rsidRPr="00F00389">
        <w:rPr>
          <w:noProof/>
        </w:rPr>
        <w:t>(</w:t>
      </w:r>
      <w:r w:rsidR="001564EC">
        <w:rPr>
          <w:noProof/>
        </w:rPr>
        <w:t xml:space="preserve">e.g. </w:t>
      </w:r>
      <w:r w:rsidR="00F00389" w:rsidRPr="00F00389">
        <w:rPr>
          <w:noProof/>
        </w:rPr>
        <w:t>ACMD, 1998; Bourgois, 1996; Faupel, Horowitz, &amp; Weaver, 2004; Legleye, Janssen, Beck, Chau, &amp; Khlat, 2011; Seddon, 2006; Shaw, Egan, &amp; Gillespie, 2007; Singer, 2008)</w:t>
      </w:r>
      <w:r>
        <w:t>. Cross-nationally, a linear, positive correlation between</w:t>
      </w:r>
      <w:r w:rsidR="00F00389">
        <w:t xml:space="preserve"> countries’ levels of</w:t>
      </w:r>
      <w:r>
        <w:t xml:space="preserve"> income inequality and illicit drug use has been observed by Wilkinson and Pickett </w:t>
      </w:r>
      <w:r w:rsidRPr="004547EB">
        <w:rPr>
          <w:noProof/>
        </w:rPr>
        <w:t>(2008)</w:t>
      </w:r>
      <w:r>
        <w:t>. They propose a bio-psycho-social explanation for this relationship. They argue that social hierarchy produces stress amongst primates, including humans. This ‘status anxiety’ leads to the production of excessive levels of the stress hormone, cortisol, and to higher levels of anxiety and depression whe</w:t>
      </w:r>
      <w:r w:rsidR="00744637">
        <w:t>re</w:t>
      </w:r>
      <w:r>
        <w:t xml:space="preserve"> inequality is greater. These then lead to higher rates of illicit drug use, as well as a wide range of other social problems, including violence, child mortality, mental illness and early deaths. </w:t>
      </w:r>
    </w:p>
    <w:p w14:paraId="5D3D7925" w14:textId="77777777" w:rsidR="00CA7BE1" w:rsidRDefault="00CA7BE1" w:rsidP="00744637">
      <w:pPr>
        <w:spacing w:after="0" w:line="480" w:lineRule="auto"/>
      </w:pPr>
    </w:p>
    <w:p w14:paraId="17A297CB" w14:textId="0045F36F" w:rsidR="00CA7BE1" w:rsidRDefault="00CA7BE1" w:rsidP="00744637">
      <w:pPr>
        <w:spacing w:after="0" w:line="480" w:lineRule="auto"/>
      </w:pPr>
      <w:r>
        <w:t xml:space="preserve">This proposed cause is not specific to adolescence and has been challenged by several authors on various grounds </w:t>
      </w:r>
      <w:r w:rsidRPr="002E2C8A">
        <w:rPr>
          <w:noProof/>
        </w:rPr>
        <w:t>(see Rowlingson, 2011 for a review)</w:t>
      </w:r>
      <w:r>
        <w:t xml:space="preserve">. But there are other ways in which such a link could be explained. These include the social development model of Catalano and Hawkins </w:t>
      </w:r>
      <w:r w:rsidRPr="004547EB">
        <w:rPr>
          <w:noProof/>
        </w:rPr>
        <w:t>(1996)</w:t>
      </w:r>
      <w:r>
        <w:t xml:space="preserve"> and the less deterministic (and less well established) concept of subterranean structuration</w:t>
      </w:r>
      <w:r w:rsidR="00F00389">
        <w:t xml:space="preserve"> </w:t>
      </w:r>
      <w:r w:rsidR="00FB7937">
        <w:t>(Stevens, 2011)</w:t>
      </w:r>
      <w:r>
        <w:t xml:space="preserve">. The </w:t>
      </w:r>
      <w:r w:rsidR="001564EC">
        <w:t>social development model</w:t>
      </w:r>
      <w:r>
        <w:t xml:space="preserve"> resembles several other models of the determinants of public health </w:t>
      </w:r>
      <w:r w:rsidRPr="004C0298">
        <w:rPr>
          <w:noProof/>
        </w:rPr>
        <w:t>(Rayner &amp; Lang, 2012)</w:t>
      </w:r>
      <w:r>
        <w:t xml:space="preserve"> in positing a variety of proximal and distal influences on adolescent behaviour. These include ‘position in the social structure’ alongside ‘individual constitutional factors’ and other ‘external conditions’ as the starting points for development through childhood. This will also be influenced by ‘prosocial’ and ‘antisocial’ opportunities and reinforcements to produce different patterns of delinquency and drug use in adolescence </w:t>
      </w:r>
      <w:r w:rsidR="00F00389">
        <w:rPr>
          <w:noProof/>
        </w:rPr>
        <w:t>(</w:t>
      </w:r>
      <w:r w:rsidRPr="003D47BA">
        <w:rPr>
          <w:noProof/>
        </w:rPr>
        <w:t>Catalano &amp; Hawkins, 1996, p. 159)</w:t>
      </w:r>
      <w:r>
        <w:t xml:space="preserve">. In this model, countries which have higher rates of </w:t>
      </w:r>
      <w:r w:rsidR="00F00389">
        <w:t xml:space="preserve">relative </w:t>
      </w:r>
      <w:r>
        <w:t>poverty will see more children influenced to develop along ‘antisocial’ lines, leading</w:t>
      </w:r>
      <w:r w:rsidR="00F00389">
        <w:t xml:space="preserve"> – in combination with other influences - </w:t>
      </w:r>
      <w:r>
        <w:t xml:space="preserve">to higher rates of illicit drug use. </w:t>
      </w:r>
    </w:p>
    <w:p w14:paraId="06319FD9" w14:textId="77777777" w:rsidR="00CA7BE1" w:rsidRDefault="00CA7BE1" w:rsidP="00744637">
      <w:pPr>
        <w:spacing w:after="0" w:line="480" w:lineRule="auto"/>
      </w:pPr>
    </w:p>
    <w:p w14:paraId="0E160AA9" w14:textId="415DAE18" w:rsidR="00CA7BE1" w:rsidRDefault="00CA7BE1" w:rsidP="00744637">
      <w:pPr>
        <w:spacing w:after="0" w:line="480" w:lineRule="auto"/>
      </w:pPr>
      <w:r>
        <w:t xml:space="preserve">The social development model shares with the bio-psycho-social model the assumption that </w:t>
      </w:r>
      <w:r w:rsidR="00744637">
        <w:t xml:space="preserve">drug </w:t>
      </w:r>
      <w:r>
        <w:t>use is likely to be highest among poor and socially marginalised groups. Th</w:t>
      </w:r>
      <w:r w:rsidR="00744637">
        <w:t>is is not supported</w:t>
      </w:r>
      <w:r>
        <w:t xml:space="preserve"> by the available data, </w:t>
      </w:r>
      <w:r w:rsidR="00F00389">
        <w:t xml:space="preserve">which suggests that cannabis use at the age of 16 may be higher in wealthier groups </w:t>
      </w:r>
      <w:r w:rsidR="000450BD" w:rsidRPr="000450BD">
        <w:rPr>
          <w:noProof/>
        </w:rPr>
        <w:t>(Aston, 2015; Chowdry, Crawford, &amp; Goodman, 2009; Humensky, 2010; )</w:t>
      </w:r>
      <w:r>
        <w:t xml:space="preserve">.  </w:t>
      </w:r>
      <w:r w:rsidR="000450BD">
        <w:t xml:space="preserve">This is a finding that can be explained by using the </w:t>
      </w:r>
      <w:r w:rsidR="00DD03DB">
        <w:t xml:space="preserve">hybrid </w:t>
      </w:r>
      <w:r w:rsidR="000450BD">
        <w:t xml:space="preserve">concept of </w:t>
      </w:r>
      <w:r>
        <w:t>subterrane</w:t>
      </w:r>
      <w:r w:rsidR="00D17531">
        <w:t>an structuration (Stevens, 2011)</w:t>
      </w:r>
      <w:r>
        <w:t xml:space="preserve">. </w:t>
      </w:r>
      <w:r w:rsidR="00744637">
        <w:t>This</w:t>
      </w:r>
      <w:r>
        <w:t xml:space="preserve"> combines the concepts of ‘subterranean values’ </w:t>
      </w:r>
      <w:r w:rsidRPr="009B3BDA">
        <w:rPr>
          <w:noProof/>
        </w:rPr>
        <w:t>(Matza &amp; Sykes, 1961)</w:t>
      </w:r>
      <w:r>
        <w:t xml:space="preserve"> with a sociological approach to the interplay of structure and agency, known as ‘structuration’ </w:t>
      </w:r>
      <w:r w:rsidRPr="009B3BDA">
        <w:rPr>
          <w:noProof/>
        </w:rPr>
        <w:t>(Giddens, 1984)</w:t>
      </w:r>
      <w:r>
        <w:t xml:space="preserve">. It merges these two concepts in arguing that subterranean values of hedonism, excitement and instant gratification have become, as suggested by both Jock Young </w:t>
      </w:r>
      <w:r w:rsidRPr="009B3BDA">
        <w:rPr>
          <w:noProof/>
        </w:rPr>
        <w:t>(2007; 1971)</w:t>
      </w:r>
      <w:r>
        <w:t xml:space="preserve"> and Zygmunt Bauman </w:t>
      </w:r>
      <w:r w:rsidRPr="002B5B19">
        <w:rPr>
          <w:noProof/>
        </w:rPr>
        <w:t>(2007)</w:t>
      </w:r>
      <w:r>
        <w:t>, cultural resources that young people use to create their repertoires of action</w:t>
      </w:r>
      <w:r w:rsidR="00744637">
        <w:t>. Young and Bauman have observed this especially</w:t>
      </w:r>
      <w:r>
        <w:t xml:space="preserve"> in those more unequal countries where ‘turbo-capitalism’ has deepened social stratification</w:t>
      </w:r>
      <w:r w:rsidR="00DD03DB">
        <w:t>, and where such stratification is performed through consumption</w:t>
      </w:r>
      <w:r>
        <w:t xml:space="preserve">. Young people at the higher end of unequal income distributions are enabled to express these values as they have more money to spend. Young people at the lower end may seek to counter the pains of social ‘relegation’ to which they are exposed </w:t>
      </w:r>
      <w:r w:rsidRPr="00860391">
        <w:rPr>
          <w:noProof/>
        </w:rPr>
        <w:t>(Wacquant, 2007)</w:t>
      </w:r>
      <w:r>
        <w:t xml:space="preserve">. Illicit drug use can do this through its psychoactive effects (perhaps especially the calming and distancing effects that cannabis users often report </w:t>
      </w:r>
      <w:r w:rsidR="00017DDE">
        <w:t>[</w:t>
      </w:r>
      <w:r w:rsidR="00DD03DB" w:rsidRPr="00DD03DB">
        <w:rPr>
          <w:noProof/>
        </w:rPr>
        <w:t>Müller &amp; Schumann, 2011</w:t>
      </w:r>
      <w:r w:rsidR="00017DDE">
        <w:rPr>
          <w:noProof/>
        </w:rPr>
        <w:t>]</w:t>
      </w:r>
      <w:r w:rsidR="00DD03DB" w:rsidRPr="00DD03DB">
        <w:rPr>
          <w:noProof/>
        </w:rPr>
        <w:t>)</w:t>
      </w:r>
      <w:r w:rsidR="00DD03DB">
        <w:t xml:space="preserve">. </w:t>
      </w:r>
      <w:r>
        <w:t xml:space="preserve">It can also provide a way to perform identities that reject demeaning forms of low paid work and low cost consumption, in favour of more romanticised, rebellious personae </w:t>
      </w:r>
      <w:r w:rsidR="00017DDE">
        <w:t>(</w:t>
      </w:r>
      <w:r w:rsidR="00D17531">
        <w:t>Stevens, 2011</w:t>
      </w:r>
      <w:r w:rsidR="00017DDE">
        <w:t>;</w:t>
      </w:r>
      <w:r w:rsidR="00D17531">
        <w:t xml:space="preserve"> </w:t>
      </w:r>
      <w:r w:rsidR="00F00389" w:rsidRPr="00F00389">
        <w:rPr>
          <w:noProof/>
        </w:rPr>
        <w:t>Sandberg &amp; Pedersen, 2009)</w:t>
      </w:r>
      <w:r>
        <w:t xml:space="preserve">. Such performances of outlaw identity through drug use may also be attractive to some wealthier young people who wish to avoid being seen as mere dependents on their parents </w:t>
      </w:r>
      <w:r w:rsidRPr="00E24B88">
        <w:rPr>
          <w:noProof/>
        </w:rPr>
        <w:t>(Mohamed &amp; Fritsvold, 2010)</w:t>
      </w:r>
      <w:r>
        <w:t xml:space="preserve">. So inequality may </w:t>
      </w:r>
      <w:r w:rsidR="00017DDE">
        <w:t xml:space="preserve">intensify the social conditions of </w:t>
      </w:r>
      <w:r>
        <w:t>illicit drug use at both ends of the income scale.</w:t>
      </w:r>
    </w:p>
    <w:p w14:paraId="2CF46961" w14:textId="77777777" w:rsidR="00CA7BE1" w:rsidRDefault="00CA7BE1" w:rsidP="00744637">
      <w:pPr>
        <w:spacing w:after="0" w:line="480" w:lineRule="auto"/>
      </w:pPr>
    </w:p>
    <w:p w14:paraId="62B11E8A" w14:textId="77777777" w:rsidR="00B01D57" w:rsidRPr="00B01D57" w:rsidRDefault="00B01D57" w:rsidP="00744637">
      <w:pPr>
        <w:spacing w:after="0" w:line="480" w:lineRule="auto"/>
      </w:pPr>
      <w:r>
        <w:t xml:space="preserve">In different ways, these theories suggest that high levels of inequality are likely to increase a country’s prevalence of illicit drug use among young people. They also suggest that other social conditions may influence such behaviour if they affect bio-psycho-social stress, adolescent development and the </w:t>
      </w:r>
      <w:r w:rsidR="00DD03DB">
        <w:t xml:space="preserve">attractions and </w:t>
      </w:r>
      <w:r>
        <w:t xml:space="preserve">availability of opportunities to use cannabis. </w:t>
      </w:r>
      <w:r w:rsidR="00017DDE">
        <w:t>So t</w:t>
      </w:r>
      <w:r w:rsidR="00DD03DB">
        <w:t>he conditions with which inequality is likely to combine in influencing adolescent cannabis use include welfare support, urbanisation, wealth and labour market conditions. W</w:t>
      </w:r>
      <w:r>
        <w:t>elfare policies may moderate the impact of inequality on young people</w:t>
      </w:r>
      <w:r w:rsidR="00DD03DB">
        <w:t xml:space="preserve"> by reducing the </w:t>
      </w:r>
      <w:r w:rsidR="001564EC">
        <w:t>effects</w:t>
      </w:r>
      <w:r w:rsidR="00DD03DB">
        <w:t xml:space="preserve"> of both income and status inequalities</w:t>
      </w:r>
      <w:r>
        <w:t xml:space="preserve">. </w:t>
      </w:r>
      <w:r w:rsidR="00DD03DB">
        <w:t xml:space="preserve">Urbanisation </w:t>
      </w:r>
      <w:r w:rsidR="000477FD">
        <w:t xml:space="preserve">has </w:t>
      </w:r>
      <w:r w:rsidR="000477FD">
        <w:rPr>
          <w:rFonts w:cs="Arial"/>
          <w:shd w:val="clear" w:color="auto" w:fill="FFFFFF"/>
        </w:rPr>
        <w:t xml:space="preserve">been found to affect youth mental health and behaviour </w:t>
      </w:r>
      <w:r w:rsidR="00FE3AE0">
        <w:rPr>
          <w:rFonts w:cs="Arial"/>
          <w:shd w:val="clear" w:color="auto" w:fill="FFFFFF"/>
        </w:rPr>
        <w:t>in previous studies</w:t>
      </w:r>
      <w:r w:rsidR="000477FD">
        <w:rPr>
          <w:rFonts w:cs="Arial"/>
          <w:shd w:val="clear" w:color="auto" w:fill="FFFFFF"/>
        </w:rPr>
        <w:t xml:space="preserve"> </w:t>
      </w:r>
      <w:r w:rsidR="00FE3AE0">
        <w:rPr>
          <w:rFonts w:cs="Arial"/>
          <w:shd w:val="clear" w:color="auto" w:fill="FFFFFF"/>
        </w:rPr>
        <w:t>(</w:t>
      </w:r>
      <w:r w:rsidR="000477FD">
        <w:rPr>
          <w:rFonts w:cs="Arial"/>
          <w:shd w:val="clear" w:color="auto" w:fill="FFFFFF"/>
        </w:rPr>
        <w:t xml:space="preserve">Weatherburn </w:t>
      </w:r>
      <w:r w:rsidR="00FE3AE0">
        <w:rPr>
          <w:rFonts w:cs="Arial"/>
          <w:shd w:val="clear" w:color="auto" w:fill="FFFFFF"/>
        </w:rPr>
        <w:t xml:space="preserve">&amp; Lind, </w:t>
      </w:r>
      <w:r w:rsidR="00FE3AE0">
        <w:rPr>
          <w:rFonts w:cs="Arial"/>
          <w:noProof/>
          <w:shd w:val="clear" w:color="auto" w:fill="FFFFFF"/>
        </w:rPr>
        <w:t xml:space="preserve">2001; </w:t>
      </w:r>
      <w:r w:rsidR="00FE3AE0">
        <w:rPr>
          <w:rFonts w:cs="Arial"/>
          <w:shd w:val="clear" w:color="auto" w:fill="FFFFFF"/>
        </w:rPr>
        <w:t xml:space="preserve">Lederborg et al, </w:t>
      </w:r>
      <w:r w:rsidR="000477FD" w:rsidRPr="009A0DAF">
        <w:rPr>
          <w:rFonts w:cs="Arial"/>
          <w:noProof/>
          <w:shd w:val="clear" w:color="auto" w:fill="FFFFFF"/>
        </w:rPr>
        <w:t>2011</w:t>
      </w:r>
      <w:r w:rsidR="00FE3AE0">
        <w:rPr>
          <w:rFonts w:cs="Arial"/>
          <w:noProof/>
          <w:shd w:val="clear" w:color="auto" w:fill="FFFFFF"/>
        </w:rPr>
        <w:t xml:space="preserve">; </w:t>
      </w:r>
      <w:r w:rsidR="000477FD" w:rsidRPr="00D21460">
        <w:rPr>
          <w:rFonts w:cs="Arial"/>
          <w:noProof/>
          <w:shd w:val="clear" w:color="auto" w:fill="FFFFFF"/>
        </w:rPr>
        <w:t>Peen, Schoevers, Beekman, &amp; Dekker, 2010)</w:t>
      </w:r>
      <w:r w:rsidR="000477FD">
        <w:rPr>
          <w:rFonts w:cs="Arial"/>
          <w:shd w:val="clear" w:color="auto" w:fill="FFFFFF"/>
        </w:rPr>
        <w:t xml:space="preserve">. </w:t>
      </w:r>
      <w:r w:rsidR="00FE3AE0">
        <w:rPr>
          <w:rFonts w:cs="Arial"/>
          <w:shd w:val="clear" w:color="auto" w:fill="FFFFFF"/>
        </w:rPr>
        <w:t xml:space="preserve">It </w:t>
      </w:r>
      <w:r w:rsidR="00DD03DB">
        <w:t xml:space="preserve">may increase drug use by </w:t>
      </w:r>
      <w:r w:rsidR="00834A07">
        <w:t xml:space="preserve">increasing stress and by </w:t>
      </w:r>
      <w:r w:rsidR="00DD03DB">
        <w:t xml:space="preserve">creating more concentrated social networks through which drugs </w:t>
      </w:r>
      <w:r w:rsidR="001564EC">
        <w:t>(</w:t>
      </w:r>
      <w:r w:rsidR="00DD03DB">
        <w:t>and cultural norms related to drug use</w:t>
      </w:r>
      <w:r w:rsidR="001564EC">
        <w:t>)</w:t>
      </w:r>
      <w:r w:rsidR="00DD03DB">
        <w:t xml:space="preserve"> may flow </w:t>
      </w:r>
      <w:r w:rsidR="00DD03DB" w:rsidRPr="00DD03DB">
        <w:rPr>
          <w:noProof/>
        </w:rPr>
        <w:t>(Aldridge, Measham, &amp; Williams, 2011)</w:t>
      </w:r>
      <w:r w:rsidR="00DD03DB">
        <w:t>.</w:t>
      </w:r>
      <w:r w:rsidR="00834A07">
        <w:t xml:space="preserve"> Young people in wealthier countries may have more disposable income with which to indulge any motivations to use drugs. A lack of labour market opportunities for young people may increase the relative attractions of seeking pleasure and status in drug use.</w:t>
      </w:r>
      <w:r w:rsidR="00DD03DB">
        <w:t xml:space="preserve"> </w:t>
      </w:r>
      <w:r w:rsidR="00834A07">
        <w:t xml:space="preserve">These conditions are likely to combine in ways that are not yet theoretically predictable and have rarely been studied empirically. </w:t>
      </w:r>
      <w:r>
        <w:t xml:space="preserve"> We therefore need an analytical approach that can help us in developing theoretical and empirical knowledge of the causes of national prevalence of illicit drug use and of how they combine with each other.</w:t>
      </w:r>
    </w:p>
    <w:p w14:paraId="5DA674EB" w14:textId="77777777" w:rsidR="00877149" w:rsidRDefault="00877149" w:rsidP="00744637">
      <w:pPr>
        <w:spacing w:after="0" w:line="480" w:lineRule="auto"/>
        <w:rPr>
          <w:u w:val="single"/>
        </w:rPr>
      </w:pPr>
    </w:p>
    <w:p w14:paraId="57F0C724" w14:textId="77777777" w:rsidR="005D1133" w:rsidRPr="007340C1" w:rsidRDefault="6E19D746" w:rsidP="00744637">
      <w:pPr>
        <w:spacing w:after="0" w:line="480" w:lineRule="auto"/>
        <w:rPr>
          <w:b/>
        </w:rPr>
      </w:pPr>
      <w:r w:rsidRPr="007340C1">
        <w:rPr>
          <w:b/>
        </w:rPr>
        <w:t>Set relationships, necessity and sufficiency</w:t>
      </w:r>
      <w:r w:rsidR="007340C1">
        <w:rPr>
          <w:b/>
        </w:rPr>
        <w:t xml:space="preserve"> in QCA</w:t>
      </w:r>
    </w:p>
    <w:p w14:paraId="2C83CCC7" w14:textId="77777777" w:rsidR="00877149" w:rsidRDefault="00877149" w:rsidP="00744637">
      <w:pPr>
        <w:spacing w:after="0" w:line="480" w:lineRule="auto"/>
      </w:pPr>
    </w:p>
    <w:p w14:paraId="4C898763" w14:textId="77777777" w:rsidR="00017DDE" w:rsidRDefault="007340C1" w:rsidP="00017DDE">
      <w:pPr>
        <w:spacing w:after="0" w:line="480" w:lineRule="auto"/>
      </w:pPr>
      <w:r>
        <w:t>QCA</w:t>
      </w:r>
      <w:r w:rsidR="6E19D746">
        <w:t xml:space="preserve"> has been developed by Charles Ragin and others </w:t>
      </w:r>
      <w:r w:rsidR="00996DE0" w:rsidRPr="00996DE0">
        <w:rPr>
          <w:noProof/>
        </w:rPr>
        <w:t>(Marx, Cambré, &amp; Rihoux, 2013; Ragin, 2000, 2008; Rihoux, Rezsöhazy, &amp; Bol, 2011)</w:t>
      </w:r>
      <w:r w:rsidR="6E19D746">
        <w:t xml:space="preserve"> and has most often been applied in the fields of political science</w:t>
      </w:r>
      <w:r w:rsidR="005E7247">
        <w:t>, business and management,</w:t>
      </w:r>
      <w:r w:rsidR="6E19D746">
        <w:t xml:space="preserve"> and historical sociology</w:t>
      </w:r>
      <w:r w:rsidR="00943A46">
        <w:t xml:space="preserve"> </w:t>
      </w:r>
      <w:r w:rsidR="005E7247">
        <w:t xml:space="preserve">(see the bibliography at </w:t>
      </w:r>
      <w:r w:rsidR="005E7247" w:rsidRPr="005E7247">
        <w:t>http://www.compasss.org/bibdata.htm</w:t>
      </w:r>
      <w:r w:rsidR="005E7247">
        <w:t>)</w:t>
      </w:r>
      <w:r w:rsidR="6E19D746">
        <w:t xml:space="preserve">. </w:t>
      </w:r>
      <w:r w:rsidR="00017DDE">
        <w:t>It is a new technique in this field, and so this article will explain its principles and application. It will try and avoid the use of technical language, although such details will be given in endnotes.</w:t>
      </w:r>
    </w:p>
    <w:p w14:paraId="683FEE5A" w14:textId="77777777" w:rsidR="00017DDE" w:rsidRDefault="00017DDE" w:rsidP="00017DDE">
      <w:pPr>
        <w:spacing w:after="0" w:line="480" w:lineRule="auto"/>
      </w:pPr>
    </w:p>
    <w:p w14:paraId="1842A69B" w14:textId="77777777" w:rsidR="00953654" w:rsidRDefault="00017DDE" w:rsidP="00744637">
      <w:pPr>
        <w:spacing w:after="0" w:line="480" w:lineRule="auto"/>
      </w:pPr>
      <w:r>
        <w:t>QCA</w:t>
      </w:r>
      <w:r w:rsidR="6E19D746">
        <w:t xml:space="preserve"> does not rely on correlations between variables</w:t>
      </w:r>
      <w:r>
        <w:t xml:space="preserve"> (as regression analysis does)</w:t>
      </w:r>
      <w:r w:rsidR="6E19D746">
        <w:t xml:space="preserve">, but rather on set relationships between cases. Ragin (2000) argues that such set relations are implicit in all causal hypotheses. To hypothesise that a particular condition is a </w:t>
      </w:r>
      <w:r w:rsidR="6E19D746" w:rsidRPr="001564EC">
        <w:rPr>
          <w:i/>
        </w:rPr>
        <w:t>sufficient</w:t>
      </w:r>
      <w:r w:rsidR="6E19D746">
        <w:t xml:space="preserve"> cause of a particular outcome is equivalent to proposing that cases that have the condition form a subset of cases that have the outcome. Cases </w:t>
      </w:r>
      <w:r w:rsidR="00515CB9">
        <w:t xml:space="preserve">which do not have the outcome but do have the </w:t>
      </w:r>
      <w:r w:rsidR="6E19D746">
        <w:t xml:space="preserve">purportedly sufficient condition would challenge the notion that the condition is sufficient </w:t>
      </w:r>
      <w:r w:rsidR="00CA7BE1">
        <w:t>to</w:t>
      </w:r>
      <w:r w:rsidR="6E19D746">
        <w:t xml:space="preserve"> cause the outcome. Similarly, to hypothesise that a particular condition is a </w:t>
      </w:r>
      <w:r w:rsidR="6E19D746" w:rsidRPr="001564EC">
        <w:rPr>
          <w:i/>
        </w:rPr>
        <w:t>necessary</w:t>
      </w:r>
      <w:r w:rsidR="6E19D746">
        <w:t xml:space="preserve"> cause of a particular outcome is equivalent to proposing that cases with the outcome form a subset of cases with the condition. Cases </w:t>
      </w:r>
      <w:r w:rsidR="00515CB9">
        <w:t>which have the outcome</w:t>
      </w:r>
      <w:r w:rsidR="00933507">
        <w:t xml:space="preserve"> </w:t>
      </w:r>
      <w:r w:rsidR="00515CB9">
        <w:t xml:space="preserve">but do not have the </w:t>
      </w:r>
      <w:r w:rsidR="6E19D746">
        <w:t xml:space="preserve">purportedly necessary condition would challenge the notion that the condition is necessary </w:t>
      </w:r>
      <w:r w:rsidR="00CA7BE1">
        <w:t>to</w:t>
      </w:r>
      <w:r w:rsidR="6E19D746">
        <w:t xml:space="preserve"> cause the outcome.</w:t>
      </w:r>
    </w:p>
    <w:p w14:paraId="51CDB882" w14:textId="77777777" w:rsidR="00C45CCB" w:rsidRDefault="00C45CCB" w:rsidP="00744637">
      <w:pPr>
        <w:spacing w:after="0" w:line="480" w:lineRule="auto"/>
      </w:pPr>
    </w:p>
    <w:p w14:paraId="38B365E7" w14:textId="77777777" w:rsidR="00B97A67" w:rsidRDefault="00B97A67" w:rsidP="00744637">
      <w:pPr>
        <w:spacing w:after="0" w:line="480" w:lineRule="auto"/>
      </w:pPr>
      <w:r>
        <w:t xml:space="preserve">To describe whether </w:t>
      </w:r>
      <w:r w:rsidR="00CA7BE1">
        <w:t xml:space="preserve">a case is a member of a set </w:t>
      </w:r>
      <w:r w:rsidR="002E031B">
        <w:t>of cases that ha</w:t>
      </w:r>
      <w:r w:rsidR="00F44F54">
        <w:t>ve</w:t>
      </w:r>
      <w:r w:rsidR="002E031B">
        <w:t xml:space="preserve"> a</w:t>
      </w:r>
      <w:r w:rsidR="00CA7BE1">
        <w:t xml:space="preserve"> condition or </w:t>
      </w:r>
      <w:r w:rsidR="002E031B">
        <w:t xml:space="preserve">an </w:t>
      </w:r>
      <w:r w:rsidR="00CA7BE1">
        <w:t>outcome</w:t>
      </w:r>
      <w:r w:rsidR="002E031B">
        <w:t xml:space="preserve">, </w:t>
      </w:r>
      <w:r>
        <w:t>the case</w:t>
      </w:r>
      <w:r w:rsidR="00CA7BE1">
        <w:t xml:space="preserve"> can be </w:t>
      </w:r>
      <w:r w:rsidR="001564EC">
        <w:t>given</w:t>
      </w:r>
      <w:r w:rsidR="00CA7BE1">
        <w:t xml:space="preserve"> a membership score</w:t>
      </w:r>
      <w:r w:rsidR="002E031B">
        <w:t xml:space="preserve"> </w:t>
      </w:r>
      <w:r w:rsidR="00CA7BE1">
        <w:t xml:space="preserve">for the set. </w:t>
      </w:r>
      <w:r w:rsidR="00C45CCB">
        <w:t xml:space="preserve">These can be in the form of crisp set scores of either </w:t>
      </w:r>
      <w:r w:rsidR="00F44F54">
        <w:t>one</w:t>
      </w:r>
      <w:r w:rsidR="00C45CCB">
        <w:t xml:space="preserve"> (the case is in the set</w:t>
      </w:r>
      <w:r w:rsidR="00933507">
        <w:t xml:space="preserve"> that has that condition</w:t>
      </w:r>
      <w:r w:rsidR="002E031B">
        <w:t xml:space="preserve"> or outcome</w:t>
      </w:r>
      <w:r w:rsidR="00C45CCB">
        <w:t xml:space="preserve">) or </w:t>
      </w:r>
      <w:r w:rsidR="00F44F54">
        <w:t>zero</w:t>
      </w:r>
      <w:r w:rsidR="00C45CCB">
        <w:t xml:space="preserve"> (the case is not in the set). The</w:t>
      </w:r>
      <w:r w:rsidR="00515CB9">
        <w:t>y</w:t>
      </w:r>
      <w:r w:rsidR="00C45CCB">
        <w:t xml:space="preserve"> can also be in the form of fuzzy set scores, which range from </w:t>
      </w:r>
      <w:r w:rsidR="00F44F54">
        <w:t xml:space="preserve">one </w:t>
      </w:r>
      <w:r w:rsidR="00C45CCB">
        <w:t xml:space="preserve">to </w:t>
      </w:r>
      <w:r w:rsidR="00F44F54">
        <w:t>zero</w:t>
      </w:r>
      <w:r w:rsidR="00515CB9">
        <w:t xml:space="preserve">, depending on the degree to which </w:t>
      </w:r>
      <w:r w:rsidR="00E64EDC">
        <w:t>the case is</w:t>
      </w:r>
      <w:r w:rsidR="00515CB9">
        <w:t xml:space="preserve"> considered to be a member of the set of cases that has the condition</w:t>
      </w:r>
      <w:r w:rsidR="00C45CCB">
        <w:t xml:space="preserve">. Scores above 0.5 indicate that a case is more in than out of </w:t>
      </w:r>
      <w:r w:rsidR="00515CB9">
        <w:t>that</w:t>
      </w:r>
      <w:r w:rsidR="00C45CCB">
        <w:t xml:space="preserve"> set. </w:t>
      </w:r>
      <w:r w:rsidR="00E64EDC">
        <w:t>Scores</w:t>
      </w:r>
      <w:r w:rsidR="00C45CCB">
        <w:t xml:space="preserve"> below 0.5 indicate that a case is more out of than in </w:t>
      </w:r>
      <w:r w:rsidR="00933507">
        <w:t>that</w:t>
      </w:r>
      <w:r w:rsidR="00C45CCB">
        <w:t xml:space="preserve"> set. And 0.5 represents the </w:t>
      </w:r>
      <w:r>
        <w:t xml:space="preserve">crossover </w:t>
      </w:r>
      <w:r w:rsidR="00C45CCB">
        <w:t xml:space="preserve">point of maximum ambiguity as to whether a case is in in or out of </w:t>
      </w:r>
      <w:r w:rsidR="00515CB9">
        <w:t>the</w:t>
      </w:r>
      <w:r w:rsidR="00C45CCB">
        <w:t xml:space="preserve"> set. Fuzzy set scores are calibrated from raw data</w:t>
      </w:r>
      <w:r>
        <w:t>, as exemplified below.</w:t>
      </w:r>
      <w:r w:rsidR="00C45CCB">
        <w:t xml:space="preserve"> </w:t>
      </w:r>
      <w:r w:rsidR="008A1203">
        <w:t xml:space="preserve"> </w:t>
      </w:r>
    </w:p>
    <w:p w14:paraId="5A9BE111" w14:textId="77777777" w:rsidR="00B97A67" w:rsidRDefault="00B97A67" w:rsidP="00744637">
      <w:pPr>
        <w:spacing w:after="0" w:line="480" w:lineRule="auto"/>
      </w:pPr>
    </w:p>
    <w:p w14:paraId="29F787CD" w14:textId="77777777" w:rsidR="00B97A67" w:rsidRDefault="008A1203" w:rsidP="00744637">
      <w:pPr>
        <w:spacing w:after="0" w:line="480" w:lineRule="auto"/>
      </w:pPr>
      <w:r>
        <w:t xml:space="preserve">Once set scores </w:t>
      </w:r>
      <w:r w:rsidR="00F44F54">
        <w:t xml:space="preserve">for individual conditions </w:t>
      </w:r>
      <w:r>
        <w:t>have been given to case</w:t>
      </w:r>
      <w:r w:rsidR="00F44F54">
        <w:t>s</w:t>
      </w:r>
      <w:r>
        <w:t xml:space="preserve"> in the sample, it is then possible to </w:t>
      </w:r>
      <w:r w:rsidR="00F44F54">
        <w:t xml:space="preserve">calculate set scores for their membership in </w:t>
      </w:r>
      <w:r w:rsidR="00B97A67">
        <w:t>the negation of each set</w:t>
      </w:r>
      <w:r w:rsidR="00F44F54">
        <w:t xml:space="preserve">. The negation of a set for a condition is the set </w:t>
      </w:r>
      <w:r w:rsidR="009F6CDC">
        <w:t xml:space="preserve">for the absence or opposite of that condition. It is calculated by subtracting the set score for the original condition from one. For example, the analyses below look separately at the outcome of </w:t>
      </w:r>
      <w:r w:rsidR="009F6CDC" w:rsidRPr="001564EC">
        <w:rPr>
          <w:i/>
        </w:rPr>
        <w:t>high</w:t>
      </w:r>
      <w:r w:rsidR="009F6CDC">
        <w:t xml:space="preserve"> adolescent cannabis use and its negation; </w:t>
      </w:r>
      <w:r w:rsidR="009F6CDC" w:rsidRPr="001564EC">
        <w:rPr>
          <w:i/>
        </w:rPr>
        <w:t>low</w:t>
      </w:r>
      <w:r w:rsidR="009F6CDC">
        <w:t xml:space="preserve"> adolescent cannabis use. If a case has a fuzzy set score of 0.8 for high adolescent cannabis use, it has a score of 0.2 (1 minus 0.8) for low adolescent cannabis use. </w:t>
      </w:r>
      <w:r w:rsidR="00F44F54">
        <w:t xml:space="preserve"> </w:t>
      </w:r>
    </w:p>
    <w:p w14:paraId="531AC08E" w14:textId="77777777" w:rsidR="00B97A67" w:rsidRDefault="00B97A67" w:rsidP="00744637">
      <w:pPr>
        <w:spacing w:after="0" w:line="480" w:lineRule="auto"/>
      </w:pPr>
    </w:p>
    <w:p w14:paraId="2EE347DA" w14:textId="77777777" w:rsidR="00F44F54" w:rsidRDefault="00B97A67" w:rsidP="00744637">
      <w:pPr>
        <w:spacing w:after="0" w:line="480" w:lineRule="auto"/>
      </w:pPr>
      <w:r>
        <w:t xml:space="preserve">Fuzzy set scores also enable the calculation of the degree to which a configuration of conditions is present in each case. </w:t>
      </w:r>
      <w:r w:rsidR="009F6CDC">
        <w:t>A case’s set score for a configuration of conditions can be calculated</w:t>
      </w:r>
      <w:r w:rsidR="00F44F54">
        <w:t xml:space="preserve"> by taking the case’s lowest fuzzy set score for any condition that is included in an ‘AND’ </w:t>
      </w:r>
      <w:r w:rsidR="009F6CDC">
        <w:t xml:space="preserve">configuration. </w:t>
      </w:r>
      <w:r w:rsidR="00F44F54">
        <w:t xml:space="preserve">The case’s </w:t>
      </w:r>
      <w:r w:rsidR="009F6CDC">
        <w:t xml:space="preserve">set score for an ‘OR’ configuration is its </w:t>
      </w:r>
      <w:r w:rsidR="00F44F54">
        <w:t xml:space="preserve">highest set score for any condition that is included in </w:t>
      </w:r>
      <w:r w:rsidR="009F6CDC">
        <w:t>that</w:t>
      </w:r>
      <w:r w:rsidR="00F44F54">
        <w:t xml:space="preserve"> </w:t>
      </w:r>
      <w:r w:rsidR="009F6CDC">
        <w:t>configuration</w:t>
      </w:r>
      <w:r w:rsidR="00F44F54">
        <w:t xml:space="preserve">. </w:t>
      </w:r>
      <w:r w:rsidR="00F53BA5">
        <w:t>Take</w:t>
      </w:r>
      <w:r w:rsidR="00F44F54">
        <w:t xml:space="preserve">, for example, a case </w:t>
      </w:r>
      <w:r w:rsidR="00F53BA5">
        <w:t xml:space="preserve">that has fuzzy </w:t>
      </w:r>
      <w:r w:rsidR="00F44F54">
        <w:t>set score</w:t>
      </w:r>
      <w:r w:rsidR="00F53BA5">
        <w:t>s</w:t>
      </w:r>
      <w:r w:rsidR="00F44F54">
        <w:t xml:space="preserve"> of </w:t>
      </w:r>
      <w:r w:rsidR="00121DD7">
        <w:t>0.9</w:t>
      </w:r>
      <w:r w:rsidR="00F44F54">
        <w:t xml:space="preserve"> for the set of </w:t>
      </w:r>
      <w:r w:rsidR="009F6CDC">
        <w:t xml:space="preserve">high </w:t>
      </w:r>
      <w:r w:rsidR="00121DD7">
        <w:t>income inequality and 0.3</w:t>
      </w:r>
      <w:r w:rsidR="00F44F54">
        <w:t xml:space="preserve"> for the </w:t>
      </w:r>
      <w:r w:rsidR="00F53BA5">
        <w:t>set of high urbanisation. I</w:t>
      </w:r>
      <w:r w:rsidR="009F6CDC">
        <w:t>ts set score for the set of high income inequality AND high urbanisation would be 0.</w:t>
      </w:r>
      <w:r w:rsidR="00121DD7">
        <w:t>3</w:t>
      </w:r>
      <w:r w:rsidR="009F6CDC">
        <w:t xml:space="preserve">. Its set score for high income inequality OR high urbanisation </w:t>
      </w:r>
      <w:r w:rsidR="00121DD7">
        <w:t>would be 0.9</w:t>
      </w:r>
      <w:r>
        <w:t>.</w:t>
      </w:r>
    </w:p>
    <w:p w14:paraId="5198D7F9" w14:textId="77777777" w:rsidR="00B97A67" w:rsidRDefault="00B97A67" w:rsidP="00744637">
      <w:pPr>
        <w:spacing w:after="0" w:line="480" w:lineRule="auto"/>
      </w:pPr>
    </w:p>
    <w:p w14:paraId="19ED3174" w14:textId="77777777" w:rsidR="00C25AF5" w:rsidRDefault="00B97A67" w:rsidP="00744637">
      <w:pPr>
        <w:spacing w:after="0" w:line="480" w:lineRule="auto"/>
      </w:pPr>
      <w:r>
        <w:t>S</w:t>
      </w:r>
      <w:r w:rsidR="00121DD7">
        <w:t xml:space="preserve">et scores </w:t>
      </w:r>
      <w:r>
        <w:t xml:space="preserve">also </w:t>
      </w:r>
      <w:r w:rsidR="00121DD7">
        <w:t xml:space="preserve">enable the </w:t>
      </w:r>
      <w:r w:rsidR="008A1203">
        <w:t>identif</w:t>
      </w:r>
      <w:r w:rsidR="00121DD7">
        <w:t>ication of</w:t>
      </w:r>
      <w:r w:rsidR="008A1203">
        <w:t xml:space="preserve"> r</w:t>
      </w:r>
      <w:r w:rsidR="002E031B">
        <w:t>elationships between sets</w:t>
      </w:r>
      <w:r w:rsidR="00F53BA5">
        <w:t>; e.g</w:t>
      </w:r>
      <w:r w:rsidR="008A1203">
        <w:t>. whether cases that are members of a set</w:t>
      </w:r>
      <w:r w:rsidR="00121DD7">
        <w:t xml:space="preserve"> for a condition o</w:t>
      </w:r>
      <w:r>
        <w:t>r</w:t>
      </w:r>
      <w:r w:rsidR="00121DD7">
        <w:t xml:space="preserve"> configuration</w:t>
      </w:r>
      <w:r w:rsidR="008A1203">
        <w:t xml:space="preserve"> form a subset or a superset of cases with the outcome</w:t>
      </w:r>
      <w:r w:rsidR="002E031B">
        <w:t>.</w:t>
      </w:r>
      <w:r w:rsidR="008A1203">
        <w:t xml:space="preserve"> If they form a superset, </w:t>
      </w:r>
      <w:r w:rsidR="00121DD7">
        <w:t>then cases’ set scores for the condition</w:t>
      </w:r>
      <w:r w:rsidR="00C00E34">
        <w:t>/configuration</w:t>
      </w:r>
      <w:r w:rsidR="00121DD7">
        <w:t xml:space="preserve"> </w:t>
      </w:r>
      <w:r>
        <w:t>will</w:t>
      </w:r>
      <w:r w:rsidR="00121DD7">
        <w:t xml:space="preserve"> consisten</w:t>
      </w:r>
      <w:r w:rsidR="008A1203">
        <w:t>t</w:t>
      </w:r>
      <w:r w:rsidR="00121DD7">
        <w:t>ly be greater than or equal to their scores for the outcome. T</w:t>
      </w:r>
      <w:r w:rsidR="008A1203">
        <w:t xml:space="preserve">his would </w:t>
      </w:r>
      <w:r>
        <w:t xml:space="preserve">be consistent with </w:t>
      </w:r>
      <w:r w:rsidR="008A1203">
        <w:t>the condition be</w:t>
      </w:r>
      <w:r>
        <w:t>ing</w:t>
      </w:r>
      <w:r w:rsidR="008A1203">
        <w:t xml:space="preserve"> necessary to cause the outcome. If </w:t>
      </w:r>
      <w:r w:rsidR="00774D17">
        <w:t>cases with the condition</w:t>
      </w:r>
      <w:r w:rsidR="00C00E34">
        <w:t>/configuration</w:t>
      </w:r>
      <w:r w:rsidR="008A1203">
        <w:t xml:space="preserve"> form a subset</w:t>
      </w:r>
      <w:r w:rsidR="00774D17">
        <w:t xml:space="preserve"> of cases with the outcome</w:t>
      </w:r>
      <w:r w:rsidR="008A1203">
        <w:t xml:space="preserve">, </w:t>
      </w:r>
      <w:r w:rsidR="00121DD7">
        <w:t xml:space="preserve">then cases’ set scores for the outcome </w:t>
      </w:r>
      <w:r>
        <w:t>will</w:t>
      </w:r>
      <w:r w:rsidR="00121DD7">
        <w:t xml:space="preserve"> consistently be greater than or equal to their scores for the condition</w:t>
      </w:r>
      <w:r w:rsidR="00C00E34">
        <w:t>/configuration</w:t>
      </w:r>
      <w:r w:rsidR="00121DD7">
        <w:t>. T</w:t>
      </w:r>
      <w:r w:rsidR="008A1203">
        <w:t xml:space="preserve">his would </w:t>
      </w:r>
      <w:r>
        <w:t xml:space="preserve">be consistent with </w:t>
      </w:r>
      <w:r w:rsidR="008A1203">
        <w:t xml:space="preserve">the condition </w:t>
      </w:r>
      <w:r>
        <w:t>being</w:t>
      </w:r>
      <w:r w:rsidR="008A1203">
        <w:t xml:space="preserve"> </w:t>
      </w:r>
      <w:r w:rsidR="00121DD7">
        <w:t>sufficient</w:t>
      </w:r>
      <w:r w:rsidR="008A1203">
        <w:t xml:space="preserve"> to cause the outcome.</w:t>
      </w:r>
      <w:r>
        <w:t xml:space="preserve"> </w:t>
      </w:r>
    </w:p>
    <w:p w14:paraId="269A6062" w14:textId="77777777" w:rsidR="00C25AF5" w:rsidRDefault="00C25AF5" w:rsidP="00744637">
      <w:pPr>
        <w:spacing w:after="0" w:line="480" w:lineRule="auto"/>
      </w:pPr>
    </w:p>
    <w:p w14:paraId="0D8D9C5E" w14:textId="77777777" w:rsidR="00AA0F80" w:rsidRDefault="00B97A67" w:rsidP="00744637">
      <w:pPr>
        <w:spacing w:after="0" w:line="480" w:lineRule="auto"/>
      </w:pPr>
      <w:r>
        <w:t>In neither scenario would this prov</w:t>
      </w:r>
      <w:r w:rsidR="00C00E34">
        <w:t>e</w:t>
      </w:r>
      <w:r>
        <w:t xml:space="preserve"> that the configuration is a real cause of the outcome.</w:t>
      </w:r>
      <w:r w:rsidR="00AA76D4">
        <w:t xml:space="preserve"> This requires </w:t>
      </w:r>
      <w:r w:rsidR="006076CF">
        <w:t xml:space="preserve">the </w:t>
      </w:r>
      <w:r w:rsidR="009A0DAF">
        <w:t>identification</w:t>
      </w:r>
      <w:r w:rsidR="006076CF">
        <w:t xml:space="preserve"> of causal mechanism</w:t>
      </w:r>
      <w:r w:rsidR="00A660B0">
        <w:t>s</w:t>
      </w:r>
      <w:r w:rsidR="00AA76D4">
        <w:t>, in addition to repeated observations of consistent correlations or set relationships</w:t>
      </w:r>
      <w:r w:rsidR="006076CF">
        <w:t xml:space="preserve"> </w:t>
      </w:r>
      <w:r w:rsidR="002E2C8A" w:rsidRPr="002E2C8A">
        <w:rPr>
          <w:noProof/>
        </w:rPr>
        <w:t>(Dupré &amp; Cartwright, 1988)</w:t>
      </w:r>
      <w:r w:rsidR="00AA76D4">
        <w:t>.</w:t>
      </w:r>
      <w:r>
        <w:t xml:space="preserve"> </w:t>
      </w:r>
      <w:r w:rsidR="00F53BA5">
        <w:t xml:space="preserve">This is why, in the text below, some </w:t>
      </w:r>
      <w:r>
        <w:t>configurations are described as being ‘consistent with’ necessity or sufficiency, rather than being described as necessary o</w:t>
      </w:r>
      <w:r w:rsidR="00C00E34">
        <w:t>r</w:t>
      </w:r>
      <w:r>
        <w:t xml:space="preserve"> sufficient causes</w:t>
      </w:r>
      <w:r w:rsidR="00C25AF5">
        <w:t>.</w:t>
      </w:r>
      <w:r w:rsidR="00C00E34">
        <w:t xml:space="preserve"> In QCA, the strength of a set relationship between a configuration and an outcome is described as ‘consistency’ (equivalent to significance in regression analysis). The extent to which a configuration explains variation between cases in the outcome is described as ‘coverage’ (equivalent to R squared in regression analysis)</w:t>
      </w:r>
    </w:p>
    <w:p w14:paraId="0F0879A2" w14:textId="77777777" w:rsidR="00C45CCB" w:rsidRDefault="00C45CCB" w:rsidP="00744637">
      <w:pPr>
        <w:spacing w:after="0" w:line="480" w:lineRule="auto"/>
        <w:rPr>
          <w:b/>
        </w:rPr>
      </w:pPr>
    </w:p>
    <w:p w14:paraId="57767341" w14:textId="77777777" w:rsidR="00C71622" w:rsidRPr="00B22C10" w:rsidRDefault="00C71622" w:rsidP="00744637">
      <w:pPr>
        <w:spacing w:after="0" w:line="480" w:lineRule="auto"/>
        <w:rPr>
          <w:b/>
        </w:rPr>
      </w:pPr>
      <w:r w:rsidRPr="00B22C10">
        <w:rPr>
          <w:b/>
        </w:rPr>
        <w:t>Data</w:t>
      </w:r>
    </w:p>
    <w:p w14:paraId="2F0D65E6" w14:textId="77777777" w:rsidR="00B40E3A" w:rsidRDefault="00B40E3A" w:rsidP="00744637">
      <w:pPr>
        <w:spacing w:after="0" w:line="480" w:lineRule="auto"/>
      </w:pPr>
    </w:p>
    <w:p w14:paraId="11558CE5" w14:textId="77777777" w:rsidR="008A1203" w:rsidRDefault="00982861" w:rsidP="00744637">
      <w:pPr>
        <w:spacing w:after="0" w:line="480" w:lineRule="auto"/>
        <w:rPr>
          <w:rFonts w:cs="Arial"/>
          <w:shd w:val="clear" w:color="auto" w:fill="FFFFFF"/>
        </w:rPr>
      </w:pPr>
      <w:r>
        <w:rPr>
          <w:rFonts w:cs="Arial"/>
          <w:shd w:val="clear" w:color="auto" w:fill="FFFFFF"/>
        </w:rPr>
        <w:t>As Ragin (</w:t>
      </w:r>
      <w:r w:rsidR="008A1203">
        <w:rPr>
          <w:rFonts w:cs="Arial"/>
          <w:shd w:val="clear" w:color="auto" w:fill="FFFFFF"/>
        </w:rPr>
        <w:t>2000)</w:t>
      </w:r>
      <w:r>
        <w:rPr>
          <w:rFonts w:cs="Arial"/>
          <w:shd w:val="clear" w:color="auto" w:fill="FFFFFF"/>
        </w:rPr>
        <w:t xml:space="preserve"> argues, the selection of cases for a comparative analysis is crucial. The sample should include theoretically </w:t>
      </w:r>
      <w:r w:rsidR="00DB67C0">
        <w:rPr>
          <w:rFonts w:cs="Arial"/>
          <w:shd w:val="clear" w:color="auto" w:fill="FFFFFF"/>
        </w:rPr>
        <w:t>relevant</w:t>
      </w:r>
      <w:r>
        <w:rPr>
          <w:rFonts w:cs="Arial"/>
          <w:shd w:val="clear" w:color="auto" w:fill="FFFFFF"/>
        </w:rPr>
        <w:t xml:space="preserve"> cases that are similar in important respects. This enables </w:t>
      </w:r>
      <w:r w:rsidR="00C25AF5">
        <w:rPr>
          <w:rFonts w:cs="Arial"/>
          <w:shd w:val="clear" w:color="auto" w:fill="FFFFFF"/>
        </w:rPr>
        <w:t xml:space="preserve">observed </w:t>
      </w:r>
      <w:r>
        <w:rPr>
          <w:rFonts w:cs="Arial"/>
          <w:shd w:val="clear" w:color="auto" w:fill="FFFFFF"/>
        </w:rPr>
        <w:t xml:space="preserve">differences in the outcome of interest to be attributed, at least provisionally, to the influence of the </w:t>
      </w:r>
      <w:r w:rsidR="00C25AF5">
        <w:rPr>
          <w:rFonts w:cs="Arial"/>
          <w:shd w:val="clear" w:color="auto" w:fill="FFFFFF"/>
        </w:rPr>
        <w:t xml:space="preserve">potentially causal </w:t>
      </w:r>
      <w:r>
        <w:rPr>
          <w:rFonts w:cs="Arial"/>
          <w:shd w:val="clear" w:color="auto" w:fill="FFFFFF"/>
        </w:rPr>
        <w:t xml:space="preserve">conditions </w:t>
      </w:r>
      <w:r w:rsidR="00F53BA5">
        <w:rPr>
          <w:rFonts w:cs="Arial"/>
          <w:shd w:val="clear" w:color="auto" w:fill="FFFFFF"/>
        </w:rPr>
        <w:t>that are being</w:t>
      </w:r>
      <w:r>
        <w:rPr>
          <w:rFonts w:cs="Arial"/>
          <w:shd w:val="clear" w:color="auto" w:fill="FFFFFF"/>
        </w:rPr>
        <w:t xml:space="preserve"> stud</w:t>
      </w:r>
      <w:r w:rsidR="00F53BA5">
        <w:rPr>
          <w:rFonts w:cs="Arial"/>
          <w:shd w:val="clear" w:color="auto" w:fill="FFFFFF"/>
        </w:rPr>
        <w:t>ied</w:t>
      </w:r>
      <w:r w:rsidR="00C25AF5">
        <w:rPr>
          <w:rFonts w:cs="Arial"/>
          <w:shd w:val="clear" w:color="auto" w:fill="FFFFFF"/>
        </w:rPr>
        <w:t>.</w:t>
      </w:r>
      <w:r>
        <w:rPr>
          <w:rFonts w:cs="Arial"/>
          <w:shd w:val="clear" w:color="auto" w:fill="FFFFFF"/>
        </w:rPr>
        <w:t xml:space="preserve"> T</w:t>
      </w:r>
      <w:r w:rsidR="008A1203">
        <w:rPr>
          <w:rFonts w:cs="Arial"/>
          <w:shd w:val="clear" w:color="auto" w:fill="FFFFFF"/>
        </w:rPr>
        <w:t>he analyses presented here focus on economically developed democracies that share a similar, European cultural background</w:t>
      </w:r>
      <w:r w:rsidR="003643A2">
        <w:rPr>
          <w:rFonts w:cs="Arial"/>
          <w:shd w:val="clear" w:color="auto" w:fill="FFFFFF"/>
        </w:rPr>
        <w:t>. This includes 2</w:t>
      </w:r>
      <w:r w:rsidR="00F53BA5">
        <w:rPr>
          <w:rFonts w:cs="Arial"/>
          <w:shd w:val="clear" w:color="auto" w:fill="FFFFFF"/>
        </w:rPr>
        <w:t>2</w:t>
      </w:r>
      <w:r w:rsidR="003643A2">
        <w:rPr>
          <w:rFonts w:cs="Arial"/>
          <w:shd w:val="clear" w:color="auto" w:fill="FFFFFF"/>
        </w:rPr>
        <w:t xml:space="preserve"> European countries alongside the</w:t>
      </w:r>
      <w:r w:rsidR="008A1203">
        <w:rPr>
          <w:rFonts w:cs="Arial"/>
          <w:shd w:val="clear" w:color="auto" w:fill="FFFFFF"/>
        </w:rPr>
        <w:t xml:space="preserve"> USA, Canada and Australia.</w:t>
      </w:r>
    </w:p>
    <w:p w14:paraId="4D09BD67" w14:textId="77777777" w:rsidR="00B40E3A" w:rsidRDefault="00B40E3A" w:rsidP="00744637">
      <w:pPr>
        <w:spacing w:after="0" w:line="480" w:lineRule="auto"/>
        <w:rPr>
          <w:i/>
        </w:rPr>
      </w:pPr>
    </w:p>
    <w:p w14:paraId="154639CE" w14:textId="77777777" w:rsidR="003D1D61" w:rsidRPr="003D1D61" w:rsidRDefault="003D1D61" w:rsidP="00744637">
      <w:pPr>
        <w:spacing w:after="0" w:line="480" w:lineRule="auto"/>
        <w:rPr>
          <w:i/>
        </w:rPr>
      </w:pPr>
      <w:r>
        <w:rPr>
          <w:i/>
        </w:rPr>
        <w:t xml:space="preserve">Data </w:t>
      </w:r>
      <w:r w:rsidR="003643A2">
        <w:rPr>
          <w:i/>
        </w:rPr>
        <w:t xml:space="preserve">selection and </w:t>
      </w:r>
      <w:r w:rsidR="00BE4FD5">
        <w:rPr>
          <w:i/>
        </w:rPr>
        <w:t>sources</w:t>
      </w:r>
    </w:p>
    <w:p w14:paraId="7DA7F832" w14:textId="77777777" w:rsidR="00B40E3A" w:rsidRDefault="00B40E3A" w:rsidP="00744637">
      <w:pPr>
        <w:spacing w:after="0" w:line="480" w:lineRule="auto"/>
      </w:pPr>
    </w:p>
    <w:p w14:paraId="23C08730" w14:textId="77777777" w:rsidR="003643A2" w:rsidRDefault="00F54404" w:rsidP="00744637">
      <w:pPr>
        <w:spacing w:after="0" w:line="480" w:lineRule="auto"/>
      </w:pPr>
      <w:r>
        <w:t xml:space="preserve">The data for these analyses comes from publicly available </w:t>
      </w:r>
      <w:r w:rsidR="00471D09">
        <w:t>surveys</w:t>
      </w:r>
      <w:r>
        <w:t xml:space="preserve"> that cover adolescent cannabis use and potentially </w:t>
      </w:r>
      <w:r w:rsidR="00C925CA">
        <w:t xml:space="preserve">causal </w:t>
      </w:r>
      <w:r>
        <w:t xml:space="preserve">social </w:t>
      </w:r>
      <w:r w:rsidR="00C925CA">
        <w:t>conditions</w:t>
      </w:r>
      <w:r>
        <w:t xml:space="preserve"> at the national level.</w:t>
      </w:r>
      <w:r w:rsidR="00C925CA">
        <w:t xml:space="preserve"> </w:t>
      </w:r>
    </w:p>
    <w:p w14:paraId="330C1EF5" w14:textId="77777777" w:rsidR="003643A2" w:rsidRDefault="003643A2" w:rsidP="00744637">
      <w:pPr>
        <w:spacing w:after="0" w:line="480" w:lineRule="auto"/>
      </w:pPr>
    </w:p>
    <w:p w14:paraId="323544F8" w14:textId="77777777" w:rsidR="00335B87" w:rsidRDefault="00C925CA" w:rsidP="00744637">
      <w:pPr>
        <w:spacing w:after="0" w:line="480" w:lineRule="auto"/>
        <w:rPr>
          <w:rFonts w:cs="Arial"/>
          <w:shd w:val="clear" w:color="auto" w:fill="FFFFFF"/>
        </w:rPr>
      </w:pPr>
      <w:r>
        <w:rPr>
          <w:rFonts w:cs="Arial"/>
          <w:shd w:val="clear" w:color="auto" w:fill="FFFFFF"/>
        </w:rPr>
        <w:t xml:space="preserve">There are always judgements to be made in comparative research on the balance between having, on the one hand, the ideal indicators of the theoretical concepts of interest and, on the other, the data that are available for use, especially when relatively small sample sizes restrict the number of indicators that can be used. </w:t>
      </w:r>
      <w:r w:rsidR="00F53BA5">
        <w:rPr>
          <w:rFonts w:cs="Arial"/>
          <w:shd w:val="clear" w:color="auto" w:fill="FFFFFF"/>
        </w:rPr>
        <w:t>Some</w:t>
      </w:r>
      <w:r w:rsidR="008E647C">
        <w:rPr>
          <w:rFonts w:cs="Arial"/>
          <w:shd w:val="clear" w:color="auto" w:fill="FFFFFF"/>
        </w:rPr>
        <w:t xml:space="preserve"> conditions were considered </w:t>
      </w:r>
      <w:r w:rsidR="00F53BA5">
        <w:rPr>
          <w:rFonts w:cs="Arial"/>
          <w:shd w:val="clear" w:color="auto" w:fill="FFFFFF"/>
        </w:rPr>
        <w:t xml:space="preserve">but were not included in </w:t>
      </w:r>
      <w:r w:rsidR="008E647C">
        <w:rPr>
          <w:rFonts w:cs="Arial"/>
          <w:shd w:val="clear" w:color="auto" w:fill="FFFFFF"/>
        </w:rPr>
        <w:t>the analysis</w:t>
      </w:r>
      <w:r w:rsidR="00F53BA5">
        <w:rPr>
          <w:rFonts w:cs="Arial"/>
          <w:shd w:val="clear" w:color="auto" w:fill="FFFFFF"/>
        </w:rPr>
        <w:t>. They</w:t>
      </w:r>
      <w:r w:rsidR="008E647C">
        <w:rPr>
          <w:rFonts w:cs="Arial"/>
          <w:shd w:val="clear" w:color="auto" w:fill="FFFFFF"/>
        </w:rPr>
        <w:t xml:space="preserve"> includ</w:t>
      </w:r>
      <w:r w:rsidR="00F53BA5">
        <w:rPr>
          <w:rFonts w:cs="Arial"/>
          <w:shd w:val="clear" w:color="auto" w:fill="FFFFFF"/>
        </w:rPr>
        <w:t>ed</w:t>
      </w:r>
      <w:r w:rsidR="008E647C">
        <w:rPr>
          <w:rFonts w:cs="Arial"/>
          <w:shd w:val="clear" w:color="auto" w:fill="FFFFFF"/>
        </w:rPr>
        <w:t xml:space="preserve"> expenditure on social protection, rates of </w:t>
      </w:r>
      <w:r w:rsidR="00871E07">
        <w:rPr>
          <w:rFonts w:cs="Arial"/>
          <w:shd w:val="clear" w:color="auto" w:fill="FFFFFF"/>
        </w:rPr>
        <w:t xml:space="preserve">arrest and </w:t>
      </w:r>
      <w:r w:rsidR="008E647C">
        <w:rPr>
          <w:rFonts w:cs="Arial"/>
          <w:shd w:val="clear" w:color="auto" w:fill="FFFFFF"/>
        </w:rPr>
        <w:t xml:space="preserve">imprisonment </w:t>
      </w:r>
      <w:r w:rsidR="00871E07">
        <w:rPr>
          <w:rFonts w:cs="Arial"/>
          <w:shd w:val="clear" w:color="auto" w:fill="FFFFFF"/>
        </w:rPr>
        <w:t xml:space="preserve">for drug offences, </w:t>
      </w:r>
      <w:r w:rsidR="008E647C">
        <w:rPr>
          <w:rFonts w:cs="Arial"/>
          <w:shd w:val="clear" w:color="auto" w:fill="FFFFFF"/>
        </w:rPr>
        <w:t xml:space="preserve">and educational attainment (as measured by the </w:t>
      </w:r>
      <w:r w:rsidR="00143220">
        <w:t>Program for International Student Assessment [PISA]</w:t>
      </w:r>
      <w:r w:rsidR="008E647C">
        <w:rPr>
          <w:rFonts w:cs="Arial"/>
          <w:shd w:val="clear" w:color="auto" w:fill="FFFFFF"/>
        </w:rPr>
        <w:t>). However, they were</w:t>
      </w:r>
      <w:r w:rsidR="003643A2">
        <w:rPr>
          <w:rFonts w:cs="Arial"/>
          <w:shd w:val="clear" w:color="auto" w:fill="FFFFFF"/>
        </w:rPr>
        <w:t xml:space="preserve"> considered</w:t>
      </w:r>
      <w:r w:rsidR="008E647C">
        <w:rPr>
          <w:rFonts w:cs="Arial"/>
          <w:shd w:val="clear" w:color="auto" w:fill="FFFFFF"/>
        </w:rPr>
        <w:t xml:space="preserve"> less relevant to the theoretically expected link between social conditions (and specifically socio-economic conditions) and adolescent cannabis use. </w:t>
      </w:r>
      <w:r w:rsidR="00871E07">
        <w:rPr>
          <w:rFonts w:cs="Arial"/>
          <w:shd w:val="clear" w:color="auto" w:fill="FFFFFF"/>
        </w:rPr>
        <w:t>Some</w:t>
      </w:r>
      <w:r w:rsidR="008E647C">
        <w:rPr>
          <w:rFonts w:cs="Arial"/>
          <w:shd w:val="clear" w:color="auto" w:fill="FFFFFF"/>
        </w:rPr>
        <w:t xml:space="preserve"> data also had problems of comparability. For example, the available data on</w:t>
      </w:r>
      <w:r w:rsidR="00871E07">
        <w:rPr>
          <w:rFonts w:cs="Arial"/>
          <w:shd w:val="clear" w:color="auto" w:fill="FFFFFF"/>
        </w:rPr>
        <w:t xml:space="preserve"> arrest and</w:t>
      </w:r>
      <w:r w:rsidR="008E647C">
        <w:rPr>
          <w:rFonts w:cs="Arial"/>
          <w:shd w:val="clear" w:color="auto" w:fill="FFFFFF"/>
        </w:rPr>
        <w:t xml:space="preserve"> imprisonment for drug offences use different definitions in different countries</w:t>
      </w:r>
      <w:r w:rsidR="00143220">
        <w:rPr>
          <w:rFonts w:cs="Arial"/>
          <w:shd w:val="clear" w:color="auto" w:fill="FFFFFF"/>
        </w:rPr>
        <w:t xml:space="preserve"> </w:t>
      </w:r>
      <w:r w:rsidR="00143220" w:rsidRPr="00143220">
        <w:rPr>
          <w:rFonts w:cs="Arial"/>
          <w:noProof/>
          <w:shd w:val="clear" w:color="auto" w:fill="FFFFFF"/>
        </w:rPr>
        <w:t>(Killias et al., 2010)</w:t>
      </w:r>
      <w:r w:rsidR="008E647C">
        <w:rPr>
          <w:rFonts w:cs="Arial"/>
          <w:shd w:val="clear" w:color="auto" w:fill="FFFFFF"/>
        </w:rPr>
        <w:t xml:space="preserve">, while </w:t>
      </w:r>
      <w:r w:rsidR="00143220">
        <w:rPr>
          <w:rFonts w:cs="Arial"/>
          <w:shd w:val="clear" w:color="auto" w:fill="FFFFFF"/>
        </w:rPr>
        <w:t>PISA</w:t>
      </w:r>
      <w:r w:rsidR="00871E07">
        <w:rPr>
          <w:rFonts w:cs="Arial"/>
          <w:shd w:val="clear" w:color="auto" w:fill="FFFFFF"/>
        </w:rPr>
        <w:t>’s comparisons</w:t>
      </w:r>
      <w:r w:rsidR="00143220">
        <w:rPr>
          <w:rFonts w:cs="Arial"/>
          <w:shd w:val="clear" w:color="auto" w:fill="FFFFFF"/>
        </w:rPr>
        <w:t xml:space="preserve"> of </w:t>
      </w:r>
      <w:r w:rsidR="008E647C">
        <w:rPr>
          <w:rFonts w:cs="Arial"/>
          <w:shd w:val="clear" w:color="auto" w:fill="FFFFFF"/>
        </w:rPr>
        <w:t xml:space="preserve">educational attainment </w:t>
      </w:r>
      <w:r w:rsidR="00143220">
        <w:rPr>
          <w:rFonts w:cs="Arial"/>
          <w:shd w:val="clear" w:color="auto" w:fill="FFFFFF"/>
        </w:rPr>
        <w:t>are of questionable</w:t>
      </w:r>
      <w:r w:rsidR="00871E07">
        <w:rPr>
          <w:rFonts w:cs="Arial"/>
          <w:shd w:val="clear" w:color="auto" w:fill="FFFFFF"/>
        </w:rPr>
        <w:t xml:space="preserve"> validity</w:t>
      </w:r>
      <w:r w:rsidR="008E647C">
        <w:rPr>
          <w:rFonts w:cs="Arial"/>
          <w:shd w:val="clear" w:color="auto" w:fill="FFFFFF"/>
        </w:rPr>
        <w:t xml:space="preserve"> </w:t>
      </w:r>
      <w:r w:rsidR="00143220">
        <w:rPr>
          <w:rFonts w:cs="Arial"/>
          <w:shd w:val="clear" w:color="auto" w:fill="FFFFFF"/>
        </w:rPr>
        <w:t xml:space="preserve"> </w:t>
      </w:r>
      <w:r w:rsidR="00143220" w:rsidRPr="00143220">
        <w:rPr>
          <w:rFonts w:cs="Arial"/>
          <w:noProof/>
          <w:shd w:val="clear" w:color="auto" w:fill="FFFFFF"/>
        </w:rPr>
        <w:t>(Carnoy, 2015)</w:t>
      </w:r>
      <w:r w:rsidR="008E647C">
        <w:rPr>
          <w:rFonts w:cs="Arial"/>
          <w:shd w:val="clear" w:color="auto" w:fill="FFFFFF"/>
        </w:rPr>
        <w:t>.</w:t>
      </w:r>
      <w:r w:rsidR="00143220">
        <w:rPr>
          <w:rFonts w:cs="Arial"/>
          <w:shd w:val="clear" w:color="auto" w:fill="FFFFFF"/>
        </w:rPr>
        <w:t xml:space="preserve"> </w:t>
      </w:r>
    </w:p>
    <w:p w14:paraId="78BCC091" w14:textId="77777777" w:rsidR="00335B87" w:rsidRDefault="00335B87" w:rsidP="00744637">
      <w:pPr>
        <w:spacing w:after="0" w:line="480" w:lineRule="auto"/>
        <w:rPr>
          <w:rFonts w:cs="Arial"/>
          <w:shd w:val="clear" w:color="auto" w:fill="FFFFFF"/>
        </w:rPr>
      </w:pPr>
    </w:p>
    <w:p w14:paraId="2782012D" w14:textId="77777777" w:rsidR="00C925CA" w:rsidRDefault="00143220" w:rsidP="00744637">
      <w:pPr>
        <w:spacing w:after="0" w:line="480" w:lineRule="auto"/>
        <w:rPr>
          <w:rFonts w:cs="Arial"/>
          <w:shd w:val="clear" w:color="auto" w:fill="FFFFFF"/>
        </w:rPr>
      </w:pPr>
      <w:r>
        <w:rPr>
          <w:rFonts w:cs="Arial"/>
          <w:shd w:val="clear" w:color="auto" w:fill="FFFFFF"/>
        </w:rPr>
        <w:t xml:space="preserve">Comparable data on countries’ expenditure on social protection as a proportion of gross domestic product (GDP) </w:t>
      </w:r>
      <w:r w:rsidR="00871E07">
        <w:rPr>
          <w:rFonts w:cs="Arial"/>
          <w:shd w:val="clear" w:color="auto" w:fill="FFFFFF"/>
        </w:rPr>
        <w:t>are</w:t>
      </w:r>
      <w:r>
        <w:rPr>
          <w:rFonts w:cs="Arial"/>
          <w:shd w:val="clear" w:color="auto" w:fill="FFFFFF"/>
        </w:rPr>
        <w:t xml:space="preserve"> available from the Organisation for Economic Cooperation and Development</w:t>
      </w:r>
      <w:r w:rsidR="00871E07">
        <w:rPr>
          <w:rFonts w:cs="Arial"/>
          <w:shd w:val="clear" w:color="auto" w:fill="FFFFFF"/>
        </w:rPr>
        <w:t xml:space="preserve"> (OECD)</w:t>
      </w:r>
      <w:r>
        <w:rPr>
          <w:rFonts w:cs="Arial"/>
          <w:shd w:val="clear" w:color="auto" w:fill="FFFFFF"/>
        </w:rPr>
        <w:t xml:space="preserve">. However, </w:t>
      </w:r>
      <w:r w:rsidR="00F53BA5">
        <w:rPr>
          <w:rFonts w:cs="Arial"/>
          <w:shd w:val="clear" w:color="auto" w:fill="FFFFFF"/>
        </w:rPr>
        <w:t>this condition</w:t>
      </w:r>
      <w:r>
        <w:rPr>
          <w:rFonts w:cs="Arial"/>
          <w:shd w:val="clear" w:color="auto" w:fill="FFFFFF"/>
        </w:rPr>
        <w:t xml:space="preserve"> did not contribute to the explanation of rates of adolescent cannabis use in preli</w:t>
      </w:r>
      <w:r w:rsidR="00871E07">
        <w:rPr>
          <w:rFonts w:cs="Arial"/>
          <w:shd w:val="clear" w:color="auto" w:fill="FFFFFF"/>
        </w:rPr>
        <w:t>mi</w:t>
      </w:r>
      <w:r>
        <w:rPr>
          <w:rFonts w:cs="Arial"/>
          <w:shd w:val="clear" w:color="auto" w:fill="FFFFFF"/>
        </w:rPr>
        <w:t>nary analysis and so was excluded from the analyses reported here.</w:t>
      </w:r>
      <w:r w:rsidR="00335B87">
        <w:rPr>
          <w:rFonts w:cs="Arial"/>
          <w:shd w:val="clear" w:color="auto" w:fill="FFFFFF"/>
        </w:rPr>
        <w:t xml:space="preserve"> Preliminary analysis was also carried out including a qualitatively calibrated </w:t>
      </w:r>
      <w:r w:rsidR="00473686">
        <w:rPr>
          <w:rFonts w:cs="Arial"/>
          <w:shd w:val="clear" w:color="auto" w:fill="FFFFFF"/>
        </w:rPr>
        <w:t>condition</w:t>
      </w:r>
      <w:r w:rsidR="00335B87">
        <w:rPr>
          <w:rFonts w:cs="Arial"/>
          <w:shd w:val="clear" w:color="auto" w:fill="FFFFFF"/>
        </w:rPr>
        <w:t xml:space="preserve"> for each country’s levels of decriminalisation of cannabis possession</w:t>
      </w:r>
      <w:r w:rsidR="00473686">
        <w:rPr>
          <w:rFonts w:cs="Arial"/>
          <w:shd w:val="clear" w:color="auto" w:fill="FFFFFF"/>
        </w:rPr>
        <w:t xml:space="preserve">. As also found by Vuolo (2013), </w:t>
      </w:r>
      <w:r w:rsidR="00335B87">
        <w:rPr>
          <w:rFonts w:cs="Arial"/>
          <w:shd w:val="clear" w:color="auto" w:fill="FFFFFF"/>
        </w:rPr>
        <w:t>this condition added little to the explanation of</w:t>
      </w:r>
      <w:r w:rsidR="00473686">
        <w:rPr>
          <w:rFonts w:cs="Arial"/>
          <w:shd w:val="clear" w:color="auto" w:fill="FFFFFF"/>
        </w:rPr>
        <w:t xml:space="preserve"> national</w:t>
      </w:r>
      <w:r w:rsidR="00335B87">
        <w:rPr>
          <w:rFonts w:cs="Arial"/>
          <w:shd w:val="clear" w:color="auto" w:fill="FFFFFF"/>
        </w:rPr>
        <w:t xml:space="preserve"> levels of adolescent cannabis use</w:t>
      </w:r>
      <w:r w:rsidR="00473686">
        <w:rPr>
          <w:rFonts w:cs="Arial"/>
          <w:shd w:val="clear" w:color="auto" w:fill="FFFFFF"/>
        </w:rPr>
        <w:t>. It</w:t>
      </w:r>
      <w:r w:rsidR="00335B87">
        <w:rPr>
          <w:rFonts w:cs="Arial"/>
          <w:shd w:val="clear" w:color="auto" w:fill="FFFFFF"/>
        </w:rPr>
        <w:t xml:space="preserve"> was</w:t>
      </w:r>
      <w:r w:rsidR="00473686">
        <w:rPr>
          <w:rFonts w:cs="Arial"/>
          <w:shd w:val="clear" w:color="auto" w:fill="FFFFFF"/>
        </w:rPr>
        <w:t xml:space="preserve"> also</w:t>
      </w:r>
      <w:r w:rsidR="00335B87">
        <w:rPr>
          <w:rFonts w:cs="Arial"/>
          <w:shd w:val="clear" w:color="auto" w:fill="FFFFFF"/>
        </w:rPr>
        <w:t xml:space="preserve"> less relevant to the theoretical focus on social rather than policy conditions</w:t>
      </w:r>
      <w:r w:rsidR="00473686">
        <w:rPr>
          <w:rFonts w:cs="Arial"/>
          <w:shd w:val="clear" w:color="auto" w:fill="FFFFFF"/>
        </w:rPr>
        <w:t>, and so was also excluded from the final analysis</w:t>
      </w:r>
      <w:r w:rsidR="00335B87">
        <w:rPr>
          <w:rFonts w:cs="Arial"/>
          <w:shd w:val="clear" w:color="auto" w:fill="FFFFFF"/>
        </w:rPr>
        <w:t>.</w:t>
      </w:r>
    </w:p>
    <w:p w14:paraId="5854DF9C" w14:textId="77777777" w:rsidR="00B40E3A" w:rsidRDefault="00B40E3A" w:rsidP="00744637">
      <w:pPr>
        <w:spacing w:after="0" w:line="480" w:lineRule="auto"/>
      </w:pPr>
    </w:p>
    <w:p w14:paraId="3F500C9D" w14:textId="77777777" w:rsidR="00F54404" w:rsidRDefault="00F54404" w:rsidP="00744637">
      <w:pPr>
        <w:spacing w:after="0" w:line="480" w:lineRule="auto"/>
        <w:rPr>
          <w:rFonts w:cs="Arial"/>
          <w:shd w:val="clear" w:color="auto" w:fill="FFFFFF"/>
        </w:rPr>
      </w:pPr>
      <w:r w:rsidRPr="00F54404">
        <w:t xml:space="preserve">Two international research projects produce comparable information on adolescent </w:t>
      </w:r>
      <w:r w:rsidR="00943A46">
        <w:t>cannabis</w:t>
      </w:r>
      <w:r w:rsidRPr="00F54404">
        <w:t xml:space="preserve"> use. The </w:t>
      </w:r>
      <w:r w:rsidRPr="00F54404">
        <w:rPr>
          <w:rFonts w:cs="Arial"/>
          <w:shd w:val="clear" w:color="auto" w:fill="FFFFFF"/>
        </w:rPr>
        <w:t>European School Survey Project on Alcohol and Other Drugs</w:t>
      </w:r>
      <w:r>
        <w:rPr>
          <w:rFonts w:cs="Arial"/>
          <w:shd w:val="clear" w:color="auto" w:fill="FFFFFF"/>
        </w:rPr>
        <w:t xml:space="preserve"> (ESPAD) is </w:t>
      </w:r>
      <w:r w:rsidR="00B40E3A">
        <w:rPr>
          <w:rFonts w:cs="Arial"/>
          <w:shd w:val="clear" w:color="auto" w:fill="FFFFFF"/>
        </w:rPr>
        <w:t xml:space="preserve">a </w:t>
      </w:r>
      <w:r>
        <w:rPr>
          <w:rFonts w:cs="Arial"/>
          <w:shd w:val="clear" w:color="auto" w:fill="FFFFFF"/>
        </w:rPr>
        <w:t>cross-national collaboration of independent research teams. It administers a standardised</w:t>
      </w:r>
      <w:r w:rsidR="002E2C8A">
        <w:rPr>
          <w:rFonts w:cs="Arial"/>
          <w:shd w:val="clear" w:color="auto" w:fill="FFFFFF"/>
        </w:rPr>
        <w:t>, anonym</w:t>
      </w:r>
      <w:r w:rsidR="00C925CA">
        <w:rPr>
          <w:rFonts w:cs="Arial"/>
          <w:shd w:val="clear" w:color="auto" w:fill="FFFFFF"/>
        </w:rPr>
        <w:t>ous</w:t>
      </w:r>
      <w:r w:rsidR="002E2C8A">
        <w:rPr>
          <w:rFonts w:cs="Arial"/>
          <w:shd w:val="clear" w:color="auto" w:fill="FFFFFF"/>
        </w:rPr>
        <w:t>, pen-and-paper</w:t>
      </w:r>
      <w:r>
        <w:rPr>
          <w:rFonts w:cs="Arial"/>
          <w:shd w:val="clear" w:color="auto" w:fill="FFFFFF"/>
        </w:rPr>
        <w:t xml:space="preserve"> questionnaire in classrooms to at least 2,400 school students in each country who turn 16 in the year of the survey (the average age of respondents is 15.8) </w:t>
      </w:r>
      <w:r w:rsidR="00996B61">
        <w:rPr>
          <w:rFonts w:cs="Arial"/>
          <w:noProof/>
          <w:shd w:val="clear" w:color="auto" w:fill="FFFFFF"/>
        </w:rPr>
        <w:t>(</w:t>
      </w:r>
      <w:r w:rsidR="003F01F9" w:rsidRPr="003F01F9">
        <w:rPr>
          <w:rFonts w:cs="Arial"/>
          <w:noProof/>
          <w:shd w:val="clear" w:color="auto" w:fill="FFFFFF"/>
        </w:rPr>
        <w:t>Hibell, 2014)</w:t>
      </w:r>
      <w:r>
        <w:rPr>
          <w:rFonts w:cs="Arial"/>
          <w:shd w:val="clear" w:color="auto" w:fill="FFFFFF"/>
        </w:rPr>
        <w:t>.</w:t>
      </w:r>
      <w:r w:rsidR="002E2C8A">
        <w:rPr>
          <w:rFonts w:cs="Arial"/>
          <w:shd w:val="clear" w:color="auto" w:fill="FFFFFF"/>
        </w:rPr>
        <w:t xml:space="preserve"> The project aims to create a </w:t>
      </w:r>
      <w:r w:rsidR="003F01F9">
        <w:rPr>
          <w:rFonts w:cs="Arial"/>
          <w:shd w:val="clear" w:color="auto" w:fill="FFFFFF"/>
        </w:rPr>
        <w:t>cluster-randomised</w:t>
      </w:r>
      <w:r w:rsidR="002E2C8A">
        <w:rPr>
          <w:rFonts w:cs="Arial"/>
          <w:shd w:val="clear" w:color="auto" w:fill="FFFFFF"/>
        </w:rPr>
        <w:t xml:space="preserve">, representative sample of school students in each country. The questionnaire includes questions on whether the respondent has used cannabis in the past </w:t>
      </w:r>
      <w:r w:rsidR="00DD346B">
        <w:rPr>
          <w:rFonts w:cs="Arial"/>
          <w:shd w:val="clear" w:color="auto" w:fill="FFFFFF"/>
        </w:rPr>
        <w:t>12 months</w:t>
      </w:r>
      <w:r w:rsidR="002E2C8A">
        <w:rPr>
          <w:rFonts w:cs="Arial"/>
          <w:shd w:val="clear" w:color="auto" w:fill="FFFFFF"/>
        </w:rPr>
        <w:t xml:space="preserve"> or past 30 days. Past </w:t>
      </w:r>
      <w:r w:rsidR="00DD346B">
        <w:rPr>
          <w:rFonts w:cs="Arial"/>
          <w:shd w:val="clear" w:color="auto" w:fill="FFFFFF"/>
        </w:rPr>
        <w:t>12 month</w:t>
      </w:r>
      <w:r w:rsidR="002E2C8A">
        <w:rPr>
          <w:rFonts w:cs="Arial"/>
          <w:shd w:val="clear" w:color="auto" w:fill="FFFFFF"/>
        </w:rPr>
        <w:t xml:space="preserve"> cannabis use is the focus of the analyses in this article. More details, data and results from the ESPAD project are available from its website: </w:t>
      </w:r>
      <w:hyperlink r:id="rId8" w:history="1">
        <w:r w:rsidR="002E2C8A" w:rsidRPr="00C23FF2">
          <w:rPr>
            <w:rStyle w:val="Hyperlink"/>
            <w:rFonts w:cs="Arial"/>
            <w:shd w:val="clear" w:color="auto" w:fill="FFFFFF"/>
          </w:rPr>
          <w:t>www.espad.org</w:t>
        </w:r>
      </w:hyperlink>
      <w:r w:rsidR="002E2C8A">
        <w:rPr>
          <w:rFonts w:cs="Arial"/>
          <w:shd w:val="clear" w:color="auto" w:fill="FFFFFF"/>
        </w:rPr>
        <w:t>.</w:t>
      </w:r>
    </w:p>
    <w:p w14:paraId="269B463A" w14:textId="77777777" w:rsidR="00B40E3A" w:rsidRDefault="00B40E3A" w:rsidP="00744637">
      <w:pPr>
        <w:spacing w:after="0" w:line="480" w:lineRule="auto"/>
        <w:rPr>
          <w:rFonts w:cs="Arial"/>
          <w:shd w:val="clear" w:color="auto" w:fill="FFFFFF"/>
        </w:rPr>
      </w:pPr>
    </w:p>
    <w:p w14:paraId="3FB09538" w14:textId="77777777" w:rsidR="00B40E3A" w:rsidRDefault="002E2C8A" w:rsidP="00744637">
      <w:pPr>
        <w:spacing w:after="0" w:line="480" w:lineRule="auto"/>
        <w:rPr>
          <w:rFonts w:cs="Arial"/>
          <w:shd w:val="clear" w:color="auto" w:fill="FFFFFF"/>
        </w:rPr>
      </w:pPr>
      <w:r>
        <w:rPr>
          <w:rFonts w:cs="Arial"/>
          <w:shd w:val="clear" w:color="auto" w:fill="FFFFFF"/>
        </w:rPr>
        <w:t xml:space="preserve">The second </w:t>
      </w:r>
      <w:r w:rsidR="00C925CA">
        <w:rPr>
          <w:rFonts w:cs="Arial"/>
          <w:shd w:val="clear" w:color="auto" w:fill="FFFFFF"/>
        </w:rPr>
        <w:t>source of data</w:t>
      </w:r>
      <w:r>
        <w:rPr>
          <w:rFonts w:cs="Arial"/>
          <w:shd w:val="clear" w:color="auto" w:fill="FFFFFF"/>
        </w:rPr>
        <w:t xml:space="preserve"> on adolescent cannabis use </w:t>
      </w:r>
      <w:r w:rsidR="00DD346B">
        <w:rPr>
          <w:rFonts w:cs="Arial"/>
          <w:shd w:val="clear" w:color="auto" w:fill="FFFFFF"/>
        </w:rPr>
        <w:t>is the Survey of Health Behaviour in School-Aged Children</w:t>
      </w:r>
      <w:r w:rsidR="002F58DF">
        <w:rPr>
          <w:rFonts w:cs="Arial"/>
          <w:shd w:val="clear" w:color="auto" w:fill="FFFFFF"/>
        </w:rPr>
        <w:t xml:space="preserve"> (HBSC)</w:t>
      </w:r>
      <w:r w:rsidR="00DD346B">
        <w:rPr>
          <w:rFonts w:cs="Arial"/>
          <w:shd w:val="clear" w:color="auto" w:fill="FFFFFF"/>
        </w:rPr>
        <w:t xml:space="preserve">. This is also a collaboration between research </w:t>
      </w:r>
      <w:r w:rsidR="00E816C0">
        <w:rPr>
          <w:rFonts w:cs="Arial"/>
          <w:shd w:val="clear" w:color="auto" w:fill="FFFFFF"/>
        </w:rPr>
        <w:t>teams</w:t>
      </w:r>
      <w:r w:rsidR="00DD346B">
        <w:rPr>
          <w:rFonts w:cs="Arial"/>
          <w:shd w:val="clear" w:color="auto" w:fill="FFFFFF"/>
        </w:rPr>
        <w:t xml:space="preserve"> which aims to create nationally representative </w:t>
      </w:r>
      <w:r w:rsidR="00C925CA">
        <w:rPr>
          <w:rFonts w:cs="Arial"/>
          <w:shd w:val="clear" w:color="auto" w:fill="FFFFFF"/>
        </w:rPr>
        <w:t>prevalence estimates of</w:t>
      </w:r>
      <w:r w:rsidR="00DD346B">
        <w:rPr>
          <w:rFonts w:cs="Arial"/>
          <w:shd w:val="clear" w:color="auto" w:fill="FFFFFF"/>
        </w:rPr>
        <w:t xml:space="preserve"> adolescent </w:t>
      </w:r>
      <w:r w:rsidR="00C925CA">
        <w:rPr>
          <w:rFonts w:cs="Arial"/>
          <w:shd w:val="clear" w:color="auto" w:fill="FFFFFF"/>
        </w:rPr>
        <w:t>substance use</w:t>
      </w:r>
      <w:r w:rsidR="00DD346B">
        <w:rPr>
          <w:rFonts w:cs="Arial"/>
          <w:shd w:val="clear" w:color="auto" w:fill="FFFFFF"/>
        </w:rPr>
        <w:t xml:space="preserve">, among other health behaviours </w:t>
      </w:r>
      <w:r w:rsidR="00471D09" w:rsidRPr="00471D09">
        <w:rPr>
          <w:rFonts w:cs="Arial"/>
          <w:noProof/>
          <w:shd w:val="clear" w:color="auto" w:fill="FFFFFF"/>
        </w:rPr>
        <w:t>(HBSC Network, 2014)</w:t>
      </w:r>
      <w:r w:rsidR="00E816C0">
        <w:rPr>
          <w:rFonts w:cs="Arial"/>
          <w:shd w:val="clear" w:color="auto" w:fill="FFFFFF"/>
        </w:rPr>
        <w:t xml:space="preserve">. </w:t>
      </w:r>
      <w:r w:rsidR="00C61889">
        <w:rPr>
          <w:rFonts w:cs="Arial"/>
          <w:shd w:val="clear" w:color="auto" w:fill="FFFFFF"/>
        </w:rPr>
        <w:t>Like ESPAD, HBSC uses a pen-and-paper, anonym</w:t>
      </w:r>
      <w:r w:rsidR="00C925CA">
        <w:rPr>
          <w:rFonts w:cs="Arial"/>
          <w:shd w:val="clear" w:color="auto" w:fill="FFFFFF"/>
        </w:rPr>
        <w:t>ous</w:t>
      </w:r>
      <w:r w:rsidR="002F58DF">
        <w:rPr>
          <w:rFonts w:cs="Arial"/>
          <w:shd w:val="clear" w:color="auto" w:fill="FFFFFF"/>
        </w:rPr>
        <w:t>,</w:t>
      </w:r>
      <w:r w:rsidR="00C61889">
        <w:rPr>
          <w:rFonts w:cs="Arial"/>
          <w:shd w:val="clear" w:color="auto" w:fill="FFFFFF"/>
        </w:rPr>
        <w:t xml:space="preserve"> standardised questionnaire </w:t>
      </w:r>
      <w:r w:rsidR="002F58DF">
        <w:rPr>
          <w:rFonts w:cs="Arial"/>
          <w:shd w:val="clear" w:color="auto" w:fill="FFFFFF"/>
        </w:rPr>
        <w:t xml:space="preserve">in classrooms </w:t>
      </w:r>
      <w:r w:rsidR="00C61889">
        <w:rPr>
          <w:rFonts w:cs="Arial"/>
          <w:shd w:val="clear" w:color="auto" w:fill="FFFFFF"/>
        </w:rPr>
        <w:t xml:space="preserve">with a </w:t>
      </w:r>
      <w:r w:rsidR="00471D09">
        <w:rPr>
          <w:rFonts w:cs="Arial"/>
          <w:shd w:val="clear" w:color="auto" w:fill="FFFFFF"/>
        </w:rPr>
        <w:t xml:space="preserve">cluster </w:t>
      </w:r>
      <w:r w:rsidR="00C61889">
        <w:rPr>
          <w:rFonts w:cs="Arial"/>
          <w:shd w:val="clear" w:color="auto" w:fill="FFFFFF"/>
        </w:rPr>
        <w:t>random</w:t>
      </w:r>
      <w:r w:rsidR="00471D09">
        <w:rPr>
          <w:rFonts w:cs="Arial"/>
          <w:shd w:val="clear" w:color="auto" w:fill="FFFFFF"/>
        </w:rPr>
        <w:t>ised</w:t>
      </w:r>
      <w:r w:rsidR="00C61889">
        <w:rPr>
          <w:rFonts w:cs="Arial"/>
          <w:shd w:val="clear" w:color="auto" w:fill="FFFFFF"/>
        </w:rPr>
        <w:t xml:space="preserve"> sample</w:t>
      </w:r>
      <w:r w:rsidR="002F58DF">
        <w:rPr>
          <w:rFonts w:cs="Arial"/>
          <w:shd w:val="clear" w:color="auto" w:fill="FFFFFF"/>
        </w:rPr>
        <w:t xml:space="preserve"> of school students</w:t>
      </w:r>
      <w:r w:rsidR="00C61889">
        <w:rPr>
          <w:rFonts w:cs="Arial"/>
          <w:shd w:val="clear" w:color="auto" w:fill="FFFFFF"/>
        </w:rPr>
        <w:t xml:space="preserve">. The desired average age is slightly lower, at 15.5, than in </w:t>
      </w:r>
      <w:r w:rsidR="002F58DF">
        <w:rPr>
          <w:rFonts w:cs="Arial"/>
          <w:shd w:val="clear" w:color="auto" w:fill="FFFFFF"/>
        </w:rPr>
        <w:t xml:space="preserve">the </w:t>
      </w:r>
      <w:r w:rsidR="00C61889">
        <w:rPr>
          <w:rFonts w:cs="Arial"/>
          <w:shd w:val="clear" w:color="auto" w:fill="FFFFFF"/>
        </w:rPr>
        <w:t>ESPAD</w:t>
      </w:r>
      <w:r w:rsidR="002F58DF">
        <w:rPr>
          <w:rFonts w:cs="Arial"/>
          <w:shd w:val="clear" w:color="auto" w:fill="FFFFFF"/>
        </w:rPr>
        <w:t xml:space="preserve"> survey</w:t>
      </w:r>
      <w:r w:rsidR="00C61889">
        <w:rPr>
          <w:rFonts w:cs="Arial"/>
          <w:shd w:val="clear" w:color="auto" w:fill="FFFFFF"/>
        </w:rPr>
        <w:t xml:space="preserve">. The usual sample size, at 1,500, is also slightly lower; the aim is to create national prevalence estimates with 95 per cent confidence intervals of plus or minus three per cent </w:t>
      </w:r>
      <w:r w:rsidR="00C61889" w:rsidRPr="00C61889">
        <w:rPr>
          <w:rFonts w:cs="Arial"/>
          <w:noProof/>
          <w:shd w:val="clear" w:color="auto" w:fill="FFFFFF"/>
        </w:rPr>
        <w:t>(Roberts et al., 2009)</w:t>
      </w:r>
      <w:r w:rsidR="00C61889">
        <w:rPr>
          <w:rFonts w:cs="Arial"/>
          <w:shd w:val="clear" w:color="auto" w:fill="FFFFFF"/>
        </w:rPr>
        <w:t xml:space="preserve">. </w:t>
      </w:r>
      <w:r w:rsidR="008550DC">
        <w:rPr>
          <w:rFonts w:cs="Arial"/>
          <w:shd w:val="clear" w:color="auto" w:fill="FFFFFF"/>
        </w:rPr>
        <w:t>HBSC reports separate prevalences for the language communities of Belgium and the nations of the UK. For analysis here, the population weighted averages of these rates were used</w:t>
      </w:r>
      <w:r w:rsidR="00943A46">
        <w:rPr>
          <w:rFonts w:cs="Arial"/>
          <w:shd w:val="clear" w:color="auto" w:fill="FFFFFF"/>
        </w:rPr>
        <w:t xml:space="preserve"> for these two countries</w:t>
      </w:r>
      <w:r w:rsidR="008550DC">
        <w:rPr>
          <w:rFonts w:cs="Arial"/>
          <w:shd w:val="clear" w:color="auto" w:fill="FFFFFF"/>
        </w:rPr>
        <w:t xml:space="preserve">. </w:t>
      </w:r>
      <w:r w:rsidR="00C61889">
        <w:rPr>
          <w:rFonts w:cs="Arial"/>
          <w:shd w:val="clear" w:color="auto" w:fill="FFFFFF"/>
        </w:rPr>
        <w:t>The HBSC q</w:t>
      </w:r>
      <w:r w:rsidR="00943A46">
        <w:rPr>
          <w:rFonts w:cs="Arial"/>
          <w:shd w:val="clear" w:color="auto" w:fill="FFFFFF"/>
        </w:rPr>
        <w:t>uestionnaire also asks</w:t>
      </w:r>
      <w:r w:rsidR="00C61889">
        <w:rPr>
          <w:rFonts w:cs="Arial"/>
          <w:shd w:val="clear" w:color="auto" w:fill="FFFFFF"/>
        </w:rPr>
        <w:t xml:space="preserve"> about cannabis use in the past year. More information and results from the HBSC survey are available at </w:t>
      </w:r>
      <w:hyperlink r:id="rId9" w:history="1">
        <w:r w:rsidR="00930D06" w:rsidRPr="00C23FF2">
          <w:rPr>
            <w:rStyle w:val="Hyperlink"/>
            <w:rFonts w:cs="Arial"/>
            <w:shd w:val="clear" w:color="auto" w:fill="FFFFFF"/>
          </w:rPr>
          <w:t>www.hbsc.org</w:t>
        </w:r>
      </w:hyperlink>
      <w:r w:rsidR="00930D06">
        <w:rPr>
          <w:rFonts w:cs="Arial"/>
          <w:shd w:val="clear" w:color="auto" w:fill="FFFFFF"/>
        </w:rPr>
        <w:t xml:space="preserve">. </w:t>
      </w:r>
    </w:p>
    <w:p w14:paraId="428FD13E" w14:textId="77777777" w:rsidR="00B40E3A" w:rsidRDefault="00B40E3A" w:rsidP="00744637">
      <w:pPr>
        <w:spacing w:after="0" w:line="480" w:lineRule="auto"/>
        <w:rPr>
          <w:rFonts w:cs="Arial"/>
          <w:shd w:val="clear" w:color="auto" w:fill="FFFFFF"/>
        </w:rPr>
      </w:pPr>
    </w:p>
    <w:p w14:paraId="5780DD38" w14:textId="77777777" w:rsidR="00B40E3A" w:rsidRDefault="00B40E3A" w:rsidP="00744637">
      <w:pPr>
        <w:spacing w:after="0" w:line="480" w:lineRule="auto"/>
        <w:rPr>
          <w:rFonts w:cs="Arial"/>
          <w:shd w:val="clear" w:color="auto" w:fill="FFFFFF"/>
        </w:rPr>
      </w:pPr>
      <w:r>
        <w:rPr>
          <w:rFonts w:cs="Arial"/>
          <w:shd w:val="clear" w:color="auto" w:fill="FFFFFF"/>
        </w:rPr>
        <w:t>With very similar methods, ESPAD and HBSC share similar limitations. These include the absence from the samples of students who were not at school on the day of the survey</w:t>
      </w:r>
      <w:r w:rsidR="00C925CA">
        <w:rPr>
          <w:rFonts w:cs="Arial"/>
          <w:shd w:val="clear" w:color="auto" w:fill="FFFFFF"/>
        </w:rPr>
        <w:t>. They</w:t>
      </w:r>
      <w:r>
        <w:rPr>
          <w:rFonts w:cs="Arial"/>
          <w:shd w:val="clear" w:color="auto" w:fill="FFFFFF"/>
        </w:rPr>
        <w:t xml:space="preserve"> may be those who are most likely to be using illicit drugs. Other limitations include the range of different response rates across countries and the possibility of response bias when asking people to be honest in answering questions, even anonymously, on illicit drug use. These and other limitations are discussed in more detail in previous publications of the ESPAD and HBSC findings on drug use</w:t>
      </w:r>
      <w:r w:rsidR="00943A46">
        <w:rPr>
          <w:rFonts w:cs="Arial"/>
          <w:shd w:val="clear" w:color="auto" w:fill="FFFFFF"/>
        </w:rPr>
        <w:t xml:space="preserve"> </w:t>
      </w:r>
      <w:r w:rsidR="00996B61">
        <w:rPr>
          <w:rFonts w:cs="Arial"/>
          <w:noProof/>
          <w:shd w:val="clear" w:color="auto" w:fill="FFFFFF"/>
        </w:rPr>
        <w:t xml:space="preserve">(e.g. </w:t>
      </w:r>
      <w:r w:rsidR="003F01F9" w:rsidRPr="003F01F9">
        <w:rPr>
          <w:rFonts w:cs="Arial"/>
          <w:noProof/>
          <w:shd w:val="clear" w:color="auto" w:fill="FFFFFF"/>
        </w:rPr>
        <w:t>Hibell et al., 2012; WHO, 2009)</w:t>
      </w:r>
      <w:r w:rsidR="00C75AA3">
        <w:rPr>
          <w:rFonts w:cs="Arial"/>
          <w:shd w:val="clear" w:color="auto" w:fill="FFFFFF"/>
        </w:rPr>
        <w:t xml:space="preserve">, but it should be mentioned that the school-based survey method has been found to be robust </w:t>
      </w:r>
      <w:r w:rsidR="00C75AA3" w:rsidRPr="00C75AA3">
        <w:rPr>
          <w:rFonts w:cs="Arial"/>
          <w:noProof/>
          <w:shd w:val="clear" w:color="auto" w:fill="FFFFFF"/>
        </w:rPr>
        <w:t>(Bjarnason &amp; Adalbjarnardottir, 2000)</w:t>
      </w:r>
      <w:r w:rsidR="003E64A5">
        <w:rPr>
          <w:rFonts w:cs="Arial"/>
          <w:shd w:val="clear" w:color="auto" w:fill="FFFFFF"/>
        </w:rPr>
        <w:t xml:space="preserve"> and that the resulting </w:t>
      </w:r>
      <w:r w:rsidR="00C925CA">
        <w:rPr>
          <w:rFonts w:cs="Arial"/>
          <w:shd w:val="clear" w:color="auto" w:fill="FFFFFF"/>
        </w:rPr>
        <w:t xml:space="preserve">comparable </w:t>
      </w:r>
      <w:r w:rsidR="003E64A5">
        <w:rPr>
          <w:rFonts w:cs="Arial"/>
          <w:shd w:val="clear" w:color="auto" w:fill="FFFFFF"/>
        </w:rPr>
        <w:t xml:space="preserve">prevalence estimates have been found to be reliable </w:t>
      </w:r>
      <w:r w:rsidR="003E64A5" w:rsidRPr="003E64A5">
        <w:rPr>
          <w:rFonts w:cs="Arial"/>
          <w:noProof/>
          <w:shd w:val="clear" w:color="auto" w:fill="FFFFFF"/>
        </w:rPr>
        <w:t>(Steppan, Kraus, Piontek, &amp; Siciliano, 2013)</w:t>
      </w:r>
      <w:r w:rsidR="00C75AA3">
        <w:rPr>
          <w:rFonts w:cs="Arial"/>
          <w:shd w:val="clear" w:color="auto" w:fill="FFFFFF"/>
        </w:rPr>
        <w:t>.</w:t>
      </w:r>
    </w:p>
    <w:p w14:paraId="1C0017F6" w14:textId="77777777" w:rsidR="00136A9F" w:rsidRDefault="00136A9F" w:rsidP="00744637">
      <w:pPr>
        <w:spacing w:after="0" w:line="480" w:lineRule="auto"/>
        <w:rPr>
          <w:rFonts w:cs="Arial"/>
          <w:shd w:val="clear" w:color="auto" w:fill="FFFFFF"/>
        </w:rPr>
      </w:pPr>
    </w:p>
    <w:p w14:paraId="426E775D" w14:textId="77777777" w:rsidR="00AC6977" w:rsidRDefault="00136A9F" w:rsidP="00744637">
      <w:pPr>
        <w:spacing w:after="0" w:line="480" w:lineRule="auto"/>
        <w:rPr>
          <w:rFonts w:cs="Arial"/>
          <w:shd w:val="clear" w:color="auto" w:fill="FFFFFF"/>
        </w:rPr>
      </w:pPr>
      <w:r>
        <w:rPr>
          <w:rFonts w:cs="Arial"/>
          <w:shd w:val="clear" w:color="auto" w:fill="FFFFFF"/>
        </w:rPr>
        <w:t xml:space="preserve">For comparative analysis, theoretically important countries that share similar contexts to that specified in case selection should be included. If they are not, there is a danger of excluding contradictory cases and their configurations </w:t>
      </w:r>
      <w:r w:rsidR="00943A46">
        <w:rPr>
          <w:rFonts w:cs="Arial"/>
          <w:shd w:val="clear" w:color="auto" w:fill="FFFFFF"/>
        </w:rPr>
        <w:t xml:space="preserve">of conditions </w:t>
      </w:r>
      <w:r>
        <w:rPr>
          <w:rFonts w:cs="Arial"/>
          <w:shd w:val="clear" w:color="auto" w:fill="FFFFFF"/>
        </w:rPr>
        <w:t xml:space="preserve">from the analysis. </w:t>
      </w:r>
      <w:r w:rsidR="00C61889">
        <w:rPr>
          <w:rFonts w:cs="Arial"/>
          <w:shd w:val="clear" w:color="auto" w:fill="FFFFFF"/>
        </w:rPr>
        <w:t xml:space="preserve">Two important countries </w:t>
      </w:r>
      <w:r w:rsidR="003F01F9">
        <w:rPr>
          <w:rFonts w:cs="Arial"/>
          <w:shd w:val="clear" w:color="auto" w:fill="FFFFFF"/>
        </w:rPr>
        <w:t>for this analysis</w:t>
      </w:r>
      <w:r w:rsidR="00C61889">
        <w:rPr>
          <w:rFonts w:cs="Arial"/>
          <w:shd w:val="clear" w:color="auto" w:fill="FFFFFF"/>
        </w:rPr>
        <w:t xml:space="preserve"> </w:t>
      </w:r>
      <w:r w:rsidR="00255E7D">
        <w:rPr>
          <w:rFonts w:cs="Arial"/>
          <w:shd w:val="clear" w:color="auto" w:fill="FFFFFF"/>
        </w:rPr>
        <w:t>are Australia and the USA. Neither is included in ESPAD, and Australia is not in HBSC. In order to include valuable information from these countries, data was extracted from surveys that use very similar methods. In the USA, this</w:t>
      </w:r>
      <w:r w:rsidR="00C51EE7">
        <w:rPr>
          <w:rFonts w:cs="Arial"/>
          <w:shd w:val="clear" w:color="auto" w:fill="FFFFFF"/>
        </w:rPr>
        <w:t xml:space="preserve"> was the Monitoring the Future (MtF) s</w:t>
      </w:r>
      <w:r w:rsidR="00255E7D">
        <w:rPr>
          <w:rFonts w:cs="Arial"/>
          <w:shd w:val="clear" w:color="auto" w:fill="FFFFFF"/>
        </w:rPr>
        <w:t xml:space="preserve">urvey </w:t>
      </w:r>
      <w:r w:rsidR="00A47120">
        <w:rPr>
          <w:rFonts w:cs="Arial"/>
          <w:shd w:val="clear" w:color="auto" w:fill="FFFFFF"/>
        </w:rPr>
        <w:t>(</w:t>
      </w:r>
      <w:r w:rsidR="00A47120" w:rsidRPr="00A47120">
        <w:rPr>
          <w:rFonts w:cs="Arial"/>
          <w:shd w:val="clear" w:color="auto" w:fill="FFFFFF"/>
        </w:rPr>
        <w:t>http://www.monitoringthefuture.org/</w:t>
      </w:r>
      <w:r w:rsidR="00A47120">
        <w:rPr>
          <w:rFonts w:cs="Arial"/>
          <w:shd w:val="clear" w:color="auto" w:fill="FFFFFF"/>
        </w:rPr>
        <w:t>)</w:t>
      </w:r>
      <w:r w:rsidR="00255E7D">
        <w:rPr>
          <w:rFonts w:cs="Arial"/>
          <w:shd w:val="clear" w:color="auto" w:fill="FFFFFF"/>
        </w:rPr>
        <w:t>. In Australia, it was the A</w:t>
      </w:r>
      <w:r w:rsidR="00C51EE7">
        <w:rPr>
          <w:rFonts w:cs="Arial"/>
          <w:shd w:val="clear" w:color="auto" w:fill="FFFFFF"/>
        </w:rPr>
        <w:t>ustralian Secondary Students Alcohol and Drugs (ASSAD) survey</w:t>
      </w:r>
      <w:r w:rsidR="00255E7D">
        <w:rPr>
          <w:rFonts w:cs="Arial"/>
          <w:shd w:val="clear" w:color="auto" w:fill="FFFFFF"/>
        </w:rPr>
        <w:t xml:space="preserve"> </w:t>
      </w:r>
      <w:r w:rsidR="00A47120" w:rsidRPr="00A47120">
        <w:rPr>
          <w:rFonts w:cs="Arial"/>
          <w:noProof/>
          <w:shd w:val="clear" w:color="auto" w:fill="FFFFFF"/>
        </w:rPr>
        <w:t>(White &amp; Bariola, 2012)</w:t>
      </w:r>
      <w:r w:rsidR="00255E7D">
        <w:rPr>
          <w:rFonts w:cs="Arial"/>
          <w:shd w:val="clear" w:color="auto" w:fill="FFFFFF"/>
        </w:rPr>
        <w:t xml:space="preserve">. Both administer standardised, anonymised class room surveys to a random sample of adolescents in the same school </w:t>
      </w:r>
      <w:r>
        <w:rPr>
          <w:rFonts w:cs="Arial"/>
          <w:shd w:val="clear" w:color="auto" w:fill="FFFFFF"/>
        </w:rPr>
        <w:t>grade</w:t>
      </w:r>
      <w:r w:rsidR="00255E7D">
        <w:rPr>
          <w:rFonts w:cs="Arial"/>
          <w:shd w:val="clear" w:color="auto" w:fill="FFFFFF"/>
        </w:rPr>
        <w:t xml:space="preserve"> as ESPAD and HBSC</w:t>
      </w:r>
      <w:r w:rsidR="003F01F9">
        <w:rPr>
          <w:rFonts w:cs="Arial"/>
          <w:shd w:val="clear" w:color="auto" w:fill="FFFFFF"/>
        </w:rPr>
        <w:t>, using very similar methods and questions</w:t>
      </w:r>
      <w:r w:rsidR="00AC6977">
        <w:rPr>
          <w:rStyle w:val="EndnoteReference"/>
          <w:rFonts w:cs="Arial"/>
          <w:shd w:val="clear" w:color="auto" w:fill="FFFFFF"/>
        </w:rPr>
        <w:endnoteReference w:id="2"/>
      </w:r>
      <w:r w:rsidR="00AC6977">
        <w:rPr>
          <w:rFonts w:cs="Arial"/>
          <w:shd w:val="clear" w:color="auto" w:fill="FFFFFF"/>
        </w:rPr>
        <w:t>.</w:t>
      </w:r>
    </w:p>
    <w:p w14:paraId="6EF38B26" w14:textId="77777777" w:rsidR="00AC6977" w:rsidRDefault="00AC6977" w:rsidP="00744637">
      <w:pPr>
        <w:spacing w:after="0" w:line="480" w:lineRule="auto"/>
        <w:rPr>
          <w:rFonts w:cs="Arial"/>
          <w:shd w:val="clear" w:color="auto" w:fill="FFFFFF"/>
        </w:rPr>
      </w:pPr>
    </w:p>
    <w:p w14:paraId="15F3AC0E" w14:textId="77777777" w:rsidR="00AC6977" w:rsidRDefault="00F53BA5" w:rsidP="00744637">
      <w:pPr>
        <w:spacing w:after="0" w:line="480" w:lineRule="auto"/>
        <w:rPr>
          <w:rFonts w:cs="Arial"/>
          <w:shd w:val="clear" w:color="auto" w:fill="FFFFFF"/>
        </w:rPr>
      </w:pPr>
      <w:r>
        <w:rPr>
          <w:rFonts w:cs="Arial"/>
          <w:shd w:val="clear" w:color="auto" w:fill="FFFFFF"/>
        </w:rPr>
        <w:t>D</w:t>
      </w:r>
      <w:r w:rsidR="00AC6977">
        <w:rPr>
          <w:rFonts w:cs="Arial"/>
          <w:shd w:val="clear" w:color="auto" w:fill="FFFFFF"/>
        </w:rPr>
        <w:t xml:space="preserve">ata on other theoretically relevant social conditions were </w:t>
      </w:r>
      <w:r w:rsidR="00BC2040">
        <w:rPr>
          <w:rFonts w:cs="Arial"/>
          <w:shd w:val="clear" w:color="auto" w:fill="FFFFFF"/>
        </w:rPr>
        <w:t>gathered</w:t>
      </w:r>
      <w:r w:rsidR="00AC6977">
        <w:rPr>
          <w:rFonts w:cs="Arial"/>
          <w:shd w:val="clear" w:color="auto" w:fill="FFFFFF"/>
        </w:rPr>
        <w:t xml:space="preserve"> for each year for which ESPAD or HBSC data was collected. The Gini coefficient is a widely used - although imperfect </w:t>
      </w:r>
      <w:r w:rsidR="00AC6977" w:rsidRPr="001A5D1C">
        <w:rPr>
          <w:rFonts w:cs="Arial"/>
          <w:noProof/>
          <w:shd w:val="clear" w:color="auto" w:fill="FFFFFF"/>
        </w:rPr>
        <w:t>(Salverde, 2011)</w:t>
      </w:r>
      <w:r w:rsidR="00AC6977">
        <w:rPr>
          <w:rFonts w:cs="Arial"/>
          <w:shd w:val="clear" w:color="auto" w:fill="FFFFFF"/>
        </w:rPr>
        <w:t xml:space="preserve"> - measure of national income inequality. It measures the dispersion of the distribution of incomes between individuals in the country. It ranges from </w:t>
      </w:r>
      <w:r w:rsidR="00BC2040">
        <w:rPr>
          <w:rFonts w:cs="Arial"/>
          <w:shd w:val="clear" w:color="auto" w:fill="FFFFFF"/>
        </w:rPr>
        <w:t>zero</w:t>
      </w:r>
      <w:r w:rsidR="00AC6977">
        <w:rPr>
          <w:rFonts w:cs="Arial"/>
          <w:shd w:val="clear" w:color="auto" w:fill="FFFFFF"/>
        </w:rPr>
        <w:t xml:space="preserve"> (everyone receives the same income</w:t>
      </w:r>
      <w:r w:rsidR="00BC2040">
        <w:rPr>
          <w:rFonts w:cs="Arial"/>
          <w:shd w:val="clear" w:color="auto" w:fill="FFFFFF"/>
        </w:rPr>
        <w:t>) to one</w:t>
      </w:r>
      <w:r w:rsidR="00AC6977">
        <w:rPr>
          <w:rFonts w:cs="Arial"/>
          <w:shd w:val="clear" w:color="auto" w:fill="FFFFFF"/>
        </w:rPr>
        <w:t xml:space="preserve"> (one person receives all the income). For this article, values of the Gini coefficient for disposable income for each country in each year were collected from the OECD’s online database of economic indicators </w:t>
      </w:r>
      <w:r w:rsidR="0004228A">
        <w:rPr>
          <w:rFonts w:cs="Arial"/>
          <w:noProof/>
          <w:shd w:val="clear" w:color="auto" w:fill="FFFFFF"/>
        </w:rPr>
        <w:t>(OECD, 2015a)</w:t>
      </w:r>
      <w:r w:rsidR="00AC6977">
        <w:rPr>
          <w:rFonts w:cs="Arial"/>
          <w:shd w:val="clear" w:color="auto" w:fill="FFFFFF"/>
        </w:rPr>
        <w:t xml:space="preserve">. For missing values, last observation carried forward (or nearest observation carried backward, in the case of years with no earlier value) was used. </w:t>
      </w:r>
    </w:p>
    <w:p w14:paraId="710FEFBB" w14:textId="77777777" w:rsidR="00AC6977" w:rsidRDefault="00AC6977" w:rsidP="00744637">
      <w:pPr>
        <w:spacing w:after="0" w:line="480" w:lineRule="auto"/>
        <w:rPr>
          <w:rFonts w:cs="Arial"/>
          <w:shd w:val="clear" w:color="auto" w:fill="FFFFFF"/>
        </w:rPr>
      </w:pPr>
    </w:p>
    <w:p w14:paraId="268C1342" w14:textId="77777777" w:rsidR="00AC6977" w:rsidRDefault="00AC6977" w:rsidP="00744637">
      <w:pPr>
        <w:spacing w:after="0" w:line="480" w:lineRule="auto"/>
        <w:rPr>
          <w:rFonts w:cs="Arial"/>
          <w:shd w:val="clear" w:color="auto" w:fill="FFFFFF"/>
        </w:rPr>
      </w:pPr>
      <w:r>
        <w:rPr>
          <w:rFonts w:cs="Arial"/>
          <w:shd w:val="clear" w:color="auto" w:fill="FFFFFF"/>
        </w:rPr>
        <w:t xml:space="preserve">The countries’ levels of welfare support may moderate the impact of income inequality </w:t>
      </w:r>
      <w:r>
        <w:rPr>
          <w:rFonts w:cs="Arial"/>
          <w:noProof/>
          <w:shd w:val="clear" w:color="auto" w:fill="FFFFFF"/>
        </w:rPr>
        <w:t xml:space="preserve">(Esping-Anderson, 1990; </w:t>
      </w:r>
      <w:r w:rsidRPr="00AB15AE">
        <w:rPr>
          <w:rFonts w:cs="Arial"/>
          <w:noProof/>
          <w:shd w:val="clear" w:color="auto" w:fill="FFFFFF"/>
        </w:rPr>
        <w:t>Wilkinson, 2005)</w:t>
      </w:r>
      <w:r>
        <w:rPr>
          <w:rFonts w:cs="Arial"/>
          <w:shd w:val="clear" w:color="auto" w:fill="FFFFFF"/>
        </w:rPr>
        <w:t>. There is no direct measure of welfare support, but a useful indicator is provided by the value of a range of common welfare benefit types. Their value is measured by the extent to which they replace the ‘average production worker wage’ in each country in each year; i.e. the replacement rate. The Comparative Welfare Entitlement Database (CWED) contains data on unemployment, sickness and pension replacement rates</w:t>
      </w:r>
      <w:r w:rsidRPr="00E3010C">
        <w:rPr>
          <w:rFonts w:cs="Arial"/>
          <w:shd w:val="clear" w:color="auto" w:fill="FFFFFF"/>
        </w:rPr>
        <w:t xml:space="preserve"> </w:t>
      </w:r>
      <w:r>
        <w:rPr>
          <w:rFonts w:cs="Arial"/>
          <w:shd w:val="clear" w:color="auto" w:fill="FFFFFF"/>
        </w:rPr>
        <w:t xml:space="preserve">- for both a typical individual and a typical family - over a number of years for a panel of developed countries </w:t>
      </w:r>
      <w:r w:rsidRPr="007F1666">
        <w:rPr>
          <w:rFonts w:cs="Arial"/>
          <w:noProof/>
          <w:shd w:val="clear" w:color="auto" w:fill="FFFFFF"/>
        </w:rPr>
        <w:t>(Scruggs, 2014)</w:t>
      </w:r>
      <w:r>
        <w:rPr>
          <w:rFonts w:cs="Arial"/>
          <w:shd w:val="clear" w:color="auto" w:fill="FFFFFF"/>
        </w:rPr>
        <w:t>. These data were collected from the CWED database (</w:t>
      </w:r>
      <w:r w:rsidRPr="008C3DD3">
        <w:rPr>
          <w:rFonts w:cs="Arial"/>
          <w:shd w:val="clear" w:color="auto" w:fill="FFFFFF"/>
        </w:rPr>
        <w:t>http://cwed2.org/</w:t>
      </w:r>
      <w:r>
        <w:rPr>
          <w:rFonts w:cs="Arial"/>
          <w:shd w:val="clear" w:color="auto" w:fill="FFFFFF"/>
        </w:rPr>
        <w:t>). The average of these six replacement rates was calculated for use in this analysis as a measure of welfare support in each country in each year</w:t>
      </w:r>
      <w:r>
        <w:rPr>
          <w:rStyle w:val="EndnoteReference"/>
          <w:rFonts w:cs="Arial"/>
          <w:shd w:val="clear" w:color="auto" w:fill="FFFFFF"/>
        </w:rPr>
        <w:endnoteReference w:id="3"/>
      </w:r>
      <w:r>
        <w:rPr>
          <w:rFonts w:cs="Arial"/>
          <w:shd w:val="clear" w:color="auto" w:fill="FFFFFF"/>
        </w:rPr>
        <w:t>.</w:t>
      </w:r>
    </w:p>
    <w:p w14:paraId="52AB4CF2" w14:textId="77777777" w:rsidR="00F53BA5" w:rsidRDefault="00F53BA5" w:rsidP="00744637">
      <w:pPr>
        <w:spacing w:after="0" w:line="480" w:lineRule="auto"/>
        <w:rPr>
          <w:rFonts w:cs="Arial"/>
          <w:shd w:val="clear" w:color="auto" w:fill="FFFFFF"/>
        </w:rPr>
      </w:pPr>
    </w:p>
    <w:p w14:paraId="0F26AA39" w14:textId="77777777" w:rsidR="00AC6977" w:rsidRDefault="00AC6977" w:rsidP="00744637">
      <w:pPr>
        <w:spacing w:after="0" w:line="480" w:lineRule="auto"/>
        <w:rPr>
          <w:rFonts w:cs="Arial"/>
          <w:shd w:val="clear" w:color="auto" w:fill="FFFFFF"/>
        </w:rPr>
      </w:pPr>
      <w:r>
        <w:rPr>
          <w:rFonts w:cs="Arial"/>
          <w:shd w:val="clear" w:color="auto" w:fill="FFFFFF"/>
        </w:rPr>
        <w:t xml:space="preserve">National wealth (as measured by </w:t>
      </w:r>
      <w:r w:rsidR="00BC2040">
        <w:rPr>
          <w:rFonts w:cs="Arial"/>
          <w:shd w:val="clear" w:color="auto" w:fill="FFFFFF"/>
        </w:rPr>
        <w:t>GDP</w:t>
      </w:r>
      <w:r>
        <w:rPr>
          <w:rFonts w:cs="Arial"/>
          <w:shd w:val="clear" w:color="auto" w:fill="FFFFFF"/>
        </w:rPr>
        <w:t xml:space="preserve"> per head) was chosen as a proxy indicator of the financial ability of young people to spend on consumption. Data on GDP per head (in 2005 US dollars, adjusted to 2005 purchasing power parity) was also downloaded from the OECD online databank </w:t>
      </w:r>
      <w:r w:rsidRPr="00AC6977">
        <w:rPr>
          <w:rFonts w:cs="Arial"/>
          <w:noProof/>
          <w:shd w:val="clear" w:color="auto" w:fill="FFFFFF"/>
        </w:rPr>
        <w:t>(OECD, 2015b)</w:t>
      </w:r>
      <w:r>
        <w:rPr>
          <w:rFonts w:cs="Arial"/>
          <w:shd w:val="clear" w:color="auto" w:fill="FFFFFF"/>
        </w:rPr>
        <w:t>.</w:t>
      </w:r>
      <w:r w:rsidR="00F53BA5">
        <w:rPr>
          <w:rFonts w:cs="Arial"/>
          <w:shd w:val="clear" w:color="auto" w:fill="FFFFFF"/>
        </w:rPr>
        <w:t xml:space="preserve"> </w:t>
      </w:r>
      <w:r>
        <w:rPr>
          <w:rFonts w:cs="Arial"/>
          <w:shd w:val="clear" w:color="auto" w:fill="FFFFFF"/>
        </w:rPr>
        <w:t xml:space="preserve">Data on national rates of urbanisation (i.e. the proportion of a country’s population that lives in urban areas) for each year were collected from the World Bank’s online database </w:t>
      </w:r>
      <w:r w:rsidRPr="00996DE0">
        <w:rPr>
          <w:rFonts w:cs="Arial"/>
          <w:noProof/>
          <w:shd w:val="clear" w:color="auto" w:fill="FFFFFF"/>
        </w:rPr>
        <w:t>(World Bank, 2015)</w:t>
      </w:r>
      <w:r>
        <w:rPr>
          <w:rFonts w:cs="Arial"/>
          <w:shd w:val="clear" w:color="auto" w:fill="FFFFFF"/>
        </w:rPr>
        <w:t>.</w:t>
      </w:r>
      <w:r w:rsidR="00814C95">
        <w:rPr>
          <w:rFonts w:cs="Arial"/>
          <w:shd w:val="clear" w:color="auto" w:fill="FFFFFF"/>
        </w:rPr>
        <w:t xml:space="preserve"> The same database was used to collect data on rates of youth unemployment (percentage of total labour force aged 15-24).</w:t>
      </w:r>
    </w:p>
    <w:p w14:paraId="44398D92" w14:textId="77777777" w:rsidR="00AC6977" w:rsidRDefault="00AC6977" w:rsidP="00744637">
      <w:pPr>
        <w:spacing w:after="0" w:line="480" w:lineRule="auto"/>
        <w:rPr>
          <w:rFonts w:cs="Arial"/>
          <w:shd w:val="clear" w:color="auto" w:fill="FFFFFF"/>
        </w:rPr>
      </w:pPr>
    </w:p>
    <w:p w14:paraId="668EEB5E" w14:textId="77777777" w:rsidR="00AC6977" w:rsidRDefault="00AC6977" w:rsidP="00744637">
      <w:pPr>
        <w:spacing w:after="0" w:line="480" w:lineRule="auto"/>
        <w:rPr>
          <w:rFonts w:cs="Arial"/>
          <w:i/>
          <w:shd w:val="clear" w:color="auto" w:fill="FFFFFF"/>
        </w:rPr>
      </w:pPr>
      <w:r>
        <w:rPr>
          <w:rFonts w:cs="Arial"/>
          <w:i/>
          <w:shd w:val="clear" w:color="auto" w:fill="FFFFFF"/>
        </w:rPr>
        <w:t>Data preparation and calibration</w:t>
      </w:r>
    </w:p>
    <w:p w14:paraId="2B4DD638" w14:textId="77777777" w:rsidR="00BC2040" w:rsidRDefault="00BC2040" w:rsidP="00744637">
      <w:pPr>
        <w:spacing w:after="0" w:line="480" w:lineRule="auto"/>
        <w:rPr>
          <w:rFonts w:cs="Arial"/>
          <w:shd w:val="clear" w:color="auto" w:fill="FFFFFF"/>
        </w:rPr>
      </w:pPr>
    </w:p>
    <w:p w14:paraId="1294AAD0" w14:textId="77777777" w:rsidR="00AC6977" w:rsidRDefault="00AC6977" w:rsidP="00744637">
      <w:pPr>
        <w:spacing w:after="0" w:line="480" w:lineRule="auto"/>
        <w:rPr>
          <w:rFonts w:eastAsia="Arial" w:cs="Arial"/>
          <w:shd w:val="clear" w:color="auto" w:fill="FFFFFF"/>
        </w:rPr>
      </w:pPr>
      <w:r w:rsidRPr="00996DE0">
        <w:rPr>
          <w:rFonts w:eastAsia="Arial" w:cs="Arial"/>
          <w:shd w:val="clear" w:color="auto" w:fill="FFFFFF"/>
        </w:rPr>
        <w:t>Two datasets were created for analysis; one with the ESPAD cannabis use data, and one with the HBSC data (with additional data for Australia and the USA from the ASSAD and MtF surveys</w:t>
      </w:r>
      <w:r w:rsidR="00BC2040">
        <w:rPr>
          <w:rFonts w:eastAsia="Arial" w:cs="Arial"/>
          <w:shd w:val="clear" w:color="auto" w:fill="FFFFFF"/>
        </w:rPr>
        <w:t xml:space="preserve"> for the ESPAD dataset</w:t>
      </w:r>
      <w:r>
        <w:rPr>
          <w:rFonts w:eastAsia="Arial" w:cs="Arial"/>
          <w:shd w:val="clear" w:color="auto" w:fill="FFFFFF"/>
        </w:rPr>
        <w:t>, and from ASSAD for the HBSC dataset</w:t>
      </w:r>
      <w:r w:rsidRPr="00996DE0">
        <w:rPr>
          <w:rFonts w:eastAsia="Arial" w:cs="Arial"/>
          <w:shd w:val="clear" w:color="auto" w:fill="FFFFFF"/>
        </w:rPr>
        <w:t xml:space="preserve">). </w:t>
      </w:r>
      <w:r w:rsidRPr="00996DE0">
        <w:rPr>
          <w:rFonts w:cs="Arial"/>
          <w:shd w:val="clear" w:color="auto" w:fill="FFFFFF"/>
        </w:rPr>
        <w:t xml:space="preserve">Data on cannabis use </w:t>
      </w:r>
      <w:r w:rsidR="00F53BA5">
        <w:rPr>
          <w:rFonts w:cs="Arial"/>
          <w:shd w:val="clear" w:color="auto" w:fill="FFFFFF"/>
        </w:rPr>
        <w:t>were</w:t>
      </w:r>
      <w:r w:rsidRPr="00996DE0">
        <w:rPr>
          <w:rFonts w:cs="Arial"/>
          <w:shd w:val="clear" w:color="auto" w:fill="FFFFFF"/>
        </w:rPr>
        <w:t xml:space="preserve"> available from the ESPAD surveys of 1995, 1999, 2003, 2007 and 2011. From HBSC, </w:t>
      </w:r>
      <w:r w:rsidR="00F53BA5">
        <w:rPr>
          <w:rFonts w:cs="Arial"/>
          <w:shd w:val="clear" w:color="auto" w:fill="FFFFFF"/>
        </w:rPr>
        <w:t>data were</w:t>
      </w:r>
      <w:r w:rsidRPr="00996DE0">
        <w:rPr>
          <w:rFonts w:cs="Arial"/>
          <w:shd w:val="clear" w:color="auto" w:fill="FFFFFF"/>
        </w:rPr>
        <w:t xml:space="preserve"> available for 2001</w:t>
      </w:r>
      <w:r>
        <w:rPr>
          <w:rFonts w:cs="Arial"/>
          <w:shd w:val="clear" w:color="auto" w:fill="FFFFFF"/>
        </w:rPr>
        <w:t>/2</w:t>
      </w:r>
      <w:r w:rsidRPr="00996DE0">
        <w:rPr>
          <w:rFonts w:cs="Arial"/>
          <w:shd w:val="clear" w:color="auto" w:fill="FFFFFF"/>
        </w:rPr>
        <w:t>, 2005</w:t>
      </w:r>
      <w:r>
        <w:rPr>
          <w:rFonts w:cs="Arial"/>
          <w:shd w:val="clear" w:color="auto" w:fill="FFFFFF"/>
        </w:rPr>
        <w:t>/6</w:t>
      </w:r>
      <w:r w:rsidRPr="00996DE0">
        <w:rPr>
          <w:rFonts w:cs="Arial"/>
          <w:shd w:val="clear" w:color="auto" w:fill="FFFFFF"/>
        </w:rPr>
        <w:t xml:space="preserve"> and 2009</w:t>
      </w:r>
      <w:r>
        <w:rPr>
          <w:rFonts w:cs="Arial"/>
          <w:shd w:val="clear" w:color="auto" w:fill="FFFFFF"/>
        </w:rPr>
        <w:t>/10</w:t>
      </w:r>
      <w:r w:rsidRPr="00996DE0">
        <w:rPr>
          <w:rFonts w:cs="Arial"/>
          <w:shd w:val="clear" w:color="auto" w:fill="FFFFFF"/>
        </w:rPr>
        <w:t xml:space="preserve">. The availability of data from more than one wave of each survey enables the inclusion of a larger number of observations in the dataset, with a </w:t>
      </w:r>
      <w:r w:rsidR="00BC2040">
        <w:rPr>
          <w:rFonts w:cs="Arial"/>
          <w:shd w:val="clear" w:color="auto" w:fill="FFFFFF"/>
        </w:rPr>
        <w:t xml:space="preserve">separate </w:t>
      </w:r>
      <w:r w:rsidRPr="00996DE0">
        <w:rPr>
          <w:rFonts w:cs="Arial"/>
          <w:shd w:val="clear" w:color="auto" w:fill="FFFFFF"/>
        </w:rPr>
        <w:t xml:space="preserve">row for each country for each year. This brought the sample sizes up to a numbers for which it was possible to use an adequate number of </w:t>
      </w:r>
      <w:r>
        <w:rPr>
          <w:rFonts w:cs="Arial"/>
          <w:shd w:val="clear" w:color="auto" w:fill="FFFFFF"/>
        </w:rPr>
        <w:t xml:space="preserve">potentially </w:t>
      </w:r>
      <w:r w:rsidRPr="00996DE0">
        <w:rPr>
          <w:rFonts w:cs="Arial"/>
          <w:shd w:val="clear" w:color="auto" w:fill="FFFFFF"/>
        </w:rPr>
        <w:t xml:space="preserve">causal conditions in QCA </w:t>
      </w:r>
      <w:r>
        <w:rPr>
          <w:rFonts w:cs="Arial"/>
          <w:noProof/>
          <w:shd w:val="clear" w:color="auto" w:fill="FFFFFF"/>
        </w:rPr>
        <w:t>(</w:t>
      </w:r>
      <w:r w:rsidRPr="00996DE0">
        <w:rPr>
          <w:rFonts w:cs="Arial"/>
          <w:noProof/>
          <w:shd w:val="clear" w:color="auto" w:fill="FFFFFF"/>
        </w:rPr>
        <w:t>Marx, 2010)</w:t>
      </w:r>
      <w:r w:rsidRPr="00996DE0">
        <w:rPr>
          <w:rFonts w:cs="Arial"/>
          <w:shd w:val="clear" w:color="auto" w:fill="FFFFFF"/>
        </w:rPr>
        <w:t xml:space="preserve">. </w:t>
      </w:r>
      <w:r w:rsidRPr="00996DE0">
        <w:rPr>
          <w:rFonts w:eastAsia="Arial" w:cs="Arial"/>
          <w:shd w:val="clear" w:color="auto" w:fill="FFFFFF"/>
        </w:rPr>
        <w:t xml:space="preserve">Not all of the data on adolescent cannabis use or potential influences on it were available for all countries for all years of the </w:t>
      </w:r>
      <w:r w:rsidR="00BC2040">
        <w:rPr>
          <w:rFonts w:eastAsia="Arial" w:cs="Arial"/>
          <w:shd w:val="clear" w:color="auto" w:fill="FFFFFF"/>
        </w:rPr>
        <w:t xml:space="preserve">two surveys. For analysis, only cases in rows of the datasets </w:t>
      </w:r>
      <w:r w:rsidRPr="00996DE0">
        <w:rPr>
          <w:rFonts w:eastAsia="Arial" w:cs="Arial"/>
          <w:shd w:val="clear" w:color="auto" w:fill="FFFFFF"/>
        </w:rPr>
        <w:t xml:space="preserve">that had complete data for all these indicators (with imputation of some missing data for inequality as noted above) were included </w:t>
      </w:r>
      <w:r w:rsidRPr="00996DE0">
        <w:rPr>
          <w:rFonts w:cs="Arial"/>
          <w:shd w:val="clear" w:color="auto" w:fill="FFFFFF"/>
        </w:rPr>
        <w:t>(n=9</w:t>
      </w:r>
      <w:r w:rsidR="003A5332">
        <w:rPr>
          <w:rFonts w:cs="Arial"/>
          <w:shd w:val="clear" w:color="auto" w:fill="FFFFFF"/>
        </w:rPr>
        <w:t>7</w:t>
      </w:r>
      <w:r w:rsidRPr="00996DE0">
        <w:rPr>
          <w:rFonts w:cs="Arial"/>
          <w:shd w:val="clear" w:color="auto" w:fill="FFFFFF"/>
        </w:rPr>
        <w:t xml:space="preserve"> for the ESPAD dataset and n=72 for the HBSC dataset)</w:t>
      </w:r>
      <w:r w:rsidRPr="00996DE0">
        <w:rPr>
          <w:rFonts w:eastAsia="Arial" w:cs="Arial"/>
          <w:shd w:val="clear" w:color="auto" w:fill="FFFFFF"/>
        </w:rPr>
        <w:t xml:space="preserve">. </w:t>
      </w:r>
      <w:r>
        <w:rPr>
          <w:rFonts w:eastAsia="Arial" w:cs="Arial"/>
          <w:shd w:val="clear" w:color="auto" w:fill="FFFFFF"/>
        </w:rPr>
        <w:t>Each country in each year was treated as a separate case in the analyses presented below.</w:t>
      </w:r>
      <w:r w:rsidRPr="00996DE0">
        <w:rPr>
          <w:rFonts w:eastAsia="Arial" w:cs="Arial"/>
          <w:shd w:val="clear" w:color="auto" w:fill="FFFFFF"/>
        </w:rPr>
        <w:t xml:space="preserve"> </w:t>
      </w:r>
      <w:r w:rsidR="00BC2040">
        <w:rPr>
          <w:rFonts w:eastAsia="Arial" w:cs="Arial"/>
          <w:shd w:val="clear" w:color="auto" w:fill="FFFFFF"/>
        </w:rPr>
        <w:t>T</w:t>
      </w:r>
      <w:r w:rsidR="00BC2040" w:rsidRPr="00996DE0">
        <w:rPr>
          <w:rFonts w:eastAsia="Arial" w:cs="Arial"/>
          <w:shd w:val="clear" w:color="auto" w:fill="FFFFFF"/>
        </w:rPr>
        <w:t xml:space="preserve">he </w:t>
      </w:r>
      <w:r w:rsidR="00BC2040">
        <w:rPr>
          <w:rFonts w:eastAsia="Arial" w:cs="Arial"/>
          <w:shd w:val="clear" w:color="auto" w:fill="FFFFFF"/>
        </w:rPr>
        <w:t>cases</w:t>
      </w:r>
      <w:r w:rsidR="00BC2040" w:rsidRPr="00996DE0">
        <w:rPr>
          <w:rFonts w:eastAsia="Arial" w:cs="Arial"/>
          <w:shd w:val="clear" w:color="auto" w:fill="FFFFFF"/>
        </w:rPr>
        <w:t xml:space="preserve"> shown in table one were present in these datasets.</w:t>
      </w:r>
    </w:p>
    <w:p w14:paraId="0D5B8D2F" w14:textId="77777777" w:rsidR="00AC6977" w:rsidRDefault="00AC6977" w:rsidP="00744637">
      <w:pPr>
        <w:spacing w:after="0" w:line="480" w:lineRule="auto"/>
        <w:rPr>
          <w:rFonts w:eastAsia="Arial" w:cs="Arial"/>
          <w:shd w:val="clear" w:color="auto" w:fill="FFFFFF"/>
        </w:rPr>
      </w:pPr>
    </w:p>
    <w:p w14:paraId="650F94B2" w14:textId="77777777" w:rsidR="00AC6977" w:rsidRDefault="00AC6977" w:rsidP="00744637">
      <w:pPr>
        <w:spacing w:after="0" w:line="480" w:lineRule="auto"/>
        <w:rPr>
          <w:rFonts w:ascii="Arial" w:eastAsia="Arial" w:hAnsi="Arial" w:cs="Arial"/>
          <w:shd w:val="clear" w:color="auto" w:fill="FFFFFF"/>
        </w:rPr>
      </w:pPr>
      <w:r>
        <w:rPr>
          <w:rFonts w:eastAsia="Arial" w:cs="Arial"/>
          <w:i/>
          <w:shd w:val="clear" w:color="auto" w:fill="FFFFFF"/>
        </w:rPr>
        <w:t>Table 1 here</w:t>
      </w:r>
    </w:p>
    <w:p w14:paraId="3B404FD3" w14:textId="77777777" w:rsidR="00AC6977" w:rsidRDefault="00AC6977" w:rsidP="00744637">
      <w:pPr>
        <w:spacing w:after="0" w:line="480" w:lineRule="auto"/>
        <w:rPr>
          <w:rFonts w:ascii="Arial" w:eastAsia="Arial" w:hAnsi="Arial" w:cs="Arial"/>
          <w:shd w:val="clear" w:color="auto" w:fill="FFFFFF"/>
        </w:rPr>
      </w:pPr>
    </w:p>
    <w:p w14:paraId="4FAFDCC7" w14:textId="77777777" w:rsidR="00AC6977" w:rsidRPr="00996DE0" w:rsidRDefault="00AC6977" w:rsidP="00744637">
      <w:pPr>
        <w:spacing w:after="0" w:line="480" w:lineRule="auto"/>
        <w:rPr>
          <w:rFonts w:eastAsia="Arial" w:cs="Arial"/>
          <w:shd w:val="clear" w:color="auto" w:fill="FFFFFF"/>
        </w:rPr>
      </w:pPr>
      <w:r w:rsidRPr="00996DE0">
        <w:rPr>
          <w:rFonts w:eastAsia="Arial" w:cs="Arial"/>
          <w:shd w:val="clear" w:color="auto" w:fill="FFFFFF"/>
        </w:rPr>
        <w:t>The medians</w:t>
      </w:r>
      <w:r w:rsidR="004736CC">
        <w:rPr>
          <w:rFonts w:eastAsia="Arial" w:cs="Arial"/>
          <w:shd w:val="clear" w:color="auto" w:fill="FFFFFF"/>
        </w:rPr>
        <w:t xml:space="preserve"> and</w:t>
      </w:r>
      <w:r w:rsidRPr="00996DE0">
        <w:rPr>
          <w:rFonts w:eastAsia="Arial" w:cs="Arial"/>
          <w:shd w:val="clear" w:color="auto" w:fill="FFFFFF"/>
        </w:rPr>
        <w:t xml:space="preserve"> ranges for these </w:t>
      </w:r>
      <w:r w:rsidR="00814C95">
        <w:rPr>
          <w:rFonts w:eastAsia="Arial" w:cs="Arial"/>
          <w:shd w:val="clear" w:color="auto" w:fill="FFFFFF"/>
        </w:rPr>
        <w:t>conditions</w:t>
      </w:r>
      <w:r w:rsidR="00814C95" w:rsidRPr="00996DE0">
        <w:rPr>
          <w:rFonts w:eastAsia="Arial" w:cs="Arial"/>
          <w:shd w:val="clear" w:color="auto" w:fill="FFFFFF"/>
        </w:rPr>
        <w:t xml:space="preserve"> </w:t>
      </w:r>
      <w:r w:rsidRPr="00996DE0">
        <w:rPr>
          <w:rFonts w:eastAsia="Arial" w:cs="Arial"/>
          <w:shd w:val="clear" w:color="auto" w:fill="FFFFFF"/>
        </w:rPr>
        <w:t>in each dataset (combining all observations for countries and years together)</w:t>
      </w:r>
      <w:r w:rsidR="00814C95">
        <w:rPr>
          <w:rFonts w:eastAsia="Arial" w:cs="Arial"/>
          <w:shd w:val="clear" w:color="auto" w:fill="FFFFFF"/>
        </w:rPr>
        <w:t xml:space="preserve"> </w:t>
      </w:r>
      <w:r w:rsidRPr="00996DE0">
        <w:rPr>
          <w:rFonts w:eastAsia="Arial" w:cs="Arial"/>
          <w:shd w:val="clear" w:color="auto" w:fill="FFFFFF"/>
        </w:rPr>
        <w:t>are shown in table two. The values are slightly different for each dataset due to their inclusion of different years and countries. For example, the inclusion of Belgium in the HBSC dataset increased the maximum value for urbanisation.</w:t>
      </w:r>
    </w:p>
    <w:p w14:paraId="089A1E29" w14:textId="77777777" w:rsidR="00AC6977" w:rsidRDefault="00AC6977" w:rsidP="00744637">
      <w:pPr>
        <w:spacing w:after="0" w:line="480" w:lineRule="auto"/>
        <w:rPr>
          <w:rFonts w:ascii="Arial" w:eastAsia="Arial" w:hAnsi="Arial" w:cs="Arial"/>
          <w:shd w:val="clear" w:color="auto" w:fill="FFFFFF"/>
        </w:rPr>
      </w:pPr>
    </w:p>
    <w:p w14:paraId="2EBB2C97" w14:textId="77777777" w:rsidR="00AC6977" w:rsidRPr="005A6640" w:rsidRDefault="00AC6977" w:rsidP="00744637">
      <w:pPr>
        <w:spacing w:after="0" w:line="480" w:lineRule="auto"/>
        <w:rPr>
          <w:rFonts w:eastAsia="Arial" w:cs="Arial"/>
          <w:i/>
          <w:shd w:val="clear" w:color="auto" w:fill="FFFFFF"/>
        </w:rPr>
      </w:pPr>
      <w:r w:rsidRPr="005A6640">
        <w:rPr>
          <w:rFonts w:eastAsia="Arial" w:cs="Arial"/>
          <w:i/>
          <w:shd w:val="clear" w:color="auto" w:fill="FFFFFF"/>
        </w:rPr>
        <w:t>Table 2 here</w:t>
      </w:r>
    </w:p>
    <w:p w14:paraId="5F08A4C2" w14:textId="77777777" w:rsidR="00AC6977" w:rsidRPr="00AC6977" w:rsidRDefault="00AC6977" w:rsidP="00744637">
      <w:pPr>
        <w:spacing w:after="0" w:line="480" w:lineRule="auto"/>
        <w:rPr>
          <w:rFonts w:cs="Arial"/>
          <w:i/>
          <w:shd w:val="clear" w:color="auto" w:fill="FFFFFF"/>
        </w:rPr>
      </w:pPr>
    </w:p>
    <w:p w14:paraId="1B9EDC7C" w14:textId="77777777" w:rsidR="00F65D49" w:rsidRDefault="00AC6977" w:rsidP="00744637">
      <w:pPr>
        <w:spacing w:after="0" w:line="480" w:lineRule="auto"/>
      </w:pPr>
      <w:r>
        <w:t xml:space="preserve">It would have been possible to calibrate these data into crisp sets for analysis, but this would have excluded much information on the degree of differences between the attributes displayed by the cases (Ragin 2000). So the data were calibrated into fuzzy set scores for use in </w:t>
      </w:r>
      <w:r w:rsidR="004736CC">
        <w:t>fsQCA</w:t>
      </w:r>
      <w:r>
        <w:t xml:space="preserve">. </w:t>
      </w:r>
    </w:p>
    <w:p w14:paraId="15A76123" w14:textId="77777777" w:rsidR="00F65D49" w:rsidRDefault="00F65D49" w:rsidP="00744637">
      <w:pPr>
        <w:spacing w:after="0" w:line="480" w:lineRule="auto"/>
      </w:pPr>
    </w:p>
    <w:p w14:paraId="48603B1D" w14:textId="77777777" w:rsidR="00AC6977" w:rsidRDefault="00AC6977" w:rsidP="00744637">
      <w:pPr>
        <w:spacing w:after="0" w:line="480" w:lineRule="auto"/>
      </w:pPr>
      <w:r>
        <w:t xml:space="preserve">The approach to calibration was to view the distribution of the </w:t>
      </w:r>
      <w:r w:rsidR="00F53BA5">
        <w:t xml:space="preserve">raw </w:t>
      </w:r>
      <w:r>
        <w:t xml:space="preserve">data (across all the countries and years available from 1995 to 2011) in order to see what degree of difference between countries could </w:t>
      </w:r>
      <w:r w:rsidR="00F65D49">
        <w:t>be considered</w:t>
      </w:r>
      <w:r>
        <w:t xml:space="preserve"> as a difference in kind. This was done through a combination of substantive knowledge of cases (e.g. which cases would usually be thought of as having a qualitatively ‘high’ level of a particular condition) and examination of the distribution of observations (e.g. looking for ‘break points’ in the distribution where there were no or few actual cases</w:t>
      </w:r>
      <w:r w:rsidR="00943A46">
        <w:t xml:space="preserve"> observed</w:t>
      </w:r>
      <w:r>
        <w:t>).</w:t>
      </w:r>
      <w:r w:rsidR="004D08AC">
        <w:t xml:space="preserve"> </w:t>
      </w:r>
      <w:r>
        <w:t>This enabled identification of countries that could certainly be said to have high or low levels of that condition; these were the countries that were consistently at either end of the distribution across the years of the survey</w:t>
      </w:r>
      <w:r w:rsidR="00F65D49">
        <w:t>s</w:t>
      </w:r>
      <w:r>
        <w:t xml:space="preserve">. A value just below the minimum </w:t>
      </w:r>
      <w:r w:rsidR="00F65D49">
        <w:t>value for these</w:t>
      </w:r>
      <w:r>
        <w:t xml:space="preserve"> high level countries was </w:t>
      </w:r>
      <w:r w:rsidR="00F65D49">
        <w:t>chosen</w:t>
      </w:r>
      <w:r>
        <w:t xml:space="preserve"> as the threshold for being fully in the set of countries that had high levels for that condition (i.e. </w:t>
      </w:r>
      <w:r w:rsidR="00F65D49">
        <w:t>cases above this threshold were given a</w:t>
      </w:r>
      <w:r>
        <w:t xml:space="preserve"> fuzzy set score </w:t>
      </w:r>
      <w:r w:rsidR="004736CC">
        <w:t>of one</w:t>
      </w:r>
      <w:r>
        <w:t xml:space="preserve">). A value just above the maximum value of the low level countries was used as the threshold for being fully out of that set (i.e. </w:t>
      </w:r>
      <w:r w:rsidR="00F65D49">
        <w:t xml:space="preserve">cases below this threshold were given </w:t>
      </w:r>
      <w:r>
        <w:t xml:space="preserve">a fuzzy set score </w:t>
      </w:r>
      <w:r w:rsidR="00814C95">
        <w:t>of zero</w:t>
      </w:r>
      <w:r>
        <w:t xml:space="preserve">). The nearest break point to the median value </w:t>
      </w:r>
      <w:r w:rsidR="004D08AC">
        <w:t xml:space="preserve">that made substantive sense </w:t>
      </w:r>
      <w:r>
        <w:t xml:space="preserve">was used as the point of maximum ambiguity as to whether a </w:t>
      </w:r>
      <w:r w:rsidR="00F65D49">
        <w:t>case</w:t>
      </w:r>
      <w:r>
        <w:t xml:space="preserve"> was in or out of the set of high values for that condition (i.e. a fuzzy set score of 0.5). </w:t>
      </w:r>
      <w:r w:rsidR="004D08AC">
        <w:t>For example, for GDP the fuzzy score of 0.5 was assigned to an empty value in the distribution below the minimum values for the UK, Germany and Australia, as these would usually be considered to be wealthy countries.</w:t>
      </w:r>
    </w:p>
    <w:p w14:paraId="5A48CEF1" w14:textId="77777777" w:rsidR="00AC6977" w:rsidRDefault="00AC6977" w:rsidP="00744637">
      <w:pPr>
        <w:spacing w:after="0" w:line="480" w:lineRule="auto"/>
      </w:pPr>
    </w:p>
    <w:p w14:paraId="08C34597" w14:textId="77777777" w:rsidR="00AC6977" w:rsidRDefault="00AC6977" w:rsidP="00744637">
      <w:pPr>
        <w:spacing w:after="0" w:line="480" w:lineRule="auto"/>
      </w:pPr>
      <w:r>
        <w:t>Table three displays the calibration thresholds chosen for conditions in the datasets. These were applied to both datase</w:t>
      </w:r>
      <w:r w:rsidR="00F65D49">
        <w:t>ts</w:t>
      </w:r>
      <w:r>
        <w:t xml:space="preserve">. Note that the point of maximum ambiguity for high adolescent cannabis use in the HBSC dataset was slightly lower than that for the ESPAD dataset. This is because the median for the HBSC dataset </w:t>
      </w:r>
      <w:r w:rsidR="00F53BA5">
        <w:t>was</w:t>
      </w:r>
      <w:r>
        <w:t xml:space="preserve"> also lower, possibly due to the slightly younger average age of respondents.</w:t>
      </w:r>
    </w:p>
    <w:p w14:paraId="197D686E" w14:textId="77777777" w:rsidR="00AC6977" w:rsidRDefault="00AC6977" w:rsidP="00744637">
      <w:pPr>
        <w:spacing w:after="0" w:line="480" w:lineRule="auto"/>
      </w:pPr>
    </w:p>
    <w:p w14:paraId="360AA962" w14:textId="77777777" w:rsidR="00AC6977" w:rsidRPr="00AC6977" w:rsidRDefault="00AC6977" w:rsidP="00744637">
      <w:pPr>
        <w:spacing w:after="0" w:line="480" w:lineRule="auto"/>
        <w:rPr>
          <w:i/>
        </w:rPr>
      </w:pPr>
      <w:r>
        <w:rPr>
          <w:i/>
        </w:rPr>
        <w:t>Table 3 here</w:t>
      </w:r>
    </w:p>
    <w:p w14:paraId="1F85E609" w14:textId="77777777" w:rsidR="00AC6977" w:rsidRDefault="00AC6977" w:rsidP="00744637">
      <w:pPr>
        <w:spacing w:after="0" w:line="480" w:lineRule="auto"/>
        <w:rPr>
          <w:rFonts w:cs="Arial"/>
          <w:shd w:val="clear" w:color="auto" w:fill="FFFFFF"/>
        </w:rPr>
      </w:pPr>
    </w:p>
    <w:p w14:paraId="2A4BB755" w14:textId="77777777" w:rsidR="00AC6977" w:rsidRDefault="00AC6977" w:rsidP="00744637">
      <w:pPr>
        <w:spacing w:after="0" w:line="480" w:lineRule="auto"/>
        <w:rPr>
          <w:b/>
        </w:rPr>
      </w:pPr>
      <w:r w:rsidRPr="6E19D746">
        <w:rPr>
          <w:b/>
          <w:bCs/>
        </w:rPr>
        <w:t>Fuzzy set qualitative comparative analyses</w:t>
      </w:r>
    </w:p>
    <w:p w14:paraId="605E864A" w14:textId="77777777" w:rsidR="00AC6977" w:rsidRPr="00E93867" w:rsidRDefault="00AC6977" w:rsidP="00744637">
      <w:pPr>
        <w:spacing w:after="0" w:line="480" w:lineRule="auto"/>
        <w:rPr>
          <w:b/>
        </w:rPr>
      </w:pPr>
    </w:p>
    <w:p w14:paraId="1B4BD474" w14:textId="77777777" w:rsidR="00AC6977" w:rsidRDefault="00AC6977" w:rsidP="00744637">
      <w:pPr>
        <w:spacing w:after="0" w:line="480" w:lineRule="auto"/>
      </w:pPr>
      <w:r>
        <w:t>The calibrat</w:t>
      </w:r>
      <w:r w:rsidR="004736CC">
        <w:t xml:space="preserve">ion and analysis of </w:t>
      </w:r>
      <w:r>
        <w:t xml:space="preserve">data </w:t>
      </w:r>
      <w:r w:rsidR="004736CC">
        <w:t>used</w:t>
      </w:r>
      <w:r>
        <w:t xml:space="preserve"> the QCA packag</w:t>
      </w:r>
      <w:r w:rsidR="00F65D49">
        <w:t>e in R that was authored by Duş</w:t>
      </w:r>
      <w:r w:rsidR="00943A46">
        <w:t>a</w:t>
      </w:r>
      <w:r>
        <w:t xml:space="preserve"> and Thiem </w:t>
      </w:r>
      <w:r w:rsidRPr="00000350">
        <w:rPr>
          <w:noProof/>
        </w:rPr>
        <w:t>(2014)</w:t>
      </w:r>
      <w:r>
        <w:t xml:space="preserve">. It proceeded according to the steps that they recommend </w:t>
      </w:r>
      <w:r w:rsidRPr="00603ACB">
        <w:rPr>
          <w:noProof/>
        </w:rPr>
        <w:t xml:space="preserve">(Thiem &amp; </w:t>
      </w:r>
      <w:r w:rsidR="00F65D49">
        <w:rPr>
          <w:noProof/>
        </w:rPr>
        <w:t>Duşa</w:t>
      </w:r>
      <w:r w:rsidRPr="00603ACB">
        <w:rPr>
          <w:noProof/>
        </w:rPr>
        <w:t>, 2013)</w:t>
      </w:r>
      <w:r>
        <w:t>.</w:t>
      </w:r>
      <w:r w:rsidR="00CF4C4A">
        <w:t xml:space="preserve"> QCA does not assume causal symmetry; there may be different causes for high or low levels of a specified outcome (Ragin, 2000). So separate analyses were carried out for high </w:t>
      </w:r>
      <w:r w:rsidR="002510D1">
        <w:t>and</w:t>
      </w:r>
      <w:r w:rsidR="00CF4C4A">
        <w:t xml:space="preserve"> low levels of adolescent cannabis use.</w:t>
      </w:r>
      <w:r>
        <w:t xml:space="preserve"> </w:t>
      </w:r>
    </w:p>
    <w:p w14:paraId="035C4193" w14:textId="77777777" w:rsidR="00AC6977" w:rsidRDefault="00AC6977" w:rsidP="00744637">
      <w:pPr>
        <w:spacing w:after="0" w:line="480" w:lineRule="auto"/>
      </w:pPr>
    </w:p>
    <w:p w14:paraId="136A2B56" w14:textId="77777777" w:rsidR="00AC6977" w:rsidRPr="00CF4E6C" w:rsidRDefault="00AC6977" w:rsidP="00744637">
      <w:pPr>
        <w:spacing w:after="0" w:line="480" w:lineRule="auto"/>
        <w:rPr>
          <w:i/>
        </w:rPr>
      </w:pPr>
      <w:r>
        <w:rPr>
          <w:i/>
        </w:rPr>
        <w:t>Testing for necessity</w:t>
      </w:r>
    </w:p>
    <w:p w14:paraId="6C53769B" w14:textId="77777777" w:rsidR="00AC6977" w:rsidRDefault="00AC6977" w:rsidP="00744637">
      <w:pPr>
        <w:spacing w:after="0" w:line="480" w:lineRule="auto"/>
      </w:pPr>
    </w:p>
    <w:p w14:paraId="7A17FAC0" w14:textId="77777777" w:rsidR="00AC6977" w:rsidRDefault="00AC6977" w:rsidP="00744637">
      <w:pPr>
        <w:spacing w:after="0" w:line="480" w:lineRule="auto"/>
      </w:pPr>
      <w:r>
        <w:t xml:space="preserve">The first step was to check for any conditions or </w:t>
      </w:r>
      <w:r w:rsidR="00943A46">
        <w:t>configurations</w:t>
      </w:r>
      <w:r>
        <w:t xml:space="preserve"> of conditions that </w:t>
      </w:r>
      <w:r w:rsidR="00CF4C4A">
        <w:t>were consistent with being</w:t>
      </w:r>
      <w:r>
        <w:t xml:space="preserve"> necessary for the outcome</w:t>
      </w:r>
      <w:r w:rsidR="00CF4C4A">
        <w:t>s</w:t>
      </w:r>
      <w:r>
        <w:t xml:space="preserve"> of high </w:t>
      </w:r>
      <w:r w:rsidR="00CF4C4A">
        <w:t xml:space="preserve">or low </w:t>
      </w:r>
      <w:r>
        <w:t xml:space="preserve">adolescent cannabis use. </w:t>
      </w:r>
      <w:r w:rsidR="004D08AC">
        <w:t xml:space="preserve"> </w:t>
      </w:r>
      <w:r>
        <w:t>In neither the ESPAD nor HBSC datasets were there any non-contradictory necessary configurations for the</w:t>
      </w:r>
      <w:r w:rsidR="00CF4C4A">
        <w:t>se</w:t>
      </w:r>
      <w:r>
        <w:t xml:space="preserve"> outcomes</w:t>
      </w:r>
      <w:r w:rsidR="00773083">
        <w:t xml:space="preserve">, at the 0.965 threshold for consistency that is recommended by </w:t>
      </w:r>
      <w:r w:rsidR="00773083" w:rsidRPr="00773083">
        <w:t>Thiem &amp; Duşa (2013)</w:t>
      </w:r>
      <w:r w:rsidRPr="00773083">
        <w:rPr>
          <w:rStyle w:val="EndnoteReference"/>
        </w:rPr>
        <w:endnoteReference w:id="4"/>
      </w:r>
      <w:r w:rsidRPr="00773083">
        <w:t>.</w:t>
      </w:r>
    </w:p>
    <w:p w14:paraId="7DED197D" w14:textId="77777777" w:rsidR="00AC6977" w:rsidRDefault="00AC6977" w:rsidP="00744637">
      <w:pPr>
        <w:spacing w:after="0" w:line="480" w:lineRule="auto"/>
      </w:pPr>
    </w:p>
    <w:p w14:paraId="642BE904" w14:textId="77777777" w:rsidR="00AC6977" w:rsidRDefault="00AC6977" w:rsidP="00744637">
      <w:pPr>
        <w:spacing w:after="0" w:line="480" w:lineRule="auto"/>
        <w:rPr>
          <w:i/>
        </w:rPr>
      </w:pPr>
      <w:r>
        <w:rPr>
          <w:i/>
        </w:rPr>
        <w:t>Testing for sufficiency</w:t>
      </w:r>
    </w:p>
    <w:p w14:paraId="1E9A1137" w14:textId="77777777" w:rsidR="00CF4C4A" w:rsidRDefault="00CF4C4A" w:rsidP="00744637">
      <w:pPr>
        <w:spacing w:after="0" w:line="480" w:lineRule="auto"/>
      </w:pPr>
    </w:p>
    <w:p w14:paraId="7914CD93" w14:textId="77777777" w:rsidR="00F0750E" w:rsidRDefault="00AC6977" w:rsidP="00744637">
      <w:pPr>
        <w:spacing w:after="0" w:line="480" w:lineRule="auto"/>
      </w:pPr>
      <w:r>
        <w:t xml:space="preserve">In order to identify those configurations of conditions that </w:t>
      </w:r>
      <w:r w:rsidR="00CF4C4A">
        <w:t>were consistent with</w:t>
      </w:r>
      <w:r>
        <w:t xml:space="preserve"> sufficient for the outcome</w:t>
      </w:r>
      <w:r w:rsidR="004D08AC">
        <w:t>s</w:t>
      </w:r>
      <w:r>
        <w:t xml:space="preserve"> of high </w:t>
      </w:r>
      <w:r w:rsidR="004D08AC">
        <w:t xml:space="preserve">and low </w:t>
      </w:r>
      <w:r>
        <w:t xml:space="preserve">adolescent cannabis use, fuzzy set truth tables were created. These are displayed in tables four and five. </w:t>
      </w:r>
      <w:r w:rsidR="00350BC0">
        <w:t>Each row of these tables shows a</w:t>
      </w:r>
      <w:r>
        <w:t xml:space="preserve"> configuration of conditions that </w:t>
      </w:r>
      <w:r w:rsidR="00AB1443">
        <w:t>describe</w:t>
      </w:r>
      <w:r w:rsidR="00CF4C4A">
        <w:t>s one or more</w:t>
      </w:r>
      <w:r>
        <w:t xml:space="preserve"> case in the datasets. </w:t>
      </w:r>
      <w:r w:rsidR="00F53BA5">
        <w:t>The columns for conditions in</w:t>
      </w:r>
      <w:r>
        <w:t xml:space="preserve"> these tables</w:t>
      </w:r>
      <w:r w:rsidR="008B6446">
        <w:t xml:space="preserve"> indicate the presence of each condition in each configuration. One indicates the presence of a high level of that condition (as described by a fuzzy set score above 0.5). Zero indicates the presence of a low level of that condition (as described by a fuzzy set score below 0.5)</w:t>
      </w:r>
      <w:r w:rsidR="008B6446">
        <w:rPr>
          <w:rStyle w:val="EndnoteReference"/>
        </w:rPr>
        <w:endnoteReference w:id="5"/>
      </w:r>
      <w:r w:rsidR="008B6446">
        <w:t>.</w:t>
      </w:r>
      <w:r>
        <w:t xml:space="preserve"> </w:t>
      </w:r>
      <w:r w:rsidR="008B6446">
        <w:t>These tables do not display ‘logical remainder’ configurations; i.e. the logically possible configurations that had no actual cases in the datasets.</w:t>
      </w:r>
    </w:p>
    <w:p w14:paraId="66668385" w14:textId="77777777" w:rsidR="00F0750E" w:rsidRDefault="00F0750E" w:rsidP="00744637">
      <w:pPr>
        <w:spacing w:after="0" w:line="480" w:lineRule="auto"/>
      </w:pPr>
    </w:p>
    <w:p w14:paraId="088152A4" w14:textId="77777777" w:rsidR="00946A61" w:rsidRDefault="00350BC0" w:rsidP="00744637">
      <w:pPr>
        <w:spacing w:after="0" w:line="480" w:lineRule="auto"/>
      </w:pPr>
      <w:r>
        <w:t>T</w:t>
      </w:r>
      <w:r w:rsidR="00AC6977">
        <w:t xml:space="preserve">he tables </w:t>
      </w:r>
      <w:r>
        <w:t xml:space="preserve">also </w:t>
      </w:r>
      <w:r w:rsidR="00AC6977">
        <w:t xml:space="preserve">give values for the degree to which each configuration is consistent with being sufficient for </w:t>
      </w:r>
      <w:r w:rsidR="004D08AC">
        <w:t xml:space="preserve">each </w:t>
      </w:r>
      <w:r w:rsidR="00AC6977">
        <w:t>outcome</w:t>
      </w:r>
      <w:r w:rsidR="00946A61">
        <w:rPr>
          <w:rStyle w:val="EndnoteReference"/>
        </w:rPr>
        <w:endnoteReference w:id="6"/>
      </w:r>
      <w:r w:rsidR="00946A61">
        <w:t xml:space="preserve">. In analysis of such tables, there is a judgement to be made about the threshold for consistency. Configurations that have consistency values above this threshold represent cases that are considered to form a subset of cases with the outcome; i.e. to be consistent with a relationship of causal </w:t>
      </w:r>
      <w:r w:rsidR="008B6446">
        <w:t>sufficiency</w:t>
      </w:r>
      <w:r w:rsidR="00946A61">
        <w:t xml:space="preserve"> between the configuration and the outcome. For ease of comparison between the two datasets, the 0.9 consistency threshold that is suggested by Thiem and Duşa </w:t>
      </w:r>
      <w:r w:rsidR="00946A61" w:rsidRPr="00603ACB">
        <w:rPr>
          <w:noProof/>
        </w:rPr>
        <w:t>(2013)</w:t>
      </w:r>
      <w:r w:rsidR="00946A61">
        <w:rPr>
          <w:noProof/>
        </w:rPr>
        <w:t xml:space="preserve"> was used</w:t>
      </w:r>
      <w:r w:rsidR="00946A61">
        <w:t xml:space="preserve">. Configurations that exceed this threshold in the truth tables are indicated in bold for the outcome of high adolescent cannabis use, and in italics for the outcome of low adolescent cannabis use. </w:t>
      </w:r>
    </w:p>
    <w:p w14:paraId="3EAA3FF2" w14:textId="77777777" w:rsidR="00946A61" w:rsidRDefault="00946A61" w:rsidP="00744637">
      <w:pPr>
        <w:spacing w:after="0" w:line="480" w:lineRule="auto"/>
        <w:rPr>
          <w:i/>
        </w:rPr>
      </w:pPr>
    </w:p>
    <w:p w14:paraId="3DE3132E" w14:textId="77777777" w:rsidR="00946A61" w:rsidRDefault="00946A61" w:rsidP="00744637">
      <w:pPr>
        <w:spacing w:after="0" w:line="480" w:lineRule="auto"/>
      </w:pPr>
      <w:r>
        <w:rPr>
          <w:i/>
        </w:rPr>
        <w:t>Tables 4 and 5 here</w:t>
      </w:r>
    </w:p>
    <w:p w14:paraId="510CAC3B" w14:textId="77777777" w:rsidR="00946A61" w:rsidRDefault="00946A61" w:rsidP="00744637">
      <w:pPr>
        <w:spacing w:after="0" w:line="480" w:lineRule="auto"/>
      </w:pPr>
    </w:p>
    <w:p w14:paraId="17190CD4" w14:textId="77777777" w:rsidR="00946A61" w:rsidRDefault="00CF3BBB" w:rsidP="00744637">
      <w:pPr>
        <w:spacing w:after="0" w:line="480" w:lineRule="auto"/>
        <w:rPr>
          <w:i/>
        </w:rPr>
      </w:pPr>
      <w:r>
        <w:rPr>
          <w:i/>
        </w:rPr>
        <w:t>Parsimonious solutions of the truth tables</w:t>
      </w:r>
    </w:p>
    <w:p w14:paraId="7872B0F7" w14:textId="77777777" w:rsidR="00CF3BBB" w:rsidRDefault="00CF3BBB" w:rsidP="00744637">
      <w:pPr>
        <w:spacing w:after="0" w:line="480" w:lineRule="auto"/>
      </w:pPr>
    </w:p>
    <w:p w14:paraId="20777425" w14:textId="77777777" w:rsidR="00946A61" w:rsidRDefault="00946A61" w:rsidP="00744637">
      <w:pPr>
        <w:spacing w:after="0" w:line="480" w:lineRule="auto"/>
      </w:pPr>
      <w:r>
        <w:t>The next step in QCA is to carry out ‘Boolean minimisation’ in order to ide</w:t>
      </w:r>
      <w:r w:rsidR="00CF3BBB">
        <w:t>ntify the most parsimonious way</w:t>
      </w:r>
      <w:r>
        <w:t xml:space="preserve"> of describing the consistently sufficient configurations. </w:t>
      </w:r>
      <w:r w:rsidR="00CF3BBB">
        <w:t xml:space="preserve">This is called the ‘parsimonious solution’ of the truth table. </w:t>
      </w:r>
      <w:r>
        <w:t>The QCA R package does this by comparing the configurations that are above the consisten</w:t>
      </w:r>
      <w:r w:rsidR="00CF3BBB">
        <w:t>cy</w:t>
      </w:r>
      <w:r>
        <w:t xml:space="preserve"> threshold</w:t>
      </w:r>
      <w:r w:rsidR="00CF3BBB">
        <w:t xml:space="preserve"> in the truth table</w:t>
      </w:r>
      <w:r>
        <w:t xml:space="preserve">. </w:t>
      </w:r>
      <w:r w:rsidR="008B6446">
        <w:t>It looks for</w:t>
      </w:r>
      <w:r>
        <w:t xml:space="preserve"> conditions in these configurations that make no difference to this outcome (i.e. the condition and its negation are both present in otherwise ident</w:t>
      </w:r>
      <w:r w:rsidR="008B6446">
        <w:t>ical sufficient configurations). It</w:t>
      </w:r>
      <w:r>
        <w:t xml:space="preserve"> excluded </w:t>
      </w:r>
      <w:r w:rsidR="002510D1">
        <w:t xml:space="preserve">such conditions </w:t>
      </w:r>
      <w:r>
        <w:t xml:space="preserve">from the minimised solution. </w:t>
      </w:r>
    </w:p>
    <w:p w14:paraId="24D9B7C9" w14:textId="77777777" w:rsidR="00946A61" w:rsidRDefault="00946A61" w:rsidP="00744637">
      <w:pPr>
        <w:spacing w:after="0" w:line="480" w:lineRule="auto"/>
      </w:pPr>
    </w:p>
    <w:p w14:paraId="13AD2BDF" w14:textId="77777777" w:rsidR="00946A61" w:rsidRDefault="00946A61" w:rsidP="00744637">
      <w:pPr>
        <w:spacing w:after="0" w:line="480" w:lineRule="auto"/>
      </w:pPr>
      <w:r>
        <w:t xml:space="preserve">For example, the fourth and fifth row of the truth table for the HBSC dataset displays two very similar configurations. </w:t>
      </w:r>
      <w:r w:rsidR="008B6446">
        <w:t xml:space="preserve">They are both considered consistent with being sufficient for high adolescent cannabis use. </w:t>
      </w:r>
      <w:r w:rsidR="002510D1">
        <w:t xml:space="preserve">In QCA notation, upper case indicates the presence of a condition (i.e. a high level). Lower case indicates the negation of the condition (i.e. a low level). And * represents AND. So these configurations can be </w:t>
      </w:r>
      <w:r>
        <w:t>written as:</w:t>
      </w:r>
    </w:p>
    <w:p w14:paraId="6C41B159" w14:textId="77777777" w:rsidR="00946A61" w:rsidRPr="002B7DDB" w:rsidRDefault="00946A61" w:rsidP="00744637">
      <w:pPr>
        <w:spacing w:after="0" w:line="480" w:lineRule="auto"/>
        <w:rPr>
          <w:lang w:val="nl-NL"/>
        </w:rPr>
      </w:pPr>
      <w:r w:rsidRPr="002B7DDB">
        <w:rPr>
          <w:lang w:val="nl-NL"/>
        </w:rPr>
        <w:t>w*I*GDP*U*YU</w:t>
      </w:r>
    </w:p>
    <w:p w14:paraId="08A502D5" w14:textId="77777777" w:rsidR="00946A61" w:rsidRPr="002B7DDB" w:rsidRDefault="00946A61" w:rsidP="00744637">
      <w:pPr>
        <w:spacing w:after="0" w:line="480" w:lineRule="auto"/>
        <w:rPr>
          <w:lang w:val="nl-NL"/>
        </w:rPr>
      </w:pPr>
      <w:r w:rsidRPr="002B7DDB">
        <w:rPr>
          <w:lang w:val="nl-NL"/>
        </w:rPr>
        <w:t>w*I*GDP*U*yu</w:t>
      </w:r>
    </w:p>
    <w:p w14:paraId="36B5EE74" w14:textId="77777777" w:rsidR="00946A61" w:rsidRPr="002B7DDB" w:rsidRDefault="00946A61" w:rsidP="00744637">
      <w:pPr>
        <w:spacing w:after="0" w:line="480" w:lineRule="auto"/>
        <w:rPr>
          <w:lang w:val="nl-NL"/>
        </w:rPr>
      </w:pPr>
    </w:p>
    <w:p w14:paraId="77E019A2" w14:textId="77777777" w:rsidR="00473686" w:rsidRDefault="00946A61" w:rsidP="00744637">
      <w:pPr>
        <w:spacing w:after="0" w:line="480" w:lineRule="auto"/>
      </w:pPr>
      <w:r>
        <w:t>As can be seen, these two configurations are identical apart from the differen</w:t>
      </w:r>
      <w:r w:rsidR="00CF3BBB">
        <w:t>ce in the condition for y</w:t>
      </w:r>
      <w:r>
        <w:t xml:space="preserve">outh unemployment. </w:t>
      </w:r>
      <w:r w:rsidR="002510D1">
        <w:t xml:space="preserve">It appears not to make a difference to the outcome if this condition is at high (YU) or low (yu) levels. So </w:t>
      </w:r>
      <w:r>
        <w:t>it can be excluded from the minimised solution of the truth table</w:t>
      </w:r>
      <w:r w:rsidR="00CF3BBB">
        <w:t xml:space="preserve">. This leaves </w:t>
      </w:r>
      <w:r>
        <w:t>the configuration w*I*GDP*U. For the parsimonious solution of the truth table, this configuration was further minimised by considering logical remainder configurations</w:t>
      </w:r>
      <w:r>
        <w:rPr>
          <w:rStyle w:val="EndnoteReference"/>
        </w:rPr>
        <w:endnoteReference w:id="7"/>
      </w:r>
      <w:r>
        <w:t xml:space="preserve">. </w:t>
      </w:r>
      <w:r w:rsidR="00473686">
        <w:t xml:space="preserve"> The logical remainders include configurations that are identical to those written above, apart from the GDP condition (they are w*I*gdp*U*YU and w*I*gdp*U*yu). To create the parsimonious solution, these configurations can be treated as </w:t>
      </w:r>
      <w:r w:rsidR="00034413">
        <w:t>consistent for</w:t>
      </w:r>
      <w:r w:rsidR="00473686">
        <w:t xml:space="preserve"> the outcome</w:t>
      </w:r>
      <w:r w:rsidR="00034413">
        <w:t>. S</w:t>
      </w:r>
      <w:r w:rsidR="00473686">
        <w:t xml:space="preserve">o the GDP condition is excluded, leaving the configuration </w:t>
      </w:r>
      <w:r>
        <w:t>I*U*w</w:t>
      </w:r>
      <w:r w:rsidR="00034413">
        <w:t xml:space="preserve"> in the parsimonious solution</w:t>
      </w:r>
      <w:r>
        <w:t xml:space="preserve">. </w:t>
      </w:r>
    </w:p>
    <w:p w14:paraId="60A7F075" w14:textId="77777777" w:rsidR="00473686" w:rsidRDefault="00473686" w:rsidP="00744637">
      <w:pPr>
        <w:spacing w:after="0" w:line="480" w:lineRule="auto"/>
      </w:pPr>
    </w:p>
    <w:p w14:paraId="26F0F4C2" w14:textId="77777777" w:rsidR="00946A61" w:rsidRDefault="00946A61" w:rsidP="00744637">
      <w:pPr>
        <w:spacing w:after="0" w:line="480" w:lineRule="auto"/>
      </w:pPr>
      <w:r>
        <w:t>This configuration is one element of the minimised, parsimonious solutions that are displayed in tables six and seven</w:t>
      </w:r>
      <w:r>
        <w:rPr>
          <w:rStyle w:val="EndnoteReference"/>
        </w:rPr>
        <w:endnoteReference w:id="8"/>
      </w:r>
      <w:r>
        <w:t xml:space="preserve">. Each element of the solutions is minimised from different </w:t>
      </w:r>
      <w:r w:rsidR="00473686">
        <w:t xml:space="preserve">consistent </w:t>
      </w:r>
      <w:r>
        <w:t xml:space="preserve">configurations in the truth tables. </w:t>
      </w:r>
      <w:r w:rsidR="00034413">
        <w:t xml:space="preserve">Both solution includes two miminised configurations, which are linked by OR (+ in QCA notation). </w:t>
      </w:r>
      <w:r>
        <w:t>The finding that the causation of high adolescent cannabis</w:t>
      </w:r>
      <w:r w:rsidR="00CF3BBB">
        <w:t xml:space="preserve"> use</w:t>
      </w:r>
      <w:r w:rsidR="00473686">
        <w:t xml:space="preserve"> </w:t>
      </w:r>
      <w:r>
        <w:t>may involve one configuration OR another is consistent with QCA’s assumption of equifinality; there may be multiple causal pathways to the same outcome.</w:t>
      </w:r>
    </w:p>
    <w:p w14:paraId="41D97C15" w14:textId="77777777" w:rsidR="00946A61" w:rsidRDefault="00946A61" w:rsidP="00744637">
      <w:pPr>
        <w:spacing w:after="0" w:line="480" w:lineRule="auto"/>
      </w:pPr>
    </w:p>
    <w:p w14:paraId="539FDCD8" w14:textId="77777777" w:rsidR="00946A61" w:rsidRPr="00BE4A50" w:rsidRDefault="00946A61" w:rsidP="00744637">
      <w:pPr>
        <w:spacing w:after="0" w:line="480" w:lineRule="auto"/>
        <w:rPr>
          <w:i/>
        </w:rPr>
      </w:pPr>
      <w:r>
        <w:rPr>
          <w:i/>
        </w:rPr>
        <w:t>Tables 6 and 7 here</w:t>
      </w:r>
    </w:p>
    <w:p w14:paraId="6825A86B" w14:textId="77777777" w:rsidR="00946A61" w:rsidRDefault="00946A61" w:rsidP="00744637">
      <w:pPr>
        <w:spacing w:after="0" w:line="480" w:lineRule="auto"/>
      </w:pPr>
    </w:p>
    <w:p w14:paraId="6630458F" w14:textId="77777777" w:rsidR="00946A61" w:rsidRDefault="00946A61" w:rsidP="00744637">
      <w:pPr>
        <w:spacing w:after="0" w:line="480" w:lineRule="auto"/>
      </w:pPr>
      <w:r>
        <w:t>These tables display the consistency and coverage</w:t>
      </w:r>
      <w:r>
        <w:rPr>
          <w:rStyle w:val="EndnoteReference"/>
        </w:rPr>
        <w:endnoteReference w:id="9"/>
      </w:r>
      <w:r>
        <w:t xml:space="preserve"> of each solution, as well as the cases </w:t>
      </w:r>
      <w:r w:rsidR="00034413">
        <w:t>that have ea</w:t>
      </w:r>
      <w:r>
        <w:t xml:space="preserve">ch </w:t>
      </w:r>
      <w:r w:rsidR="00034413">
        <w:t>element of the solution</w:t>
      </w:r>
      <w:r>
        <w:t>. It is common to find – and consistent with the theoretical assumptions of QCA – that configurations that are highly consistent do not</w:t>
      </w:r>
      <w:r w:rsidR="00034413">
        <w:t xml:space="preserve"> cover all cases of the outcome</w:t>
      </w:r>
      <w:r w:rsidR="009D4055">
        <w:t>; s</w:t>
      </w:r>
      <w:r w:rsidR="00034413">
        <w:t xml:space="preserve">ome </w:t>
      </w:r>
      <w:r>
        <w:t>causal pathways to the outcome</w:t>
      </w:r>
      <w:r w:rsidR="00034413">
        <w:t xml:space="preserve"> </w:t>
      </w:r>
      <w:r>
        <w:t xml:space="preserve">may </w:t>
      </w:r>
      <w:r w:rsidR="009D4055">
        <w:t>involve</w:t>
      </w:r>
      <w:r>
        <w:t xml:space="preserve"> conditions </w:t>
      </w:r>
      <w:r w:rsidR="009D4055">
        <w:t xml:space="preserve">that are not </w:t>
      </w:r>
      <w:r>
        <w:t xml:space="preserve">included in the analysis. In this analysis, </w:t>
      </w:r>
      <w:r w:rsidR="00034413">
        <w:t xml:space="preserve">the solutions cover just under half of the </w:t>
      </w:r>
      <w:r w:rsidR="009D4055">
        <w:t>cases’ membership in the outcome. T</w:t>
      </w:r>
      <w:r>
        <w:t xml:space="preserve">his suggests that conditions apart from the social conditions </w:t>
      </w:r>
      <w:r w:rsidR="009D4055">
        <w:t>under study here could</w:t>
      </w:r>
      <w:r>
        <w:t xml:space="preserve"> play a role in </w:t>
      </w:r>
      <w:r w:rsidR="00BC6747">
        <w:t xml:space="preserve">a fuller </w:t>
      </w:r>
      <w:r>
        <w:t>expla</w:t>
      </w:r>
      <w:r w:rsidR="00BC6747">
        <w:t>nation of</w:t>
      </w:r>
      <w:r>
        <w:t xml:space="preserve"> national levels of adolescent cannabis use.</w:t>
      </w:r>
    </w:p>
    <w:p w14:paraId="7C76439F" w14:textId="77777777" w:rsidR="00946A61" w:rsidRDefault="00946A61" w:rsidP="00744637">
      <w:pPr>
        <w:spacing w:after="0" w:line="480" w:lineRule="auto"/>
      </w:pPr>
    </w:p>
    <w:p w14:paraId="3B054659" w14:textId="77777777" w:rsidR="00946A61" w:rsidRDefault="00946A61" w:rsidP="00744637">
      <w:pPr>
        <w:spacing w:after="0" w:line="480" w:lineRule="auto"/>
      </w:pPr>
      <w:r>
        <w:t xml:space="preserve">The parsimonious solutions for the truth tables for both datasets suggest that there is not a sole condition that influences adolescent cannabis use on its own, as every element of each solution includes more than one condition. </w:t>
      </w:r>
    </w:p>
    <w:p w14:paraId="07062D39" w14:textId="77777777" w:rsidR="00946A61" w:rsidRDefault="00946A61" w:rsidP="00744637">
      <w:pPr>
        <w:spacing w:after="0" w:line="480" w:lineRule="auto"/>
      </w:pPr>
    </w:p>
    <w:p w14:paraId="285F959D" w14:textId="77777777" w:rsidR="00946A61" w:rsidRDefault="00946A61" w:rsidP="00744637">
      <w:pPr>
        <w:spacing w:after="0" w:line="480" w:lineRule="auto"/>
      </w:pPr>
      <w:r>
        <w:t xml:space="preserve">For the ESPAD dataset, the potentially causal configuration with the highest coverage is the combination of high inequality AND high urbanisation AND high GDP. There is another highly consistent configuration, but this account only for cases from one country; Ireland. It would be safer to assume that this country is an idiosyncratic cases for which a more parochial explanation is required </w:t>
      </w:r>
      <w:r w:rsidRPr="00881ECB">
        <w:rPr>
          <w:noProof/>
        </w:rPr>
        <w:t>(Karstedt, 2001)</w:t>
      </w:r>
      <w:r>
        <w:t xml:space="preserve">, than to assume that the configuration of conditions that it displays in the analysis is generally sufficient to cause high adolescent cannabis use. </w:t>
      </w:r>
    </w:p>
    <w:p w14:paraId="2EC823EE" w14:textId="77777777" w:rsidR="00946A61" w:rsidRDefault="00946A61" w:rsidP="00744637">
      <w:pPr>
        <w:spacing w:after="0" w:line="480" w:lineRule="auto"/>
      </w:pPr>
    </w:p>
    <w:p w14:paraId="28EDB91E" w14:textId="77777777" w:rsidR="00946A61" w:rsidRDefault="00946A61" w:rsidP="00744637">
      <w:pPr>
        <w:spacing w:after="0" w:line="480" w:lineRule="auto"/>
      </w:pPr>
      <w:r>
        <w:t xml:space="preserve">For the HBSC dataset, there are also two configurations with high consistency for the outcome of high adolescent cannabis use. One is very similar to the solution for the ESPAD dataset that has the highest coverage. It also represents a very similar range of cases. It is the configuration of high inequality AND high urbanisation AND low welfare support. There is another element to the parsimonious solution that represents some central European cases; the configuration of low inequality AND low GDP AND low youth unemployment. The suggestion of a separate, central European pathway towards high adolescent cannabis use is intriguing. But our confidence in the reliability of this explanation may be reduced by the fact that at least one of the configurations that are minimised to produce this element of the solution (i.e. w*i*gdp*u*yu, displayed in the second row of the HBSC truth table) also has relatively high consistency (&gt;0.8) for the outcome of low adolescent cannabis use. </w:t>
      </w:r>
    </w:p>
    <w:p w14:paraId="6332A9CB" w14:textId="77777777" w:rsidR="00946A61" w:rsidRDefault="00946A61" w:rsidP="00744637">
      <w:pPr>
        <w:spacing w:after="0" w:line="480" w:lineRule="auto"/>
      </w:pPr>
    </w:p>
    <w:p w14:paraId="17E3AAE2" w14:textId="77777777" w:rsidR="00946A61" w:rsidRDefault="00946A61" w:rsidP="00744637">
      <w:pPr>
        <w:spacing w:after="0" w:line="480" w:lineRule="auto"/>
      </w:pPr>
      <w:r>
        <w:t>The combination of high income inequality and high urbanisation is present in the</w:t>
      </w:r>
      <w:r w:rsidR="00473686">
        <w:t xml:space="preserve"> </w:t>
      </w:r>
      <w:r w:rsidR="009D4055">
        <w:t xml:space="preserve">configurations </w:t>
      </w:r>
      <w:r>
        <w:t xml:space="preserve">which have the highest coverage for both datasets. So the consistency and coverage of their combination (I*U) was calculated. For the ESPAD dataset, this configuration had consistency of 0.893 and coverage of 0.448. For the HBSC dataset, it had consistency of 0.926 and coverage of 0.511. This configuration may be considered the most parsimonious way to describe the combined results of these two analyses. The </w:t>
      </w:r>
      <w:r w:rsidR="009D4055">
        <w:t>configuration</w:t>
      </w:r>
      <w:r>
        <w:t xml:space="preserve"> of high income inequality </w:t>
      </w:r>
      <w:r w:rsidR="00473686">
        <w:t>AND</w:t>
      </w:r>
      <w:r>
        <w:t xml:space="preserve"> high urbanisation is consistent with usually</w:t>
      </w:r>
      <w:r>
        <w:rPr>
          <w:rStyle w:val="EndnoteReference"/>
        </w:rPr>
        <w:endnoteReference w:id="10"/>
      </w:r>
      <w:r>
        <w:t xml:space="preserve"> being sufficient to cause high adolescent cannabis use.</w:t>
      </w:r>
    </w:p>
    <w:p w14:paraId="26413434" w14:textId="77777777" w:rsidR="00946A61" w:rsidRDefault="00946A61" w:rsidP="00744637">
      <w:pPr>
        <w:spacing w:after="0" w:line="480" w:lineRule="auto"/>
      </w:pPr>
    </w:p>
    <w:p w14:paraId="1343926E" w14:textId="77777777" w:rsidR="00946A61" w:rsidRPr="00BF7894" w:rsidRDefault="00946A61" w:rsidP="00744637">
      <w:pPr>
        <w:spacing w:after="0" w:line="480" w:lineRule="auto"/>
        <w:rPr>
          <w:i/>
        </w:rPr>
      </w:pPr>
      <w:r>
        <w:rPr>
          <w:i/>
        </w:rPr>
        <w:t>Table 8 here</w:t>
      </w:r>
    </w:p>
    <w:p w14:paraId="67227B34" w14:textId="77777777" w:rsidR="00946A61" w:rsidRDefault="00946A61" w:rsidP="00744637">
      <w:pPr>
        <w:spacing w:after="0" w:line="480" w:lineRule="auto"/>
      </w:pPr>
    </w:p>
    <w:p w14:paraId="571466CE" w14:textId="77777777" w:rsidR="00946A61" w:rsidRDefault="00BC6747" w:rsidP="00744637">
      <w:pPr>
        <w:spacing w:after="0" w:line="480" w:lineRule="auto"/>
      </w:pPr>
      <w:r>
        <w:t>For each configuration, v</w:t>
      </w:r>
      <w:r w:rsidR="00946A61">
        <w:t xml:space="preserve">alues were also calculated </w:t>
      </w:r>
      <w:r>
        <w:t>for</w:t>
      </w:r>
      <w:r w:rsidR="00946A61">
        <w:t xml:space="preserve"> their consistency with being sufficient for the outcome of low adolescent cannabis use. These are also displayed in tables four and five. In the ESPAD dataset, no configuration exceeded the 0.9 threshold for consistency. In the HBSC dataset, there was one configuration that exceeded this threshold. It is displayed in the bottom row of table five, which represents the case of Portugal in 2009. Inclusion of logical remainder configurations in the Boolean minimisation of this configuration produced the parsimonious solution displayed in table eight.  Its coverage of the outcome of low adolescent cannabis use is quite low (&lt;0.25). This analysis supports the assumption of QCA that causation may not be symmetrical; the causes of a low level of </w:t>
      </w:r>
      <w:r w:rsidR="009D4055">
        <w:t xml:space="preserve">adolescent cannabis use </w:t>
      </w:r>
      <w:r w:rsidR="00946A61">
        <w:t>may not merely be the mirror image of the causes of a high level. These analyses also suggest that these social conditions have</w:t>
      </w:r>
      <w:r>
        <w:t xml:space="preserve"> relatively</w:t>
      </w:r>
      <w:r w:rsidR="00946A61">
        <w:t xml:space="preserve"> little, if any, part to play in explaining the outcome of low adolescent cannabis use.   </w:t>
      </w:r>
    </w:p>
    <w:p w14:paraId="3115CB90" w14:textId="77777777" w:rsidR="00946A61" w:rsidRDefault="00946A61" w:rsidP="00744637">
      <w:pPr>
        <w:spacing w:after="0" w:line="480" w:lineRule="auto"/>
      </w:pPr>
    </w:p>
    <w:p w14:paraId="0F855095" w14:textId="77777777" w:rsidR="00946A61" w:rsidRDefault="00946A61" w:rsidP="00744637">
      <w:pPr>
        <w:spacing w:after="0" w:line="480" w:lineRule="auto"/>
      </w:pPr>
      <w:r>
        <w:t>Taken together, these analyses support the assumption of QCA that causation of social phenomena tends to be configurational. No social condition was found to be sufficient on its own to cause either high or low levels of adolescent cannabis use. The configuration with the highest coverage that was consistent with</w:t>
      </w:r>
      <w:r w:rsidR="009D4055">
        <w:t xml:space="preserve"> usually</w:t>
      </w:r>
      <w:r>
        <w:t xml:space="preserve"> being sufficient to cause high adolescent cannabis use included both high income inequality and high urbanisation. So the theoretical proposal that social conditions may </w:t>
      </w:r>
      <w:r w:rsidR="009D4055">
        <w:t>form part of the explanation is also supported</w:t>
      </w:r>
      <w:r>
        <w:t xml:space="preserve"> for the outcome of high adolescent cannabis use.                               </w:t>
      </w:r>
    </w:p>
    <w:p w14:paraId="4854A911" w14:textId="77777777" w:rsidR="00946A61" w:rsidRDefault="00946A61" w:rsidP="00744637">
      <w:pPr>
        <w:spacing w:after="0" w:line="480" w:lineRule="auto"/>
      </w:pPr>
    </w:p>
    <w:p w14:paraId="5687521E" w14:textId="77777777" w:rsidR="00946A61" w:rsidRPr="009A17C4" w:rsidRDefault="00946A61" w:rsidP="00744637">
      <w:pPr>
        <w:spacing w:after="0" w:line="480" w:lineRule="auto"/>
      </w:pPr>
      <w:r>
        <w:t xml:space="preserve"> </w:t>
      </w:r>
      <w:r>
        <w:rPr>
          <w:i/>
        </w:rPr>
        <w:t>Analytical limitations and sensitivity</w:t>
      </w:r>
    </w:p>
    <w:p w14:paraId="5CF49C89" w14:textId="77777777" w:rsidR="00946A61" w:rsidRDefault="00946A61" w:rsidP="00744637">
      <w:pPr>
        <w:spacing w:after="0" w:line="480" w:lineRule="auto"/>
      </w:pPr>
    </w:p>
    <w:p w14:paraId="57C44DF4" w14:textId="77777777" w:rsidR="00946A61" w:rsidRDefault="00946A61" w:rsidP="00744637">
      <w:pPr>
        <w:spacing w:after="0" w:line="480" w:lineRule="auto"/>
      </w:pPr>
      <w:r>
        <w:t xml:space="preserve">Of course, these analyses have their limitations. There is, for example, the ever-present problem of operationalisation. We cannot be certain that the selected indicators are both valid and reliable measurements of the underlying constructs which are theorised to be causally connected. Measurement error is always a possibility, especially due to the many biases that can enter the measurement of adolescent drug use </w:t>
      </w:r>
      <w:r w:rsidRPr="007C2880">
        <w:rPr>
          <w:noProof/>
        </w:rPr>
        <w:t>(Kilmer, Reuter, &amp; Giommoni, 2015)</w:t>
      </w:r>
      <w:r>
        <w:t xml:space="preserve">. But even relatively well-known macro-economic indicators, including GDP per head and income inequality, have their issues </w:t>
      </w:r>
      <w:r w:rsidRPr="008753CB">
        <w:rPr>
          <w:noProof/>
        </w:rPr>
        <w:t>(Malinvaud, 1989)</w:t>
      </w:r>
      <w:r>
        <w:t xml:space="preserve">. </w:t>
      </w:r>
    </w:p>
    <w:p w14:paraId="77538EE1" w14:textId="77777777" w:rsidR="00946A61" w:rsidRPr="004E078C" w:rsidRDefault="00946A61" w:rsidP="00744637">
      <w:pPr>
        <w:spacing w:after="0" w:line="480" w:lineRule="auto"/>
      </w:pPr>
    </w:p>
    <w:p w14:paraId="432FC21D" w14:textId="77777777" w:rsidR="00946A61" w:rsidRDefault="00946A61" w:rsidP="00744637">
      <w:pPr>
        <w:spacing w:after="0" w:line="480" w:lineRule="auto"/>
      </w:pPr>
      <w:r>
        <w:t xml:space="preserve">Proponents of QCA (e.g. Ragin, 2000) argue that regression analyses are highly sensitive to the specification of the model. But this is also an issue for QCA </w:t>
      </w:r>
      <w:r w:rsidRPr="001F4663">
        <w:rPr>
          <w:noProof/>
        </w:rPr>
        <w:t>(Krogslund, Choi, &amp; Poertner, 2015)</w:t>
      </w:r>
      <w:r>
        <w:t>. For example, its findings may be sensitive to the choices of the cut-off threshold for consistency. In order to test the sensitivity of the analyses, the truth tables for each dataset were generated again, but with the consistency threshold set</w:t>
      </w:r>
      <w:r>
        <w:rPr>
          <w:i/>
        </w:rPr>
        <w:t xml:space="preserve"> </w:t>
      </w:r>
      <w:r>
        <w:t xml:space="preserve">at both 0.85 and  0.8. Boolean minimisation was then performed to produce a parsimonious solution for each new truth table. </w:t>
      </w:r>
      <w:r w:rsidR="009D4055">
        <w:t>This</w:t>
      </w:r>
      <w:r>
        <w:t xml:space="preserve"> produced some different configurations in the parsimonious solutions to those in tables six and seven for high adolescent cannabis use, but these solutions always including high inequality AND high urbanisation in the element of the solution with the highest  coverage. The configuration presented in table eight for low adolescent cannabis use was less stable. It appeared in the parsimonious solution when the consistency threshold was set at 0.8, but not at 0.85. It was never the case that one condition was sufficiency on its own to cause high rates of adolescent cannabis use. </w:t>
      </w:r>
    </w:p>
    <w:p w14:paraId="1050949F" w14:textId="77777777" w:rsidR="00946A61" w:rsidRDefault="00946A61" w:rsidP="00744637">
      <w:pPr>
        <w:spacing w:after="0" w:line="480" w:lineRule="auto"/>
      </w:pPr>
    </w:p>
    <w:p w14:paraId="7905F448" w14:textId="77777777" w:rsidR="00946A61" w:rsidRDefault="00946A61" w:rsidP="00744637">
      <w:pPr>
        <w:spacing w:after="0" w:line="480" w:lineRule="auto"/>
      </w:pPr>
      <w:r>
        <w:t xml:space="preserve">When pooling </w:t>
      </w:r>
      <w:r w:rsidR="009D4055">
        <w:t>data</w:t>
      </w:r>
      <w:r>
        <w:t xml:space="preserve"> from different survey </w:t>
      </w:r>
      <w:r w:rsidR="009D4055">
        <w:t>waves</w:t>
      </w:r>
      <w:r>
        <w:t xml:space="preserve"> into the same sample, there is a danger of ignoring how time may affect the results. Hino </w:t>
      </w:r>
      <w:r w:rsidRPr="00826244">
        <w:rPr>
          <w:noProof/>
        </w:rPr>
        <w:t>(2009)</w:t>
      </w:r>
      <w:r>
        <w:t xml:space="preserve"> suggests that pooling cases in QCA is more appropriate when - as in this article - the variation of interest is between the cases, rather than across time. But in order to check the robustness of these analyses across time, the procedure recommended by </w:t>
      </w:r>
      <w:r>
        <w:rPr>
          <w:noProof/>
        </w:rPr>
        <w:t>García-Castro and</w:t>
      </w:r>
      <w:r w:rsidRPr="003A5332">
        <w:rPr>
          <w:noProof/>
        </w:rPr>
        <w:t xml:space="preserve"> Arino</w:t>
      </w:r>
      <w:r>
        <w:t xml:space="preserve"> </w:t>
      </w:r>
      <w:r w:rsidRPr="003A5332">
        <w:rPr>
          <w:noProof/>
        </w:rPr>
        <w:t>(2013)</w:t>
      </w:r>
      <w:r>
        <w:rPr>
          <w:noProof/>
        </w:rPr>
        <w:t xml:space="preserve"> </w:t>
      </w:r>
      <w:r>
        <w:t>was followed. The consistency of the parsimonious solutions displayed in tables six, seven and eight were tested separately for each year of the survey (including the observations from Australia with their nearest ESPAD or HBSC survey year). This showed that these solutions for high adolescent cannabis use were highly consistent across time. This suggests that the cross-sectional findings reported here for high adolescent cannabis use are stable across the time period covered by the data and that these results are not dependent on including cases from the same countries across the survey years in the same, pooled sample</w:t>
      </w:r>
      <w:r>
        <w:rPr>
          <w:rStyle w:val="EndnoteReference"/>
        </w:rPr>
        <w:endnoteReference w:id="11"/>
      </w:r>
      <w:r>
        <w:t xml:space="preserve">. There was some effect of time on the result for low adolescent cannabis use in the HBSC dataset. The consistency of this solution was above 0.9 for 2005 and 2009, but below 0.7 for 2001. </w:t>
      </w:r>
    </w:p>
    <w:p w14:paraId="1130F199" w14:textId="77777777" w:rsidR="00946A61" w:rsidRDefault="00946A61" w:rsidP="00744637">
      <w:pPr>
        <w:spacing w:after="0" w:line="480" w:lineRule="auto"/>
      </w:pPr>
    </w:p>
    <w:p w14:paraId="0BD8BA2A" w14:textId="77777777" w:rsidR="009A17C4" w:rsidRDefault="00946A61" w:rsidP="009A17C4">
      <w:pPr>
        <w:spacing w:after="0" w:line="480" w:lineRule="auto"/>
      </w:pPr>
      <w:r>
        <w:t xml:space="preserve">The cross-sectional nature of these analyses also limits the causal inferences </w:t>
      </w:r>
      <w:r w:rsidR="009D4055">
        <w:t>that should be drawn from them. I</w:t>
      </w:r>
      <w:r>
        <w:t>t does not establish causal precedence and does not exclude the possibility of reverse causation</w:t>
      </w:r>
      <w:r>
        <w:rPr>
          <w:rStyle w:val="EndnoteReference"/>
        </w:rPr>
        <w:endnoteReference w:id="12"/>
      </w:r>
      <w:r>
        <w:t>.</w:t>
      </w:r>
      <w:r w:rsidR="009A17C4">
        <w:t xml:space="preserve"> More research is needed in order to establish robust analysis of configurational causation of adolescent cannabis use over time, and this will require further methodological development of the QCA approach </w:t>
      </w:r>
      <w:r w:rsidR="009A17C4" w:rsidRPr="00826244">
        <w:rPr>
          <w:noProof/>
        </w:rPr>
        <w:t>(Hino, 2009)</w:t>
      </w:r>
      <w:r w:rsidR="009A17C4">
        <w:t>.</w:t>
      </w:r>
    </w:p>
    <w:p w14:paraId="3E0A05FB" w14:textId="77777777" w:rsidR="009A17C4" w:rsidRDefault="009A17C4" w:rsidP="00744637">
      <w:pPr>
        <w:spacing w:after="0" w:line="480" w:lineRule="auto"/>
      </w:pPr>
    </w:p>
    <w:p w14:paraId="57B98375" w14:textId="77777777" w:rsidR="00AC6977" w:rsidRPr="004E078C" w:rsidRDefault="00ED3811" w:rsidP="00744637">
      <w:pPr>
        <w:spacing w:after="0" w:line="480" w:lineRule="auto"/>
      </w:pPr>
      <w:r>
        <w:t>In interpreting the results of these analyses, the danger of committing the ecological fallacy should be borne in mind. These analyses have used national – not individual</w:t>
      </w:r>
      <w:r w:rsidR="005D3D62">
        <w:t xml:space="preserve"> </w:t>
      </w:r>
      <w:r>
        <w:t xml:space="preserve">– </w:t>
      </w:r>
      <w:r w:rsidR="005D3D62">
        <w:t xml:space="preserve">level </w:t>
      </w:r>
      <w:r>
        <w:t xml:space="preserve">data to analyse differences between countries. For example, data on adolescent cannabis use represent the national aggregate level, not the level displayed by any particular </w:t>
      </w:r>
      <w:r w:rsidR="005D3D62">
        <w:t>individual</w:t>
      </w:r>
      <w:r>
        <w:t xml:space="preserve">. </w:t>
      </w:r>
      <w:r w:rsidR="005D3D62">
        <w:t xml:space="preserve">The results of these analyses should therefore not be applied to individuals. </w:t>
      </w:r>
    </w:p>
    <w:p w14:paraId="6495E5FF" w14:textId="77777777" w:rsidR="00D135A9" w:rsidRDefault="00D135A9" w:rsidP="00744637">
      <w:pPr>
        <w:spacing w:after="0" w:line="480" w:lineRule="auto"/>
        <w:rPr>
          <w:i/>
          <w:iCs/>
        </w:rPr>
      </w:pPr>
    </w:p>
    <w:p w14:paraId="0B7C27F0" w14:textId="77777777" w:rsidR="005D1133" w:rsidRPr="007C5C26" w:rsidRDefault="6E19D746" w:rsidP="00744637">
      <w:pPr>
        <w:spacing w:after="0" w:line="480" w:lineRule="auto"/>
        <w:rPr>
          <w:b/>
        </w:rPr>
      </w:pPr>
      <w:r w:rsidRPr="007C5C26">
        <w:rPr>
          <w:b/>
          <w:iCs/>
        </w:rPr>
        <w:t>Discussion</w:t>
      </w:r>
    </w:p>
    <w:p w14:paraId="32C23AE0" w14:textId="77777777" w:rsidR="0019264C" w:rsidRDefault="0019264C" w:rsidP="00744637">
      <w:pPr>
        <w:spacing w:after="0" w:line="480" w:lineRule="auto"/>
      </w:pPr>
    </w:p>
    <w:p w14:paraId="456281D9" w14:textId="77777777" w:rsidR="00BC6747" w:rsidRDefault="0019264C" w:rsidP="00744637">
      <w:pPr>
        <w:spacing w:after="0" w:line="480" w:lineRule="auto"/>
      </w:pPr>
      <w:r>
        <w:t xml:space="preserve">The results of these analyses </w:t>
      </w:r>
      <w:r w:rsidR="00473686">
        <w:t>highlight</w:t>
      </w:r>
      <w:r>
        <w:t xml:space="preserve"> a cluster </w:t>
      </w:r>
      <w:r w:rsidR="001D4BE7">
        <w:t xml:space="preserve">of </w:t>
      </w:r>
      <w:r>
        <w:t>countries that have relatively high levels of cannabis use. This includes Anglophone</w:t>
      </w:r>
      <w:r w:rsidR="009A17C4">
        <w:t xml:space="preserve"> </w:t>
      </w:r>
      <w:r>
        <w:t>countries that share a</w:t>
      </w:r>
      <w:r w:rsidR="00F93898">
        <w:t>n imperi</w:t>
      </w:r>
      <w:r w:rsidR="001D4BE7">
        <w:t>al/</w:t>
      </w:r>
      <w:r>
        <w:t>colonial</w:t>
      </w:r>
      <w:r w:rsidR="009A17C4">
        <w:t xml:space="preserve"> relationship</w:t>
      </w:r>
      <w:r>
        <w:t xml:space="preserve"> and protestant religious heritage; Australia, the UK, Canada and the USA. It also includes France </w:t>
      </w:r>
      <w:r w:rsidR="00473686">
        <w:t>(in 2011) and Spain</w:t>
      </w:r>
      <w:r w:rsidR="00FD626C">
        <w:t>. They</w:t>
      </w:r>
      <w:r w:rsidR="00473686">
        <w:t xml:space="preserve"> have </w:t>
      </w:r>
      <w:r>
        <w:t xml:space="preserve">different </w:t>
      </w:r>
      <w:r w:rsidR="00F93898">
        <w:t xml:space="preserve">linguistic, </w:t>
      </w:r>
      <w:r>
        <w:t>imperial and religious histor</w:t>
      </w:r>
      <w:r w:rsidR="00F93898">
        <w:t>ies</w:t>
      </w:r>
      <w:r>
        <w:t xml:space="preserve">. What they </w:t>
      </w:r>
      <w:r w:rsidR="00FD626C">
        <w:t xml:space="preserve">all </w:t>
      </w:r>
      <w:r>
        <w:t>share is that they have</w:t>
      </w:r>
      <w:r w:rsidR="00FD626C">
        <w:t xml:space="preserve"> relatively</w:t>
      </w:r>
      <w:r>
        <w:t xml:space="preserve"> high levels of income inequality and urbanisation. There are other countries in the sample that have relatively high rates of income inequality (like Greece and Portugal) or relatively high rates of urbanisation (like Sweden and Finland)</w:t>
      </w:r>
      <w:r w:rsidR="00635EA7">
        <w:t xml:space="preserve">, but have relatively low rates of adolescent cannabis use. So it appears that neither income inequality nor urbanisation </w:t>
      </w:r>
      <w:r w:rsidR="00F75016">
        <w:t>is</w:t>
      </w:r>
      <w:r w:rsidR="00635EA7">
        <w:t xml:space="preserve"> sufficient on </w:t>
      </w:r>
      <w:r w:rsidR="00F75016">
        <w:t>its</w:t>
      </w:r>
      <w:r w:rsidR="00635EA7">
        <w:t xml:space="preserve"> own to cause high adolescent cannabis use. </w:t>
      </w:r>
      <w:r w:rsidR="00240FD0">
        <w:t>Rather, the</w:t>
      </w:r>
      <w:r w:rsidR="00F75016">
        <w:t>se conditions</w:t>
      </w:r>
      <w:r w:rsidR="00240FD0">
        <w:t xml:space="preserve"> </w:t>
      </w:r>
      <w:r w:rsidR="00F93898">
        <w:t>may</w:t>
      </w:r>
      <w:r w:rsidR="00240FD0">
        <w:t xml:space="preserve"> operate in tandem</w:t>
      </w:r>
      <w:r w:rsidR="00F75016">
        <w:t>, and in contexts that are also influenced by other social conditions</w:t>
      </w:r>
      <w:r w:rsidR="00240FD0">
        <w:t xml:space="preserve">. </w:t>
      </w:r>
    </w:p>
    <w:p w14:paraId="383E7EAB" w14:textId="77777777" w:rsidR="00BC6747" w:rsidRDefault="00BC6747" w:rsidP="00744637">
      <w:pPr>
        <w:spacing w:after="0" w:line="480" w:lineRule="auto"/>
      </w:pPr>
    </w:p>
    <w:p w14:paraId="2A4D3CA5" w14:textId="0E1E1D80" w:rsidR="00FD626C" w:rsidRDefault="00240FD0" w:rsidP="00744637">
      <w:pPr>
        <w:spacing w:after="0" w:line="480" w:lineRule="auto"/>
      </w:pPr>
      <w:r w:rsidRPr="00594B71">
        <w:rPr>
          <w:rFonts w:eastAsia="Tahoma,Times New Roman" w:cs="Tahoma,Times New Roman"/>
          <w:color w:val="000000"/>
        </w:rPr>
        <w:t xml:space="preserve">It may be, for example, that the </w:t>
      </w:r>
      <w:r w:rsidR="00F75016">
        <w:rPr>
          <w:rFonts w:eastAsia="Tahoma,Times New Roman" w:cs="Tahoma,Times New Roman"/>
          <w:color w:val="000000"/>
        </w:rPr>
        <w:t xml:space="preserve">production of </w:t>
      </w:r>
      <w:r w:rsidRPr="00594B71">
        <w:rPr>
          <w:rFonts w:eastAsia="Tahoma,Times New Roman" w:cs="Tahoma,Times New Roman"/>
          <w:color w:val="000000"/>
        </w:rPr>
        <w:t xml:space="preserve">bio-psycho-social stress </w:t>
      </w:r>
      <w:r w:rsidR="00F75016">
        <w:rPr>
          <w:rFonts w:eastAsia="Tahoma,Times New Roman" w:cs="Tahoma,Times New Roman"/>
          <w:color w:val="000000"/>
        </w:rPr>
        <w:t xml:space="preserve">by inequality that is highlighted by Wilkinson and Pickett (2008) </w:t>
      </w:r>
      <w:r w:rsidRPr="00594B71">
        <w:rPr>
          <w:rFonts w:eastAsia="Tahoma,Times New Roman" w:cs="Tahoma,Times New Roman"/>
          <w:color w:val="000000"/>
        </w:rPr>
        <w:t>is exacerbate</w:t>
      </w:r>
      <w:r w:rsidR="00F75016">
        <w:rPr>
          <w:rFonts w:eastAsia="Tahoma,Times New Roman" w:cs="Tahoma,Times New Roman"/>
          <w:color w:val="000000"/>
        </w:rPr>
        <w:t>d by the stresses of urban living, especially in countries with low levels of welfare support</w:t>
      </w:r>
      <w:r w:rsidRPr="00594B71">
        <w:rPr>
          <w:rFonts w:eastAsia="Tahoma,Times New Roman" w:cs="Tahoma,Times New Roman"/>
          <w:color w:val="000000"/>
        </w:rPr>
        <w:t xml:space="preserve">. </w:t>
      </w:r>
      <w:r>
        <w:rPr>
          <w:rFonts w:eastAsia="Tahoma,Times New Roman" w:cs="Tahoma,Times New Roman"/>
          <w:color w:val="000000"/>
        </w:rPr>
        <w:t xml:space="preserve">Urbanisation may also provide more </w:t>
      </w:r>
      <w:r w:rsidR="00F75016">
        <w:rPr>
          <w:rFonts w:eastAsia="Tahoma,Times New Roman" w:cs="Tahoma,Times New Roman"/>
          <w:color w:val="000000"/>
        </w:rPr>
        <w:t xml:space="preserve">of </w:t>
      </w:r>
      <w:r>
        <w:rPr>
          <w:rFonts w:eastAsia="Tahoma,Times New Roman" w:cs="Tahoma,Times New Roman"/>
          <w:color w:val="000000"/>
        </w:rPr>
        <w:t>opportunities for anti-socia</w:t>
      </w:r>
      <w:r w:rsidR="00F75016">
        <w:rPr>
          <w:rFonts w:eastAsia="Tahoma,Times New Roman" w:cs="Tahoma,Times New Roman"/>
          <w:color w:val="000000"/>
        </w:rPr>
        <w:t>l acti</w:t>
      </w:r>
      <w:r w:rsidR="00FD626C">
        <w:rPr>
          <w:rFonts w:eastAsia="Tahoma,Times New Roman" w:cs="Tahoma,Times New Roman"/>
          <w:color w:val="000000"/>
        </w:rPr>
        <w:t>vity and reinforcement.</w:t>
      </w:r>
      <w:r>
        <w:rPr>
          <w:rFonts w:eastAsia="Tahoma,Times New Roman" w:cs="Tahoma,Times New Roman"/>
          <w:color w:val="000000"/>
        </w:rPr>
        <w:t xml:space="preserve"> </w:t>
      </w:r>
      <w:r w:rsidR="00FD626C">
        <w:rPr>
          <w:rFonts w:eastAsia="Tahoma,Times New Roman" w:cs="Tahoma,Times New Roman"/>
          <w:color w:val="000000"/>
        </w:rPr>
        <w:t>T</w:t>
      </w:r>
      <w:r>
        <w:rPr>
          <w:rFonts w:eastAsia="Tahoma,Times New Roman" w:cs="Tahoma,Times New Roman"/>
          <w:color w:val="000000"/>
        </w:rPr>
        <w:t xml:space="preserve">he social development model </w:t>
      </w:r>
      <w:r w:rsidR="00F75016">
        <w:rPr>
          <w:rFonts w:eastAsia="Tahoma,Times New Roman" w:cs="Tahoma,Times New Roman"/>
          <w:color w:val="000000"/>
        </w:rPr>
        <w:t xml:space="preserve">(Catalano &amp; Hawkins, 1996) </w:t>
      </w:r>
      <w:r>
        <w:rPr>
          <w:rFonts w:eastAsia="Tahoma,Times New Roman" w:cs="Tahoma,Times New Roman"/>
          <w:color w:val="000000"/>
        </w:rPr>
        <w:t xml:space="preserve">would expect </w:t>
      </w:r>
      <w:r w:rsidR="00FD626C">
        <w:rPr>
          <w:rFonts w:eastAsia="Tahoma,Times New Roman" w:cs="Tahoma,Times New Roman"/>
          <w:color w:val="000000"/>
        </w:rPr>
        <w:t xml:space="preserve">this </w:t>
      </w:r>
      <w:r>
        <w:rPr>
          <w:rFonts w:eastAsia="Tahoma,Times New Roman" w:cs="Tahoma,Times New Roman"/>
          <w:color w:val="000000"/>
        </w:rPr>
        <w:t xml:space="preserve">to exacerbate any tendency towards deviancy that is initiated by a relatively low position in the social hierarchy. The subterranean structuration </w:t>
      </w:r>
      <w:r w:rsidR="00D17531">
        <w:rPr>
          <w:rFonts w:eastAsia="Tahoma,Times New Roman" w:cs="Tahoma,Times New Roman"/>
          <w:color w:val="000000"/>
        </w:rPr>
        <w:t>(Stevens, 2011)</w:t>
      </w:r>
      <w:r w:rsidR="00F75016">
        <w:rPr>
          <w:rFonts w:eastAsia="Tahoma,Times New Roman" w:cs="Tahoma,Times New Roman"/>
          <w:color w:val="000000"/>
        </w:rPr>
        <w:t xml:space="preserve"> </w:t>
      </w:r>
      <w:r w:rsidRPr="00F75016">
        <w:rPr>
          <w:rFonts w:eastAsia="Tahoma,Times New Roman" w:cs="Tahoma,Times New Roman"/>
          <w:color w:val="000000"/>
        </w:rPr>
        <w:t>approach</w:t>
      </w:r>
      <w:r>
        <w:rPr>
          <w:rFonts w:eastAsia="Tahoma,Times New Roman" w:cs="Tahoma,Times New Roman"/>
          <w:color w:val="000000"/>
        </w:rPr>
        <w:t xml:space="preserve"> would</w:t>
      </w:r>
      <w:r w:rsidR="00943FB2">
        <w:rPr>
          <w:rFonts w:eastAsia="Tahoma,Times New Roman" w:cs="Tahoma,Times New Roman"/>
          <w:color w:val="000000"/>
        </w:rPr>
        <w:t xml:space="preserve"> also</w:t>
      </w:r>
      <w:r>
        <w:rPr>
          <w:rFonts w:eastAsia="Tahoma,Times New Roman" w:cs="Tahoma,Times New Roman"/>
          <w:color w:val="000000"/>
        </w:rPr>
        <w:t xml:space="preserve"> highlight the increased </w:t>
      </w:r>
      <w:r w:rsidR="00F93898">
        <w:rPr>
          <w:rFonts w:eastAsia="Tahoma,Times New Roman" w:cs="Tahoma,Times New Roman"/>
          <w:color w:val="000000"/>
        </w:rPr>
        <w:t xml:space="preserve">strain and </w:t>
      </w:r>
      <w:r>
        <w:rPr>
          <w:rFonts w:eastAsia="Tahoma,Times New Roman" w:cs="Tahoma,Times New Roman"/>
          <w:color w:val="000000"/>
        </w:rPr>
        <w:t>stress</w:t>
      </w:r>
      <w:r w:rsidR="00943FB2">
        <w:rPr>
          <w:rFonts w:eastAsia="Tahoma,Times New Roman" w:cs="Tahoma,Times New Roman"/>
          <w:color w:val="000000"/>
        </w:rPr>
        <w:t xml:space="preserve"> of the combination of inequality and urbanisation that might increase cannabis use at the low </w:t>
      </w:r>
      <w:r w:rsidR="00F75016">
        <w:rPr>
          <w:rFonts w:eastAsia="Tahoma,Times New Roman" w:cs="Tahoma,Times New Roman"/>
          <w:color w:val="000000"/>
        </w:rPr>
        <w:t xml:space="preserve">end of the income distribution. It would </w:t>
      </w:r>
      <w:r w:rsidR="00F93898">
        <w:rPr>
          <w:rFonts w:eastAsia="Tahoma,Times New Roman" w:cs="Tahoma,Times New Roman"/>
          <w:color w:val="000000"/>
        </w:rPr>
        <w:t>also point</w:t>
      </w:r>
      <w:r w:rsidR="00943FB2">
        <w:rPr>
          <w:rFonts w:eastAsia="Tahoma,Times New Roman" w:cs="Tahoma,Times New Roman"/>
          <w:color w:val="000000"/>
        </w:rPr>
        <w:t xml:space="preserve"> to the increased income and opportunities for transmission of subcultural drug use norms that might increase cannabis use among </w:t>
      </w:r>
      <w:r w:rsidR="00F75016">
        <w:rPr>
          <w:rFonts w:eastAsia="Tahoma,Times New Roman" w:cs="Tahoma,Times New Roman"/>
          <w:color w:val="000000"/>
        </w:rPr>
        <w:t>richer</w:t>
      </w:r>
      <w:r w:rsidR="00943FB2">
        <w:rPr>
          <w:rFonts w:eastAsia="Tahoma,Times New Roman" w:cs="Tahoma,Times New Roman"/>
          <w:color w:val="000000"/>
        </w:rPr>
        <w:t xml:space="preserve"> young people in </w:t>
      </w:r>
      <w:r w:rsidR="00F75016">
        <w:rPr>
          <w:rFonts w:eastAsia="Tahoma,Times New Roman" w:cs="Tahoma,Times New Roman"/>
          <w:color w:val="000000"/>
        </w:rPr>
        <w:t xml:space="preserve">wealthy </w:t>
      </w:r>
      <w:r w:rsidR="00943FB2">
        <w:rPr>
          <w:rFonts w:eastAsia="Tahoma,Times New Roman" w:cs="Tahoma,Times New Roman"/>
          <w:color w:val="000000"/>
        </w:rPr>
        <w:t>countries that are both highly unequal and highly urbanised.</w:t>
      </w:r>
      <w:r w:rsidR="00943FB2">
        <w:t xml:space="preserve"> </w:t>
      </w:r>
    </w:p>
    <w:p w14:paraId="7C064098" w14:textId="77777777" w:rsidR="00FD626C" w:rsidRDefault="00FD626C" w:rsidP="00744637">
      <w:pPr>
        <w:spacing w:after="0" w:line="480" w:lineRule="auto"/>
      </w:pPr>
    </w:p>
    <w:p w14:paraId="3869CBA7" w14:textId="77777777" w:rsidR="00240FD0" w:rsidRDefault="00F75016" w:rsidP="00744637">
      <w:pPr>
        <w:spacing w:after="0" w:line="480" w:lineRule="auto"/>
      </w:pPr>
      <w:r>
        <w:t>It is interesting that youth unemployment did not play a major role in the explanation of levels of adolescent cannabis use. When it did appear in solutions for high and low levels of this outcome, it was in the opposite direction to that which was theoretically expected. Low youth unemployment appeared in configurations that were consistent with sufficiency fo</w:t>
      </w:r>
      <w:r w:rsidR="00F93898">
        <w:t>r</w:t>
      </w:r>
      <w:r>
        <w:t xml:space="preserve"> high adolescent cannabis use. High youth unemployment appeared in the only configuration that was considered consistent for sufficiency for low adolescent cannabis use. This might suggest that</w:t>
      </w:r>
      <w:r w:rsidR="00F93898">
        <w:t xml:space="preserve"> high rates of adolescent cannabis use are more likely to be </w:t>
      </w:r>
      <w:r>
        <w:t>observed in countries which are more successful in including young people in the labour market.</w:t>
      </w:r>
    </w:p>
    <w:p w14:paraId="7C9E89F3" w14:textId="77777777" w:rsidR="00240FD0" w:rsidRDefault="00240FD0" w:rsidP="00744637">
      <w:pPr>
        <w:spacing w:after="0" w:line="480" w:lineRule="auto"/>
      </w:pPr>
    </w:p>
    <w:p w14:paraId="2B613D2C" w14:textId="77777777" w:rsidR="00A76F83" w:rsidRDefault="00635EA7" w:rsidP="00744637">
      <w:pPr>
        <w:spacing w:after="0" w:line="480" w:lineRule="auto"/>
      </w:pPr>
      <w:r>
        <w:t>The analysis</w:t>
      </w:r>
      <w:r w:rsidR="00FD626C">
        <w:t xml:space="preserve"> also highlights some countries - </w:t>
      </w:r>
      <w:r>
        <w:t xml:space="preserve">including Ireland, the Czech </w:t>
      </w:r>
      <w:r w:rsidR="00F75016">
        <w:t>Republic</w:t>
      </w:r>
      <w:r>
        <w:t xml:space="preserve"> and Slovenia</w:t>
      </w:r>
      <w:r w:rsidR="00FD626C">
        <w:t xml:space="preserve"> -</w:t>
      </w:r>
      <w:r>
        <w:t xml:space="preserve"> for further analysis of why they have </w:t>
      </w:r>
      <w:r w:rsidR="00F75016">
        <w:t>relatively</w:t>
      </w:r>
      <w:r>
        <w:t xml:space="preserve"> high rates of adolescent cannabis use</w:t>
      </w:r>
      <w:r w:rsidR="00F75016">
        <w:t>, despite not having the combination of high inequality and high urbanisation</w:t>
      </w:r>
      <w:r>
        <w:t>.</w:t>
      </w:r>
      <w:r w:rsidR="00F93898">
        <w:t xml:space="preserve"> Other countries that have had high rates of adolescent cannabis use but which are not covered by the solutions found in these analyses include Belgium, Denmark, Italy, the Netherlands and the Slovak Republic. There may be other causal pathways to this outcome in these countries.</w:t>
      </w:r>
    </w:p>
    <w:p w14:paraId="017B256B" w14:textId="77777777" w:rsidR="00E945D5" w:rsidRPr="00BF7894" w:rsidRDefault="00F4519E" w:rsidP="00744637">
      <w:pPr>
        <w:spacing w:after="0" w:line="480" w:lineRule="auto"/>
        <w:rPr>
          <w:i/>
        </w:rPr>
      </w:pPr>
      <w:r>
        <w:rPr>
          <w:i/>
        </w:rPr>
        <w:t>.</w:t>
      </w:r>
    </w:p>
    <w:p w14:paraId="164AAA55" w14:textId="77777777" w:rsidR="00EB712A" w:rsidRPr="00594B71" w:rsidRDefault="00F30DAF" w:rsidP="00744637">
      <w:pPr>
        <w:spacing w:after="0" w:line="480" w:lineRule="auto"/>
        <w:rPr>
          <w:rFonts w:eastAsia="Tahoma,Times New Roman" w:cs="Tahoma,Times New Roman"/>
          <w:color w:val="000000"/>
        </w:rPr>
      </w:pPr>
      <w:r w:rsidRPr="00594B71">
        <w:rPr>
          <w:rFonts w:eastAsia="Tahoma,Times New Roman" w:cs="Tahoma,Times New Roman"/>
          <w:color w:val="000000"/>
        </w:rPr>
        <w:t>It is important to place these findings in the context of previous research on the influences on rates of adolescent cannabis use</w:t>
      </w:r>
      <w:r w:rsidR="001A672D">
        <w:rPr>
          <w:rFonts w:eastAsia="Tahoma,Times New Roman" w:cs="Tahoma,Times New Roman"/>
          <w:color w:val="000000"/>
        </w:rPr>
        <w:t xml:space="preserve">. </w:t>
      </w:r>
      <w:r w:rsidR="00EB712A" w:rsidRPr="00594B71">
        <w:rPr>
          <w:rFonts w:eastAsia="Tahoma,Times New Roman" w:cs="Tahoma,Times New Roman"/>
          <w:color w:val="000000"/>
        </w:rPr>
        <w:t xml:space="preserve">A previous analysis of HBSC data, using Poisson regression </w:t>
      </w:r>
      <w:r w:rsidR="00635EA7">
        <w:rPr>
          <w:rFonts w:eastAsia="Tahoma,Times New Roman" w:cs="Tahoma,Times New Roman"/>
          <w:color w:val="000000"/>
        </w:rPr>
        <w:t>methods</w:t>
      </w:r>
      <w:r w:rsidR="00EB712A" w:rsidRPr="00594B71">
        <w:rPr>
          <w:rFonts w:eastAsia="Tahoma,Times New Roman" w:cs="Tahoma,Times New Roman"/>
          <w:color w:val="000000"/>
        </w:rPr>
        <w:t xml:space="preserve">, found that rates of frequent lifetime (40 or more occasions of) adolescent cannabis use </w:t>
      </w:r>
      <w:r w:rsidR="001A672D">
        <w:rPr>
          <w:rFonts w:eastAsia="Tahoma,Times New Roman" w:cs="Tahoma,Times New Roman"/>
          <w:color w:val="000000"/>
        </w:rPr>
        <w:t>were</w:t>
      </w:r>
      <w:r w:rsidR="00EB712A" w:rsidRPr="00594B71">
        <w:rPr>
          <w:rFonts w:eastAsia="Tahoma,Times New Roman" w:cs="Tahoma,Times New Roman"/>
          <w:color w:val="000000"/>
        </w:rPr>
        <w:t xml:space="preserve"> higher in more wealthy countries and </w:t>
      </w:r>
      <w:r w:rsidR="006C0635" w:rsidRPr="00594B71">
        <w:rPr>
          <w:rFonts w:eastAsia="Tahoma,Times New Roman" w:cs="Tahoma,Times New Roman"/>
          <w:color w:val="000000"/>
        </w:rPr>
        <w:t xml:space="preserve">among more wealthy individuals </w:t>
      </w:r>
      <w:r w:rsidR="00AD2297">
        <w:rPr>
          <w:rFonts w:eastAsia="Tahoma,Times New Roman" w:cs="Tahoma,Times New Roman"/>
          <w:noProof/>
          <w:color w:val="000000"/>
        </w:rPr>
        <w:t>(</w:t>
      </w:r>
      <w:r w:rsidR="005E618A" w:rsidRPr="00594B71">
        <w:rPr>
          <w:rFonts w:eastAsia="Tahoma,Times New Roman" w:cs="Tahoma,Times New Roman"/>
          <w:noProof/>
          <w:color w:val="000000"/>
        </w:rPr>
        <w:t>Ter Bogt et al., 2014)</w:t>
      </w:r>
      <w:r w:rsidR="00EB712A" w:rsidRPr="00594B71">
        <w:rPr>
          <w:rFonts w:eastAsia="Tahoma,Times New Roman" w:cs="Tahoma,Times New Roman"/>
          <w:color w:val="000000"/>
        </w:rPr>
        <w:t>. The fact that wealth was impor</w:t>
      </w:r>
      <w:r w:rsidR="00CF4A16" w:rsidRPr="00594B71">
        <w:rPr>
          <w:rFonts w:eastAsia="Tahoma,Times New Roman" w:cs="Tahoma,Times New Roman"/>
          <w:color w:val="000000"/>
        </w:rPr>
        <w:t xml:space="preserve">tant in this previous analysis supports </w:t>
      </w:r>
      <w:r w:rsidR="00EB712A" w:rsidRPr="00594B71">
        <w:rPr>
          <w:rFonts w:eastAsia="Tahoma,Times New Roman" w:cs="Tahoma,Times New Roman"/>
          <w:color w:val="000000"/>
        </w:rPr>
        <w:t>the theoretical linkages between cannabis use and soci</w:t>
      </w:r>
      <w:r w:rsidR="00CF4A16" w:rsidRPr="00594B71">
        <w:rPr>
          <w:rFonts w:eastAsia="Tahoma,Times New Roman" w:cs="Tahoma,Times New Roman"/>
          <w:color w:val="000000"/>
        </w:rPr>
        <w:t xml:space="preserve">o-economic </w:t>
      </w:r>
      <w:r w:rsidR="00EB712A" w:rsidRPr="00594B71">
        <w:rPr>
          <w:rFonts w:eastAsia="Tahoma,Times New Roman" w:cs="Tahoma,Times New Roman"/>
          <w:color w:val="000000"/>
        </w:rPr>
        <w:t>conditions</w:t>
      </w:r>
      <w:r w:rsidR="005E618A" w:rsidRPr="00594B71">
        <w:rPr>
          <w:rFonts w:eastAsia="Tahoma,Times New Roman" w:cs="Tahoma,Times New Roman"/>
          <w:color w:val="000000"/>
        </w:rPr>
        <w:t xml:space="preserve">, as do other previous analyses of the HBSC data </w:t>
      </w:r>
      <w:r w:rsidR="00C75AA3" w:rsidRPr="00594B71">
        <w:rPr>
          <w:rFonts w:eastAsia="Tahoma,Times New Roman" w:cs="Tahoma,Times New Roman"/>
          <w:noProof/>
          <w:color w:val="000000"/>
        </w:rPr>
        <w:t>(</w:t>
      </w:r>
      <w:r w:rsidR="005E618A" w:rsidRPr="00594B71">
        <w:rPr>
          <w:rFonts w:eastAsia="Tahoma,Times New Roman" w:cs="Tahoma,Times New Roman"/>
          <w:noProof/>
          <w:color w:val="000000"/>
        </w:rPr>
        <w:t>Ter Bogt, Schmid, Nic Gabhainn, Fotiou, &amp; Vollebergh, 2006)</w:t>
      </w:r>
      <w:r w:rsidR="00EB712A" w:rsidRPr="00594B71">
        <w:rPr>
          <w:rFonts w:eastAsia="Tahoma,Times New Roman" w:cs="Tahoma,Times New Roman"/>
          <w:color w:val="000000"/>
        </w:rPr>
        <w:t xml:space="preserve">. </w:t>
      </w:r>
      <w:r w:rsidR="00134244" w:rsidRPr="00594B71">
        <w:rPr>
          <w:rFonts w:eastAsia="Tahoma,Times New Roman" w:cs="Tahoma,Times New Roman"/>
          <w:color w:val="000000"/>
        </w:rPr>
        <w:t xml:space="preserve"> </w:t>
      </w:r>
      <w:r w:rsidR="00C75AA3" w:rsidRPr="00594B71">
        <w:rPr>
          <w:rFonts w:eastAsia="Tahoma,Times New Roman" w:cs="Tahoma,Times New Roman"/>
          <w:color w:val="000000"/>
        </w:rPr>
        <w:t xml:space="preserve">In Schmid’s </w:t>
      </w:r>
      <w:r w:rsidR="003E64A5" w:rsidRPr="00594B71">
        <w:rPr>
          <w:rFonts w:eastAsia="Tahoma,Times New Roman" w:cs="Tahoma,Times New Roman"/>
          <w:noProof/>
          <w:color w:val="000000"/>
        </w:rPr>
        <w:t>(2001)</w:t>
      </w:r>
      <w:r w:rsidR="003E64A5" w:rsidRPr="00594B71">
        <w:rPr>
          <w:rFonts w:eastAsia="Tahoma,Times New Roman" w:cs="Tahoma,Times New Roman"/>
          <w:color w:val="000000"/>
        </w:rPr>
        <w:t xml:space="preserve"> analysis of the Swiss HBSC data</w:t>
      </w:r>
      <w:r w:rsidR="00C75AA3" w:rsidRPr="00594B71">
        <w:rPr>
          <w:rFonts w:eastAsia="Tahoma,Times New Roman" w:cs="Tahoma,Times New Roman"/>
          <w:color w:val="000000"/>
        </w:rPr>
        <w:t xml:space="preserve">, urbanisation </w:t>
      </w:r>
      <w:r w:rsidR="00CF4A16" w:rsidRPr="00594B71">
        <w:rPr>
          <w:rFonts w:eastAsia="Tahoma,Times New Roman" w:cs="Tahoma,Times New Roman"/>
          <w:color w:val="000000"/>
        </w:rPr>
        <w:t>was</w:t>
      </w:r>
      <w:r w:rsidR="00C75AA3" w:rsidRPr="00594B71">
        <w:rPr>
          <w:rFonts w:eastAsia="Tahoma,Times New Roman" w:cs="Tahoma,Times New Roman"/>
          <w:color w:val="000000"/>
        </w:rPr>
        <w:t xml:space="preserve"> found to interact with </w:t>
      </w:r>
      <w:r w:rsidR="00CF4A16" w:rsidRPr="00594B71">
        <w:rPr>
          <w:rFonts w:eastAsia="Tahoma,Times New Roman" w:cs="Tahoma,Times New Roman"/>
          <w:color w:val="000000"/>
        </w:rPr>
        <w:t>perception of peers’ cannabis use</w:t>
      </w:r>
      <w:r w:rsidR="00C75AA3" w:rsidRPr="00594B71">
        <w:rPr>
          <w:rFonts w:eastAsia="Tahoma,Times New Roman" w:cs="Tahoma,Times New Roman"/>
          <w:color w:val="000000"/>
        </w:rPr>
        <w:t xml:space="preserve">. </w:t>
      </w:r>
      <w:r w:rsidR="003E64A5" w:rsidRPr="00594B71">
        <w:rPr>
          <w:rFonts w:eastAsia="Tahoma,Times New Roman" w:cs="Tahoma,Times New Roman"/>
          <w:color w:val="000000"/>
        </w:rPr>
        <w:t xml:space="preserve">The predictive effect of peer perceptions </w:t>
      </w:r>
      <w:r w:rsidR="00134244" w:rsidRPr="00594B71">
        <w:rPr>
          <w:rFonts w:eastAsia="Tahoma,Times New Roman" w:cs="Tahoma,Times New Roman"/>
          <w:color w:val="000000"/>
        </w:rPr>
        <w:t xml:space="preserve">in increasing cannabis use </w:t>
      </w:r>
      <w:r w:rsidR="003E64A5" w:rsidRPr="00594B71">
        <w:rPr>
          <w:rFonts w:eastAsia="Tahoma,Times New Roman" w:cs="Tahoma,Times New Roman"/>
          <w:color w:val="000000"/>
        </w:rPr>
        <w:t>was higher in more urban</w:t>
      </w:r>
      <w:r w:rsidR="00134244" w:rsidRPr="00594B71">
        <w:rPr>
          <w:rFonts w:eastAsia="Tahoma,Times New Roman" w:cs="Tahoma,Times New Roman"/>
          <w:color w:val="000000"/>
        </w:rPr>
        <w:t>ised</w:t>
      </w:r>
      <w:r w:rsidR="003E64A5" w:rsidRPr="00594B71">
        <w:rPr>
          <w:rFonts w:eastAsia="Tahoma,Times New Roman" w:cs="Tahoma,Times New Roman"/>
          <w:color w:val="000000"/>
        </w:rPr>
        <w:t xml:space="preserve"> cantons. This again suggests a combinatorial effect between urbanisation</w:t>
      </w:r>
      <w:r w:rsidR="00134244" w:rsidRPr="00594B71">
        <w:rPr>
          <w:rFonts w:eastAsia="Tahoma,Times New Roman" w:cs="Tahoma,Times New Roman"/>
          <w:color w:val="000000"/>
        </w:rPr>
        <w:t xml:space="preserve"> and another condition in influencing cannabis use. I</w:t>
      </w:r>
      <w:r w:rsidR="003E64A5" w:rsidRPr="00594B71">
        <w:rPr>
          <w:rFonts w:eastAsia="Tahoma,Times New Roman" w:cs="Tahoma,Times New Roman"/>
          <w:color w:val="000000"/>
        </w:rPr>
        <w:t xml:space="preserve">t would be useful to discover whether income inequality also influences the effect of </w:t>
      </w:r>
      <w:r w:rsidR="00134244" w:rsidRPr="00594B71">
        <w:rPr>
          <w:rFonts w:eastAsia="Tahoma,Times New Roman" w:cs="Tahoma,Times New Roman"/>
          <w:color w:val="000000"/>
        </w:rPr>
        <w:t>such</w:t>
      </w:r>
      <w:r w:rsidR="003E64A5" w:rsidRPr="00594B71">
        <w:rPr>
          <w:rFonts w:eastAsia="Tahoma,Times New Roman" w:cs="Tahoma,Times New Roman"/>
          <w:color w:val="000000"/>
        </w:rPr>
        <w:t xml:space="preserve"> combination</w:t>
      </w:r>
      <w:r w:rsidR="00134244" w:rsidRPr="00594B71">
        <w:rPr>
          <w:rFonts w:eastAsia="Tahoma,Times New Roman" w:cs="Tahoma,Times New Roman"/>
          <w:color w:val="000000"/>
        </w:rPr>
        <w:t>s</w:t>
      </w:r>
      <w:r w:rsidR="006C0635" w:rsidRPr="00594B71">
        <w:rPr>
          <w:rFonts w:eastAsia="Tahoma,Times New Roman" w:cs="Tahoma,Times New Roman"/>
          <w:color w:val="000000"/>
        </w:rPr>
        <w:t xml:space="preserve"> through </w:t>
      </w:r>
      <w:r w:rsidR="00FD626C">
        <w:rPr>
          <w:rFonts w:eastAsia="Tahoma,Times New Roman" w:cs="Tahoma,Times New Roman"/>
          <w:color w:val="000000"/>
        </w:rPr>
        <w:t xml:space="preserve">further </w:t>
      </w:r>
      <w:r w:rsidR="006C0635" w:rsidRPr="00594B71">
        <w:rPr>
          <w:rFonts w:eastAsia="Tahoma,Times New Roman" w:cs="Tahoma,Times New Roman"/>
          <w:color w:val="000000"/>
        </w:rPr>
        <w:t xml:space="preserve">cross-national </w:t>
      </w:r>
      <w:r w:rsidR="00FD626C">
        <w:rPr>
          <w:rFonts w:eastAsia="Tahoma,Times New Roman" w:cs="Tahoma,Times New Roman"/>
          <w:color w:val="000000"/>
        </w:rPr>
        <w:t>research using similar data</w:t>
      </w:r>
      <w:r w:rsidR="006C0635" w:rsidRPr="00594B71">
        <w:rPr>
          <w:rFonts w:eastAsia="Tahoma,Times New Roman" w:cs="Tahoma,Times New Roman"/>
          <w:color w:val="000000"/>
        </w:rPr>
        <w:t>.</w:t>
      </w:r>
    </w:p>
    <w:p w14:paraId="0F1AEF40" w14:textId="77777777" w:rsidR="00857812" w:rsidRPr="00594B71" w:rsidRDefault="00857812" w:rsidP="00744637">
      <w:pPr>
        <w:spacing w:after="0" w:line="480" w:lineRule="auto"/>
        <w:rPr>
          <w:rFonts w:eastAsia="Tahoma,Times New Roman" w:cs="Tahoma,Times New Roman"/>
          <w:color w:val="000000"/>
        </w:rPr>
      </w:pPr>
    </w:p>
    <w:p w14:paraId="281EF31D" w14:textId="77777777" w:rsidR="003E64A5" w:rsidRPr="00594B71" w:rsidRDefault="00EA36AF" w:rsidP="00744637">
      <w:pPr>
        <w:spacing w:after="0" w:line="480" w:lineRule="auto"/>
        <w:rPr>
          <w:rFonts w:eastAsia="Tahoma,Times New Roman" w:cs="Tahoma,Times New Roman"/>
          <w:color w:val="000000"/>
        </w:rPr>
      </w:pPr>
      <w:r>
        <w:rPr>
          <w:rFonts w:eastAsia="Tahoma,Times New Roman" w:cs="Tahoma,Times New Roman"/>
          <w:color w:val="000000"/>
        </w:rPr>
        <w:t xml:space="preserve">The fsQCA analyses above suggest that high urbanisation may </w:t>
      </w:r>
      <w:r w:rsidR="00635EA7">
        <w:rPr>
          <w:rFonts w:eastAsia="Tahoma,Times New Roman" w:cs="Tahoma,Times New Roman"/>
          <w:color w:val="000000"/>
        </w:rPr>
        <w:t>form part of the explanation of</w:t>
      </w:r>
      <w:r>
        <w:rPr>
          <w:rFonts w:eastAsia="Tahoma,Times New Roman" w:cs="Tahoma,Times New Roman"/>
          <w:color w:val="000000"/>
        </w:rPr>
        <w:t xml:space="preserve"> high adolescent cannabis use</w:t>
      </w:r>
      <w:r w:rsidR="001A672D">
        <w:rPr>
          <w:rFonts w:eastAsia="Tahoma,Times New Roman" w:cs="Tahoma,Times New Roman"/>
          <w:color w:val="000000"/>
        </w:rPr>
        <w:t xml:space="preserve"> at the national level</w:t>
      </w:r>
      <w:r>
        <w:rPr>
          <w:rFonts w:eastAsia="Tahoma,Times New Roman" w:cs="Tahoma,Times New Roman"/>
          <w:color w:val="000000"/>
        </w:rPr>
        <w:t>, alongside high income inequality. A</w:t>
      </w:r>
      <w:r w:rsidR="00857812" w:rsidRPr="00594B71">
        <w:rPr>
          <w:rFonts w:eastAsia="Tahoma,Times New Roman" w:cs="Tahoma,Times New Roman"/>
          <w:color w:val="000000"/>
        </w:rPr>
        <w:t xml:space="preserve"> link between urbanisation and illicit drug use was also suggested by Peter Cohen (2006), who used it to explain why Sweden has relatively low prevalence</w:t>
      </w:r>
      <w:r w:rsidR="006C0635" w:rsidRPr="00594B71">
        <w:rPr>
          <w:rFonts w:eastAsia="Tahoma,Times New Roman" w:cs="Tahoma,Times New Roman"/>
          <w:color w:val="000000"/>
        </w:rPr>
        <w:t xml:space="preserve"> of illicit drug use</w:t>
      </w:r>
      <w:r w:rsidR="00857812" w:rsidRPr="00594B71">
        <w:rPr>
          <w:rFonts w:eastAsia="Tahoma,Times New Roman" w:cs="Tahoma,Times New Roman"/>
          <w:color w:val="000000"/>
        </w:rPr>
        <w:t xml:space="preserve">.  But </w:t>
      </w:r>
      <w:r w:rsidR="006C0635" w:rsidRPr="00594B71">
        <w:rPr>
          <w:rFonts w:eastAsia="Tahoma,Times New Roman" w:cs="Tahoma,Times New Roman"/>
          <w:color w:val="000000"/>
        </w:rPr>
        <w:t>among</w:t>
      </w:r>
      <w:r w:rsidR="00857812" w:rsidRPr="00594B71">
        <w:rPr>
          <w:rFonts w:eastAsia="Tahoma,Times New Roman" w:cs="Tahoma,Times New Roman"/>
          <w:color w:val="000000"/>
        </w:rPr>
        <w:t xml:space="preserve"> countries included in the dat</w:t>
      </w:r>
      <w:r w:rsidR="00134244" w:rsidRPr="00594B71">
        <w:rPr>
          <w:rFonts w:eastAsia="Tahoma,Times New Roman" w:cs="Tahoma,Times New Roman"/>
          <w:color w:val="000000"/>
        </w:rPr>
        <w:t>a</w:t>
      </w:r>
      <w:r w:rsidR="00857812" w:rsidRPr="00594B71">
        <w:rPr>
          <w:rFonts w:eastAsia="Tahoma,Times New Roman" w:cs="Tahoma,Times New Roman"/>
          <w:color w:val="000000"/>
        </w:rPr>
        <w:t>sets for this article, Sweden has relatively high urbanisation (having fuzzy set scores around 0.88 for this condition, depend</w:t>
      </w:r>
      <w:r w:rsidR="00134244" w:rsidRPr="00594B71">
        <w:rPr>
          <w:rFonts w:eastAsia="Tahoma,Times New Roman" w:cs="Tahoma,Times New Roman"/>
          <w:color w:val="000000"/>
        </w:rPr>
        <w:t>ing on the year). Yet Sweden has had</w:t>
      </w:r>
      <w:r w:rsidR="00857812" w:rsidRPr="00594B71">
        <w:rPr>
          <w:rFonts w:eastAsia="Tahoma,Times New Roman" w:cs="Tahoma,Times New Roman"/>
          <w:color w:val="000000"/>
        </w:rPr>
        <w:t xml:space="preserve"> very low relative rates of adolescent cannabis use (with fuzzy set scores </w:t>
      </w:r>
      <w:r w:rsidR="00240FD0">
        <w:rPr>
          <w:rFonts w:eastAsia="Tahoma,Times New Roman" w:cs="Tahoma,Times New Roman"/>
          <w:color w:val="000000"/>
        </w:rPr>
        <w:t>of zero in every survey year except one</w:t>
      </w:r>
      <w:r w:rsidR="00857812" w:rsidRPr="00594B71">
        <w:rPr>
          <w:rFonts w:eastAsia="Tahoma,Times New Roman" w:cs="Tahoma,Times New Roman"/>
          <w:color w:val="000000"/>
        </w:rPr>
        <w:t xml:space="preserve">). This </w:t>
      </w:r>
      <w:r>
        <w:rPr>
          <w:rFonts w:eastAsia="Tahoma,Times New Roman" w:cs="Tahoma,Times New Roman"/>
          <w:color w:val="000000"/>
        </w:rPr>
        <w:t>contradicts Cohen’s suggestion that urbanisation is a</w:t>
      </w:r>
      <w:r w:rsidR="00FD626C">
        <w:rPr>
          <w:rFonts w:eastAsia="Tahoma,Times New Roman" w:cs="Tahoma,Times New Roman"/>
          <w:color w:val="000000"/>
        </w:rPr>
        <w:t>n independent cause</w:t>
      </w:r>
      <w:r>
        <w:rPr>
          <w:rFonts w:eastAsia="Tahoma,Times New Roman" w:cs="Tahoma,Times New Roman"/>
          <w:color w:val="000000"/>
        </w:rPr>
        <w:t xml:space="preserve"> of high illic</w:t>
      </w:r>
      <w:r w:rsidR="00FF5016">
        <w:rPr>
          <w:rFonts w:eastAsia="Tahoma,Times New Roman" w:cs="Tahoma,Times New Roman"/>
          <w:color w:val="000000"/>
        </w:rPr>
        <w:t>i</w:t>
      </w:r>
      <w:r>
        <w:rPr>
          <w:rFonts w:eastAsia="Tahoma,Times New Roman" w:cs="Tahoma,Times New Roman"/>
          <w:color w:val="000000"/>
        </w:rPr>
        <w:t xml:space="preserve">t drug use. Rather, it </w:t>
      </w:r>
      <w:r w:rsidR="00857812" w:rsidRPr="00594B71">
        <w:rPr>
          <w:rFonts w:eastAsia="Tahoma,Times New Roman" w:cs="Tahoma,Times New Roman"/>
          <w:color w:val="000000"/>
        </w:rPr>
        <w:t xml:space="preserve">may </w:t>
      </w:r>
      <w:r>
        <w:rPr>
          <w:rFonts w:eastAsia="Tahoma,Times New Roman" w:cs="Tahoma,Times New Roman"/>
          <w:color w:val="000000"/>
        </w:rPr>
        <w:t xml:space="preserve">operate in combination with high income inequality </w:t>
      </w:r>
      <w:r w:rsidR="00FE7474">
        <w:rPr>
          <w:rFonts w:eastAsia="Tahoma,Times New Roman" w:cs="Tahoma,Times New Roman"/>
          <w:color w:val="000000"/>
        </w:rPr>
        <w:t>as a contingent, sufficient</w:t>
      </w:r>
      <w:r>
        <w:rPr>
          <w:rFonts w:eastAsia="Tahoma,Times New Roman" w:cs="Tahoma,Times New Roman"/>
          <w:color w:val="000000"/>
        </w:rPr>
        <w:t xml:space="preserve"> cause </w:t>
      </w:r>
      <w:r w:rsidR="00FE7474">
        <w:rPr>
          <w:rFonts w:eastAsia="Tahoma,Times New Roman" w:cs="Tahoma,Times New Roman"/>
          <w:color w:val="000000"/>
        </w:rPr>
        <w:t xml:space="preserve">of </w:t>
      </w:r>
      <w:r>
        <w:rPr>
          <w:rFonts w:eastAsia="Tahoma,Times New Roman" w:cs="Tahoma,Times New Roman"/>
          <w:color w:val="000000"/>
        </w:rPr>
        <w:t>high adolescent cannabis use</w:t>
      </w:r>
      <w:r w:rsidR="00FE7474">
        <w:rPr>
          <w:rFonts w:eastAsia="Tahoma,Times New Roman" w:cs="Tahoma,Times New Roman"/>
          <w:color w:val="000000"/>
        </w:rPr>
        <w:t>.</w:t>
      </w:r>
      <w:r w:rsidR="00857812" w:rsidRPr="00594B71">
        <w:rPr>
          <w:rFonts w:eastAsia="Tahoma,Times New Roman" w:cs="Tahoma,Times New Roman"/>
          <w:color w:val="000000"/>
        </w:rPr>
        <w:t xml:space="preserve"> </w:t>
      </w:r>
    </w:p>
    <w:p w14:paraId="33E66308" w14:textId="77777777" w:rsidR="00DB6682" w:rsidRDefault="00DB6682" w:rsidP="00744637">
      <w:pPr>
        <w:spacing w:after="0" w:line="480" w:lineRule="auto"/>
        <w:rPr>
          <w:sz w:val="24"/>
          <w:szCs w:val="24"/>
        </w:rPr>
      </w:pPr>
    </w:p>
    <w:p w14:paraId="608F0615" w14:textId="77777777" w:rsidR="005D1133" w:rsidRPr="00F073A4" w:rsidRDefault="005D1133" w:rsidP="00744637">
      <w:pPr>
        <w:spacing w:after="0" w:line="480" w:lineRule="auto"/>
        <w:rPr>
          <w:b/>
          <w:sz w:val="24"/>
          <w:szCs w:val="24"/>
        </w:rPr>
      </w:pPr>
      <w:r w:rsidRPr="00F073A4">
        <w:rPr>
          <w:b/>
        </w:rPr>
        <w:t>Conclusion</w:t>
      </w:r>
    </w:p>
    <w:p w14:paraId="7A363FF0" w14:textId="77777777" w:rsidR="001B0152" w:rsidRPr="00CF4A16" w:rsidRDefault="001B0152" w:rsidP="00744637">
      <w:pPr>
        <w:spacing w:after="0" w:line="480" w:lineRule="auto"/>
      </w:pPr>
    </w:p>
    <w:p w14:paraId="1196255B" w14:textId="77777777" w:rsidR="00CD2423" w:rsidRPr="00CF4A16" w:rsidRDefault="00DB6682" w:rsidP="00744637">
      <w:pPr>
        <w:spacing w:after="0" w:line="480" w:lineRule="auto"/>
      </w:pPr>
      <w:r>
        <w:t xml:space="preserve">This article has used QCA – more </w:t>
      </w:r>
      <w:r w:rsidR="009530D1" w:rsidRPr="00CF4A16">
        <w:t>specifically fsQCA</w:t>
      </w:r>
      <w:r>
        <w:t xml:space="preserve"> -</w:t>
      </w:r>
      <w:r w:rsidR="009530D1" w:rsidRPr="00CF4A16">
        <w:t xml:space="preserve"> to explore the link between income inequality and adolescent cannabis use in the context of other social conditions at the national level</w:t>
      </w:r>
      <w:r>
        <w:t xml:space="preserve"> in developed countries</w:t>
      </w:r>
      <w:r w:rsidR="009530D1" w:rsidRPr="00CF4A16">
        <w:t xml:space="preserve">. It has found that the </w:t>
      </w:r>
      <w:r w:rsidR="0075327B">
        <w:t xml:space="preserve">combination of </w:t>
      </w:r>
      <w:r w:rsidR="009530D1" w:rsidRPr="00CF4A16">
        <w:t xml:space="preserve">high inequality </w:t>
      </w:r>
      <w:r w:rsidR="0075327B">
        <w:t>and high urbanisation is consistent with usually being sufficient to cause high adolescent cannabis use</w:t>
      </w:r>
      <w:r w:rsidR="009530D1" w:rsidRPr="00CF4A16">
        <w:t>.</w:t>
      </w:r>
      <w:r w:rsidR="00126CBC">
        <w:t xml:space="preserve"> </w:t>
      </w:r>
      <w:r w:rsidR="0075327B">
        <w:t>This explanation covers the occurrence of this outcome in countries including Australia, Canada, France, Spain, the U</w:t>
      </w:r>
      <w:r w:rsidR="001B35B4">
        <w:t>K</w:t>
      </w:r>
      <w:r w:rsidR="0075327B">
        <w:t xml:space="preserve"> and the USA. </w:t>
      </w:r>
      <w:r>
        <w:t>However,</w:t>
      </w:r>
      <w:r w:rsidR="00CD2423" w:rsidRPr="00CF4A16">
        <w:t xml:space="preserve"> a substantial proportion of cases that had </w:t>
      </w:r>
      <w:r>
        <w:t>high adolescent cannabis use</w:t>
      </w:r>
      <w:r w:rsidR="00CD2423" w:rsidRPr="00CF4A16">
        <w:t xml:space="preserve"> did not have </w:t>
      </w:r>
      <w:r w:rsidR="00FD626C">
        <w:t>this</w:t>
      </w:r>
      <w:r w:rsidR="00CD2423" w:rsidRPr="00CF4A16">
        <w:t xml:space="preserve"> </w:t>
      </w:r>
      <w:r w:rsidR="00946A61">
        <w:t>configuration</w:t>
      </w:r>
      <w:r w:rsidR="00CD2423" w:rsidRPr="00CF4A16">
        <w:t>. This suggests that, in line with the theoretical roots of QCA, the causation of high rates of adolescent cannabis use is multiple and complex.</w:t>
      </w:r>
      <w:r w:rsidR="00473686">
        <w:t xml:space="preserve"> The social conditions included in these analyses may give us a partial explanation of why countries differ in their rates of adolescent cannabis use. More research is needed to provide a fuller explanation.</w:t>
      </w:r>
    </w:p>
    <w:p w14:paraId="2C8AB0AA" w14:textId="77777777" w:rsidR="009530D1" w:rsidRPr="00CF4A16" w:rsidRDefault="009530D1" w:rsidP="00744637">
      <w:pPr>
        <w:spacing w:after="0" w:line="480" w:lineRule="auto"/>
      </w:pPr>
    </w:p>
    <w:p w14:paraId="152D4A8B" w14:textId="77777777" w:rsidR="008B02BC" w:rsidRDefault="00126CBC" w:rsidP="00744637">
      <w:pPr>
        <w:spacing w:after="0" w:line="480" w:lineRule="auto"/>
      </w:pPr>
      <w:r>
        <w:t>The analyses presented here demonstra</w:t>
      </w:r>
      <w:r w:rsidR="00473686">
        <w:t xml:space="preserve">te the value of QCA methods in suggesting how we might </w:t>
      </w:r>
      <w:r w:rsidR="00FD626C">
        <w:t xml:space="preserve">develop an </w:t>
      </w:r>
      <w:r w:rsidR="00473686">
        <w:t>understand</w:t>
      </w:r>
      <w:r w:rsidR="00FD626C">
        <w:t>ing</w:t>
      </w:r>
      <w:r w:rsidR="00473686">
        <w:t xml:space="preserve"> </w:t>
      </w:r>
      <w:r w:rsidR="00FD626C">
        <w:t xml:space="preserve">of </w:t>
      </w:r>
      <w:r w:rsidR="00473686">
        <w:t xml:space="preserve">the </w:t>
      </w:r>
      <w:r>
        <w:t>complex causation of drug use and drug policy outcomes. If nothing else,</w:t>
      </w:r>
      <w:r w:rsidR="00946A61">
        <w:t xml:space="preserve"> it suggests that future analyst</w:t>
      </w:r>
      <w:r>
        <w:t xml:space="preserve">s of cross national differences in </w:t>
      </w:r>
      <w:r w:rsidR="00473686">
        <w:t>such</w:t>
      </w:r>
      <w:r>
        <w:t xml:space="preserve"> outcome</w:t>
      </w:r>
      <w:r w:rsidR="00473686">
        <w:t>s</w:t>
      </w:r>
      <w:r>
        <w:t xml:space="preserve"> may wish to include the combination of inequality and urbanisation as an attribute of interest.</w:t>
      </w:r>
      <w:r w:rsidR="00473686">
        <w:t xml:space="preserve"> </w:t>
      </w:r>
      <w:r>
        <w:t>T</w:t>
      </w:r>
      <w:r w:rsidR="008B02BC" w:rsidRPr="00CF4A16">
        <w:t>his article closes with an invitation to other researchers to take forward the exploration of how income inequality and other social conditions may influence national rates of</w:t>
      </w:r>
      <w:r w:rsidR="005E3121">
        <w:t xml:space="preserve"> illicit </w:t>
      </w:r>
      <w:r w:rsidR="008B02BC" w:rsidRPr="00CF4A16">
        <w:t>drug use</w:t>
      </w:r>
      <w:r w:rsidR="006F2F55">
        <w:t xml:space="preserve"> and related problems</w:t>
      </w:r>
      <w:r w:rsidR="008B02BC" w:rsidRPr="00CF4A16">
        <w:t>, and to consider QCA</w:t>
      </w:r>
      <w:r>
        <w:t xml:space="preserve"> as </w:t>
      </w:r>
      <w:r w:rsidR="00F41765">
        <w:t>a</w:t>
      </w:r>
      <w:r>
        <w:t xml:space="preserve"> tool for use in this collective task</w:t>
      </w:r>
      <w:r w:rsidR="008B02BC" w:rsidRPr="00CF4A16">
        <w:t>.</w:t>
      </w:r>
    </w:p>
    <w:p w14:paraId="578F3744" w14:textId="77777777" w:rsidR="00D028C6" w:rsidRDefault="00D028C6" w:rsidP="00744637">
      <w:pPr>
        <w:spacing w:after="0" w:line="480" w:lineRule="auto"/>
      </w:pPr>
    </w:p>
    <w:p w14:paraId="27309DDF" w14:textId="77777777" w:rsidR="00D028C6" w:rsidRDefault="00D028C6" w:rsidP="00744637">
      <w:pPr>
        <w:spacing w:after="0" w:line="480" w:lineRule="auto"/>
      </w:pPr>
      <w:r>
        <w:t>These tables do not display ‘logical remainder’ configurations; i.e. the logically possible configurations that had no actual cases in the datasets.</w:t>
      </w:r>
    </w:p>
    <w:p w14:paraId="2F8B7091" w14:textId="77777777" w:rsidR="00D028C6" w:rsidRDefault="00D028C6" w:rsidP="00744637">
      <w:pPr>
        <w:spacing w:after="0" w:line="480" w:lineRule="auto"/>
      </w:pPr>
    </w:p>
    <w:p w14:paraId="37E7EF02" w14:textId="77777777" w:rsidR="00B70DA1" w:rsidRDefault="00B70DA1" w:rsidP="00744637">
      <w:pPr>
        <w:spacing w:after="0" w:line="480" w:lineRule="auto"/>
        <w:rPr>
          <w:b/>
        </w:rPr>
      </w:pPr>
    </w:p>
    <w:p w14:paraId="0A209E57" w14:textId="77777777" w:rsidR="00D028C6" w:rsidRDefault="00D028C6" w:rsidP="00744637">
      <w:pPr>
        <w:spacing w:after="0" w:line="480" w:lineRule="auto"/>
      </w:pPr>
      <w:r>
        <w:rPr>
          <w:b/>
        </w:rPr>
        <w:t>Acknowledgements</w:t>
      </w:r>
    </w:p>
    <w:p w14:paraId="49FC5838" w14:textId="2513FAFD" w:rsidR="00D028C6" w:rsidRPr="00D028C6" w:rsidRDefault="00D028C6" w:rsidP="00744637">
      <w:pPr>
        <w:spacing w:after="0" w:line="480" w:lineRule="auto"/>
      </w:pPr>
      <w:r>
        <w:t xml:space="preserve">I would like to thank colleagues in </w:t>
      </w:r>
      <w:r w:rsidR="00D17531">
        <w:t>the International Society for the Study of Drug Policy and the European Society of Criminology</w:t>
      </w:r>
      <w:r>
        <w:t xml:space="preserve"> and two anonymous reviewers for their helpful comments on previous versions of this article.</w:t>
      </w:r>
    </w:p>
    <w:p w14:paraId="6A152E20" w14:textId="77777777" w:rsidR="008B02BC" w:rsidRPr="00CF4A16" w:rsidRDefault="008B02BC" w:rsidP="00744637">
      <w:pPr>
        <w:spacing w:after="0" w:line="480" w:lineRule="auto"/>
      </w:pPr>
    </w:p>
    <w:p w14:paraId="5C4C4DF6" w14:textId="77777777" w:rsidR="005347A7" w:rsidRPr="000E5BEB" w:rsidRDefault="005347A7" w:rsidP="00744637">
      <w:pPr>
        <w:spacing w:after="0" w:line="480" w:lineRule="auto"/>
        <w:rPr>
          <w:i/>
        </w:rPr>
      </w:pPr>
      <w:r>
        <w:rPr>
          <w:b/>
        </w:rPr>
        <w:t>References</w:t>
      </w:r>
    </w:p>
    <w:p w14:paraId="24F5E64E"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ACMD. (1998). </w:t>
      </w:r>
      <w:r w:rsidRPr="00F41765">
        <w:rPr>
          <w:rFonts w:ascii="Calibri" w:hAnsi="Calibri"/>
          <w:i/>
          <w:iCs/>
          <w:noProof/>
          <w:sz w:val="20"/>
        </w:rPr>
        <w:t>Drug Misuse and the Environment</w:t>
      </w:r>
      <w:r w:rsidRPr="00F41765">
        <w:rPr>
          <w:rFonts w:ascii="Calibri" w:hAnsi="Calibri"/>
          <w:noProof/>
          <w:sz w:val="20"/>
        </w:rPr>
        <w:t>. London: The Stationery Office.</w:t>
      </w:r>
    </w:p>
    <w:p w14:paraId="55DFB0F0"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Aldridge, J., Measham, F., &amp; Williams, L. (2011). </w:t>
      </w:r>
      <w:r w:rsidRPr="00F41765">
        <w:rPr>
          <w:rFonts w:ascii="Calibri" w:hAnsi="Calibri"/>
          <w:i/>
          <w:iCs/>
          <w:noProof/>
          <w:sz w:val="20"/>
        </w:rPr>
        <w:t>Illegal Leisure Revisited</w:t>
      </w:r>
      <w:r w:rsidRPr="00F41765">
        <w:rPr>
          <w:rFonts w:ascii="Calibri" w:hAnsi="Calibri"/>
          <w:noProof/>
          <w:sz w:val="20"/>
        </w:rPr>
        <w:t>. Abingdon: Routledge.</w:t>
      </w:r>
    </w:p>
    <w:p w14:paraId="03704F57"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Aston, E. V. (2015). Are risk factors for drug use and offending similar during the teenage years? </w:t>
      </w:r>
      <w:r w:rsidRPr="00F41765">
        <w:rPr>
          <w:rFonts w:ascii="Calibri" w:hAnsi="Calibri"/>
          <w:i/>
          <w:iCs/>
          <w:noProof/>
          <w:sz w:val="20"/>
        </w:rPr>
        <w:t>International Journal of Drug Policy</w:t>
      </w:r>
      <w:r w:rsidRPr="00F41765">
        <w:rPr>
          <w:rFonts w:ascii="Calibri" w:hAnsi="Calibri"/>
          <w:noProof/>
          <w:sz w:val="20"/>
        </w:rPr>
        <w:t xml:space="preserve">, </w:t>
      </w:r>
      <w:r w:rsidRPr="00F41765">
        <w:rPr>
          <w:rFonts w:ascii="Calibri" w:hAnsi="Calibri"/>
          <w:i/>
          <w:iCs/>
          <w:noProof/>
          <w:sz w:val="20"/>
        </w:rPr>
        <w:t>26</w:t>
      </w:r>
      <w:r w:rsidRPr="00F41765">
        <w:rPr>
          <w:rFonts w:ascii="Calibri" w:hAnsi="Calibri"/>
          <w:noProof/>
          <w:sz w:val="20"/>
        </w:rPr>
        <w:t>(4), 396–403. doi:10.1016/j.drugpo.2014.11.002</w:t>
      </w:r>
    </w:p>
    <w:p w14:paraId="29D454C0"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Bauman, Z. (2007). </w:t>
      </w:r>
      <w:r w:rsidRPr="00F41765">
        <w:rPr>
          <w:rFonts w:ascii="Calibri" w:hAnsi="Calibri"/>
          <w:i/>
          <w:iCs/>
          <w:noProof/>
          <w:sz w:val="20"/>
        </w:rPr>
        <w:t>Consuming Life</w:t>
      </w:r>
      <w:r w:rsidRPr="00F41765">
        <w:rPr>
          <w:rFonts w:ascii="Calibri" w:hAnsi="Calibri"/>
          <w:noProof/>
          <w:sz w:val="20"/>
        </w:rPr>
        <w:t>. Cambridge: Polity Press.</w:t>
      </w:r>
    </w:p>
    <w:p w14:paraId="7B2D730E"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Berridge, V. (2013). </w:t>
      </w:r>
      <w:r w:rsidRPr="007C2880">
        <w:rPr>
          <w:rFonts w:ascii="Calibri" w:hAnsi="Calibri"/>
          <w:i/>
          <w:iCs/>
          <w:noProof/>
          <w:sz w:val="20"/>
        </w:rPr>
        <w:t>Demons: Our changing attitudes to alcohol, tobacco, and drugs</w:t>
      </w:r>
      <w:r w:rsidRPr="007C2880">
        <w:rPr>
          <w:rFonts w:ascii="Calibri" w:hAnsi="Calibri"/>
          <w:noProof/>
          <w:sz w:val="20"/>
        </w:rPr>
        <w:t>. Oxford: Oxford University Press.</w:t>
      </w:r>
    </w:p>
    <w:p w14:paraId="570EA078"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Bjarnason, T., &amp; Adalbjarnardottir, S. (2000). Anonymity and confidentiality in school surveys on alcohol, tobacco, and cannabis use. </w:t>
      </w:r>
      <w:r w:rsidRPr="007C2880">
        <w:rPr>
          <w:rFonts w:ascii="Calibri" w:hAnsi="Calibri"/>
          <w:i/>
          <w:iCs/>
          <w:noProof/>
          <w:sz w:val="20"/>
        </w:rPr>
        <w:t>Journal of Drug Issues</w:t>
      </w:r>
      <w:r w:rsidRPr="007C2880">
        <w:rPr>
          <w:rFonts w:ascii="Calibri" w:hAnsi="Calibri"/>
          <w:noProof/>
          <w:sz w:val="20"/>
        </w:rPr>
        <w:t xml:space="preserve">, </w:t>
      </w:r>
      <w:r w:rsidRPr="007C2880">
        <w:rPr>
          <w:rFonts w:ascii="Calibri" w:hAnsi="Calibri"/>
          <w:i/>
          <w:iCs/>
          <w:noProof/>
          <w:sz w:val="20"/>
        </w:rPr>
        <w:t>30</w:t>
      </w:r>
      <w:r w:rsidRPr="007C2880">
        <w:rPr>
          <w:rFonts w:ascii="Calibri" w:hAnsi="Calibri"/>
          <w:noProof/>
          <w:sz w:val="20"/>
        </w:rPr>
        <w:t>(2), 335–344.</w:t>
      </w:r>
    </w:p>
    <w:p w14:paraId="4457D31E"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Bourgois, P. (1996). </w:t>
      </w:r>
      <w:r w:rsidRPr="00F41765">
        <w:rPr>
          <w:rFonts w:ascii="Calibri" w:hAnsi="Calibri"/>
          <w:i/>
          <w:iCs/>
          <w:noProof/>
          <w:sz w:val="20"/>
        </w:rPr>
        <w:t>In Search of Respect: Selling Crack in El Barrio</w:t>
      </w:r>
      <w:r w:rsidRPr="00F41765">
        <w:rPr>
          <w:rFonts w:ascii="Calibri" w:hAnsi="Calibri"/>
          <w:noProof/>
          <w:sz w:val="20"/>
        </w:rPr>
        <w:t>. Cambridge: Cambridge University Press.</w:t>
      </w:r>
    </w:p>
    <w:p w14:paraId="65217001"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Carnoy, M. (2015). </w:t>
      </w:r>
      <w:r w:rsidRPr="00F41765">
        <w:rPr>
          <w:rFonts w:ascii="Calibri" w:hAnsi="Calibri"/>
          <w:i/>
          <w:iCs/>
          <w:noProof/>
          <w:sz w:val="20"/>
        </w:rPr>
        <w:t>International Test Score Comparisons and Educational Policy: A Review of the Critiques</w:t>
      </w:r>
      <w:r w:rsidRPr="00F41765">
        <w:rPr>
          <w:rFonts w:ascii="Calibri" w:hAnsi="Calibri"/>
          <w:noProof/>
          <w:sz w:val="20"/>
        </w:rPr>
        <w:t>. Boulder, CO: National Education Policy Center. Retrieved from http://nepc.colorado.edu/files/pb_carnoy_international_test_scores_0.pdf</w:t>
      </w:r>
    </w:p>
    <w:p w14:paraId="60DEB25A"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Catalano, R. F., &amp; Hawkins, J. D. (1996). The social development model: A theory of antisocial behavior. In J. D. Hawkins (Ed.), </w:t>
      </w:r>
      <w:r w:rsidRPr="00F41765">
        <w:rPr>
          <w:rFonts w:ascii="Calibri" w:hAnsi="Calibri"/>
          <w:i/>
          <w:iCs/>
          <w:noProof/>
          <w:sz w:val="20"/>
        </w:rPr>
        <w:t>Delinquency and crime: Current theories</w:t>
      </w:r>
      <w:r w:rsidRPr="00F41765">
        <w:rPr>
          <w:rFonts w:ascii="Calibri" w:hAnsi="Calibri"/>
          <w:noProof/>
          <w:sz w:val="20"/>
        </w:rPr>
        <w:t xml:space="preserve"> (pp. 149–197). Cambridge: Cambridge University Press.</w:t>
      </w:r>
    </w:p>
    <w:p w14:paraId="5B0513C2"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Chowdry, H., Crawford, C., &amp; Goodman, A. (2009). </w:t>
      </w:r>
      <w:r w:rsidRPr="00F41765">
        <w:rPr>
          <w:rFonts w:ascii="Calibri" w:hAnsi="Calibri"/>
          <w:i/>
          <w:iCs/>
          <w:noProof/>
          <w:sz w:val="20"/>
        </w:rPr>
        <w:t>Drivers and Barriers to Educational Success: Evidence from the Longitudinal Study of Young People in England</w:t>
      </w:r>
      <w:r w:rsidRPr="00F41765">
        <w:rPr>
          <w:rFonts w:ascii="Calibri" w:hAnsi="Calibri"/>
          <w:noProof/>
          <w:sz w:val="20"/>
        </w:rPr>
        <w:t xml:space="preserve">. London: The Institute for Fiscal Studies. </w:t>
      </w:r>
    </w:p>
    <w:p w14:paraId="3CD53E8F" w14:textId="77777777" w:rsidR="00A10607"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Cohen, P. (2006). Looking at the UN, smelling a rat. A comment on “Sweden”s succesful drug policy: a review of the evidence’ UNODC September 2006. Amsterdam: CEDRO, University of Amsterdam. </w:t>
      </w:r>
    </w:p>
    <w:p w14:paraId="5B0E2635" w14:textId="77777777" w:rsidR="00A10607"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Des Jarlais, D. (2015). Drug use data, drug use theories and drug use policies in the United States: a combinatorial lack of connections. </w:t>
      </w:r>
      <w:r w:rsidRPr="007C2880">
        <w:rPr>
          <w:rFonts w:ascii="Calibri" w:hAnsi="Calibri"/>
          <w:i/>
          <w:iCs/>
          <w:noProof/>
          <w:sz w:val="20"/>
        </w:rPr>
        <w:t>Addiction</w:t>
      </w:r>
      <w:r w:rsidRPr="007C2880">
        <w:rPr>
          <w:rFonts w:ascii="Calibri" w:hAnsi="Calibri"/>
          <w:noProof/>
          <w:sz w:val="20"/>
        </w:rPr>
        <w:t xml:space="preserve">, </w:t>
      </w:r>
      <w:r w:rsidRPr="007C2880">
        <w:rPr>
          <w:rFonts w:ascii="Calibri" w:hAnsi="Calibri"/>
          <w:i/>
          <w:iCs/>
          <w:noProof/>
          <w:sz w:val="20"/>
        </w:rPr>
        <w:t>110</w:t>
      </w:r>
      <w:r w:rsidRPr="007C2880">
        <w:rPr>
          <w:rFonts w:ascii="Calibri" w:hAnsi="Calibri"/>
          <w:noProof/>
          <w:sz w:val="20"/>
        </w:rPr>
        <w:t xml:space="preserve">(5), 739–740. </w:t>
      </w:r>
    </w:p>
    <w:p w14:paraId="78ABFFE8" w14:textId="77777777" w:rsidR="00A10607"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Di Forti, M., Marconi, A., Carra, E., Fraietta, S., Trotta, A., Bonomo, M., … Murray, R. M. (2015). Proportion of patients in south London with first-episode psychosis attributable to use of high potency cannabis: a case-control study. </w:t>
      </w:r>
      <w:r w:rsidRPr="007C2880">
        <w:rPr>
          <w:rFonts w:ascii="Calibri" w:hAnsi="Calibri"/>
          <w:i/>
          <w:iCs/>
          <w:noProof/>
          <w:sz w:val="20"/>
        </w:rPr>
        <w:t>The Lancet Psychiatry</w:t>
      </w:r>
      <w:r w:rsidRPr="007C2880">
        <w:rPr>
          <w:rFonts w:ascii="Calibri" w:hAnsi="Calibri"/>
          <w:noProof/>
          <w:sz w:val="20"/>
        </w:rPr>
        <w:t xml:space="preserve">, </w:t>
      </w:r>
      <w:r w:rsidRPr="007C2880">
        <w:rPr>
          <w:rFonts w:ascii="Calibri" w:hAnsi="Calibri"/>
          <w:i/>
          <w:iCs/>
          <w:noProof/>
          <w:sz w:val="20"/>
        </w:rPr>
        <w:t>2</w:t>
      </w:r>
      <w:r w:rsidRPr="007C2880">
        <w:rPr>
          <w:rFonts w:ascii="Calibri" w:hAnsi="Calibri"/>
          <w:noProof/>
          <w:sz w:val="20"/>
        </w:rPr>
        <w:t xml:space="preserve">(3), 233–238. </w:t>
      </w:r>
    </w:p>
    <w:p w14:paraId="12E6C6A1" w14:textId="77777777" w:rsidR="00A10607"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Dupré, J., &amp; Cartwright, N. (1988). Probability and Causality: Why Hume and Indeterminism Don’t Mix. </w:t>
      </w:r>
      <w:r w:rsidRPr="007C2880">
        <w:rPr>
          <w:rFonts w:ascii="Calibri" w:hAnsi="Calibri"/>
          <w:i/>
          <w:iCs/>
          <w:noProof/>
          <w:sz w:val="20"/>
        </w:rPr>
        <w:t>Noûs</w:t>
      </w:r>
      <w:r w:rsidRPr="007C2880">
        <w:rPr>
          <w:rFonts w:ascii="Calibri" w:hAnsi="Calibri"/>
          <w:noProof/>
          <w:sz w:val="20"/>
        </w:rPr>
        <w:t xml:space="preserve">, </w:t>
      </w:r>
      <w:r w:rsidRPr="007C2880">
        <w:rPr>
          <w:rFonts w:ascii="Calibri" w:hAnsi="Calibri"/>
          <w:i/>
          <w:iCs/>
          <w:noProof/>
          <w:sz w:val="20"/>
        </w:rPr>
        <w:t>22</w:t>
      </w:r>
      <w:r w:rsidRPr="007C2880">
        <w:rPr>
          <w:rFonts w:ascii="Calibri" w:hAnsi="Calibri"/>
          <w:noProof/>
          <w:sz w:val="20"/>
        </w:rPr>
        <w:t>(4), 521–536.</w:t>
      </w:r>
    </w:p>
    <w:p w14:paraId="1CF36BE5" w14:textId="77777777" w:rsidR="00A10607" w:rsidRPr="007C2880" w:rsidRDefault="00F65D49" w:rsidP="00BC6747">
      <w:pPr>
        <w:pStyle w:val="NormalWeb"/>
        <w:spacing w:before="120" w:beforeAutospacing="0" w:after="0" w:afterAutospacing="0"/>
        <w:divId w:val="960499731"/>
        <w:rPr>
          <w:rFonts w:ascii="Calibri" w:hAnsi="Calibri"/>
          <w:noProof/>
          <w:sz w:val="20"/>
        </w:rPr>
      </w:pPr>
      <w:r>
        <w:rPr>
          <w:rFonts w:ascii="Calibri" w:hAnsi="Calibri"/>
          <w:noProof/>
          <w:sz w:val="20"/>
        </w:rPr>
        <w:t>Duşa</w:t>
      </w:r>
      <w:r w:rsidR="00A10607" w:rsidRPr="007C2880">
        <w:rPr>
          <w:rFonts w:ascii="Calibri" w:hAnsi="Calibri"/>
          <w:noProof/>
          <w:sz w:val="20"/>
        </w:rPr>
        <w:t>, A., &amp; Thiem, A. (2014). Qualitative Comparative Analysis. R Package Version 1.1-4. Retrieved June 23, 2015, from http://cran.r-project.org/package=QCA</w:t>
      </w:r>
    </w:p>
    <w:p w14:paraId="550C2CB3"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Esping-Anderson, G. (1990). </w:t>
      </w:r>
      <w:r w:rsidRPr="007C2880">
        <w:rPr>
          <w:rFonts w:ascii="Calibri" w:hAnsi="Calibri"/>
          <w:i/>
          <w:iCs/>
          <w:noProof/>
          <w:sz w:val="20"/>
        </w:rPr>
        <w:t>The Three Worlds of Welfare Capitalism</w:t>
      </w:r>
      <w:r w:rsidRPr="007C2880">
        <w:rPr>
          <w:rFonts w:ascii="Calibri" w:hAnsi="Calibri"/>
          <w:noProof/>
          <w:sz w:val="20"/>
        </w:rPr>
        <w:t>. Princeton: Princeton University Press.</w:t>
      </w:r>
    </w:p>
    <w:p w14:paraId="46A9F234"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Faupel, C. E., Horowitz, A. M., &amp; Weaver, G. (2004). </w:t>
      </w:r>
      <w:r w:rsidRPr="00F41765">
        <w:rPr>
          <w:rFonts w:ascii="Calibri" w:hAnsi="Calibri"/>
          <w:i/>
          <w:iCs/>
          <w:noProof/>
          <w:sz w:val="20"/>
        </w:rPr>
        <w:t>The Sociology of American Drug Use</w:t>
      </w:r>
      <w:r w:rsidRPr="00F41765">
        <w:rPr>
          <w:rFonts w:ascii="Calibri" w:hAnsi="Calibri"/>
          <w:noProof/>
          <w:sz w:val="20"/>
        </w:rPr>
        <w:t>. New York: McGraw-Hill.</w:t>
      </w:r>
    </w:p>
    <w:p w14:paraId="48A95EB4"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Faupel, C. E., Horowitz, A. M., &amp; Weaver, G. (2004). </w:t>
      </w:r>
      <w:r w:rsidRPr="007C2880">
        <w:rPr>
          <w:rFonts w:ascii="Calibri" w:hAnsi="Calibri"/>
          <w:i/>
          <w:iCs/>
          <w:noProof/>
          <w:sz w:val="20"/>
        </w:rPr>
        <w:t>The Sociology of American Drug Use</w:t>
      </w:r>
      <w:r w:rsidRPr="007C2880">
        <w:rPr>
          <w:rFonts w:ascii="Calibri" w:hAnsi="Calibri"/>
          <w:noProof/>
          <w:sz w:val="20"/>
        </w:rPr>
        <w:t>. New York: McGraw-Hill.</w:t>
      </w:r>
    </w:p>
    <w:p w14:paraId="4F349BC4"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García-Castro, R., &amp; Arino, M. a. (2013). A General Approach to Panel Data Set-Theoretic Research. COMPASSS Working Paper 2013-76. Retrieved from http://www.compasss.org/wpseries/GarciaCastroArino2013.pdf</w:t>
      </w:r>
    </w:p>
    <w:p w14:paraId="0F495F15"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Giddens, A. (1984). </w:t>
      </w:r>
      <w:r w:rsidRPr="00F41765">
        <w:rPr>
          <w:rFonts w:ascii="Calibri" w:hAnsi="Calibri"/>
          <w:i/>
          <w:iCs/>
          <w:noProof/>
          <w:sz w:val="20"/>
        </w:rPr>
        <w:t>The Constitution of Society: Outline of the Theory of Structuration</w:t>
      </w:r>
      <w:r w:rsidRPr="00F41765">
        <w:rPr>
          <w:rFonts w:ascii="Calibri" w:hAnsi="Calibri"/>
          <w:noProof/>
          <w:sz w:val="20"/>
        </w:rPr>
        <w:t>. Cambridge: Polity Press.</w:t>
      </w:r>
    </w:p>
    <w:p w14:paraId="2FC18E89"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Hall, W. (2015). What has research over the past two decades revealed about the adverse health effects of recreational cannabis use? </w:t>
      </w:r>
      <w:r w:rsidRPr="007C2880">
        <w:rPr>
          <w:rFonts w:ascii="Calibri" w:hAnsi="Calibri"/>
          <w:i/>
          <w:iCs/>
          <w:noProof/>
          <w:sz w:val="20"/>
        </w:rPr>
        <w:t>Addiction</w:t>
      </w:r>
      <w:r w:rsidRPr="007C2880">
        <w:rPr>
          <w:rFonts w:ascii="Calibri" w:hAnsi="Calibri"/>
          <w:noProof/>
          <w:sz w:val="20"/>
        </w:rPr>
        <w:t xml:space="preserve">, </w:t>
      </w:r>
      <w:r w:rsidRPr="007C2880">
        <w:rPr>
          <w:rFonts w:ascii="Calibri" w:hAnsi="Calibri"/>
          <w:i/>
          <w:iCs/>
          <w:noProof/>
          <w:sz w:val="20"/>
        </w:rPr>
        <w:t>110</w:t>
      </w:r>
      <w:r w:rsidRPr="007C2880">
        <w:rPr>
          <w:rFonts w:ascii="Calibri" w:hAnsi="Calibri"/>
          <w:noProof/>
          <w:sz w:val="20"/>
        </w:rPr>
        <w:t xml:space="preserve">(1), 19–35. </w:t>
      </w:r>
    </w:p>
    <w:p w14:paraId="7ECFB457"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HBSC Network. (2014). Health Behaviour is School-Aged Children (HBSC): Terms of Reference. Retrieved June 18, 2015, from http://www.hbsc.org/about/HBSC ToR.pdf</w:t>
      </w:r>
    </w:p>
    <w:p w14:paraId="7F9ACC3D"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Hibell, B. (2014). </w:t>
      </w:r>
      <w:r w:rsidRPr="007C2880">
        <w:rPr>
          <w:rFonts w:ascii="Calibri" w:hAnsi="Calibri"/>
          <w:i/>
          <w:iCs/>
          <w:noProof/>
          <w:sz w:val="20"/>
        </w:rPr>
        <w:t>Overview of the ESPAD Project: Background, Methodology and Organisation</w:t>
      </w:r>
      <w:r w:rsidRPr="007C2880">
        <w:rPr>
          <w:rFonts w:ascii="Calibri" w:hAnsi="Calibri"/>
          <w:noProof/>
          <w:sz w:val="20"/>
        </w:rPr>
        <w:t xml:space="preserve">. Stockholm: Swedish Council for Information on Alcohol and other Drugs (CAN). Retrieved </w:t>
      </w:r>
      <w:r>
        <w:rPr>
          <w:rFonts w:ascii="Calibri" w:hAnsi="Calibri"/>
          <w:noProof/>
          <w:sz w:val="20"/>
        </w:rPr>
        <w:t xml:space="preserve">June 18, 2015, </w:t>
      </w:r>
      <w:r w:rsidRPr="007C2880">
        <w:rPr>
          <w:rFonts w:ascii="Calibri" w:hAnsi="Calibri"/>
          <w:noProof/>
          <w:sz w:val="20"/>
        </w:rPr>
        <w:t>from http://www.espad.org/Uploads/Documents/2. Overview of the ESPAD Project.pdf</w:t>
      </w:r>
    </w:p>
    <w:p w14:paraId="5F4E097F"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Hibell, B., Guttormsson, U., Ahlström, S., Balakireva, O., Bjarnason, T., Kokkevi, A., &amp; Kraus, L. (2012). </w:t>
      </w:r>
      <w:r w:rsidRPr="007C2880">
        <w:rPr>
          <w:rFonts w:ascii="Calibri" w:hAnsi="Calibri"/>
          <w:i/>
          <w:iCs/>
          <w:noProof/>
          <w:sz w:val="20"/>
        </w:rPr>
        <w:t>The 2011 ESPAD Report: Substance Use Among Students in 36 European Countries</w:t>
      </w:r>
      <w:r w:rsidRPr="007C2880">
        <w:rPr>
          <w:rFonts w:ascii="Calibri" w:hAnsi="Calibri"/>
          <w:noProof/>
          <w:sz w:val="20"/>
        </w:rPr>
        <w:t xml:space="preserve">. </w:t>
      </w:r>
      <w:r w:rsidRPr="007C2880">
        <w:rPr>
          <w:rFonts w:ascii="Calibri" w:hAnsi="Calibri"/>
          <w:i/>
          <w:iCs/>
          <w:noProof/>
          <w:sz w:val="20"/>
        </w:rPr>
        <w:t>… Use Among Students …</w:t>
      </w:r>
      <w:r w:rsidRPr="007C2880">
        <w:rPr>
          <w:rFonts w:ascii="Calibri" w:hAnsi="Calibri"/>
          <w:noProof/>
          <w:sz w:val="20"/>
        </w:rPr>
        <w:t xml:space="preserve"> (p. 394). Retrieved </w:t>
      </w:r>
      <w:r>
        <w:rPr>
          <w:rFonts w:ascii="Calibri" w:hAnsi="Calibri"/>
          <w:noProof/>
          <w:sz w:val="20"/>
        </w:rPr>
        <w:t xml:space="preserve">June 18, 2015, </w:t>
      </w:r>
      <w:r w:rsidRPr="007C2880">
        <w:rPr>
          <w:rFonts w:ascii="Calibri" w:hAnsi="Calibri"/>
          <w:noProof/>
          <w:sz w:val="20"/>
        </w:rPr>
        <w:t>from http://alcoholireland.ie/download/reports/alcohol_health/children_young_people/the-2011-espad_report.pdf</w:t>
      </w:r>
    </w:p>
    <w:p w14:paraId="28DCBB70"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Hino, A. (2009). Time-Series QCA. Studying Temporal Change through Boolean Analysis. </w:t>
      </w:r>
      <w:r w:rsidRPr="00F41765">
        <w:rPr>
          <w:rFonts w:ascii="Calibri" w:hAnsi="Calibri"/>
          <w:i/>
          <w:iCs/>
          <w:noProof/>
          <w:sz w:val="20"/>
        </w:rPr>
        <w:t>Sociological Theory and Methods</w:t>
      </w:r>
      <w:r w:rsidRPr="00F41765">
        <w:rPr>
          <w:rFonts w:ascii="Calibri" w:hAnsi="Calibri"/>
          <w:noProof/>
          <w:sz w:val="20"/>
        </w:rPr>
        <w:t xml:space="preserve">, </w:t>
      </w:r>
      <w:r w:rsidRPr="00F41765">
        <w:rPr>
          <w:rFonts w:ascii="Calibri" w:hAnsi="Calibri"/>
          <w:i/>
          <w:iCs/>
          <w:noProof/>
          <w:sz w:val="20"/>
        </w:rPr>
        <w:t>24</w:t>
      </w:r>
      <w:r w:rsidRPr="00F41765">
        <w:rPr>
          <w:rFonts w:ascii="Calibri" w:hAnsi="Calibri"/>
          <w:noProof/>
          <w:sz w:val="20"/>
        </w:rPr>
        <w:t xml:space="preserve">(2), 247–265. </w:t>
      </w:r>
    </w:p>
    <w:p w14:paraId="002A4C31"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Humensky, J. L. (2010). Are adolescents with high socioeconomic status more likely to engage in alcohol and illicit drug use in early adulthood? </w:t>
      </w:r>
      <w:r w:rsidRPr="00F41765">
        <w:rPr>
          <w:rFonts w:ascii="Calibri" w:hAnsi="Calibri"/>
          <w:i/>
          <w:iCs/>
          <w:noProof/>
          <w:sz w:val="20"/>
        </w:rPr>
        <w:t>Substance Abuse Treatment, Prevention, and Policy</w:t>
      </w:r>
      <w:r w:rsidRPr="00F41765">
        <w:rPr>
          <w:rFonts w:ascii="Calibri" w:hAnsi="Calibri"/>
          <w:noProof/>
          <w:sz w:val="20"/>
        </w:rPr>
        <w:t xml:space="preserve">, </w:t>
      </w:r>
      <w:r w:rsidRPr="00F41765">
        <w:rPr>
          <w:rFonts w:ascii="Calibri" w:hAnsi="Calibri"/>
          <w:i/>
          <w:iCs/>
          <w:noProof/>
          <w:sz w:val="20"/>
        </w:rPr>
        <w:t>5</w:t>
      </w:r>
      <w:r w:rsidRPr="00F41765">
        <w:rPr>
          <w:rFonts w:ascii="Calibri" w:hAnsi="Calibri"/>
          <w:noProof/>
          <w:sz w:val="20"/>
        </w:rPr>
        <w:t xml:space="preserve">(19), </w:t>
      </w:r>
    </w:p>
    <w:p w14:paraId="3D654820"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Karstedt, S. (2001). Comparing cultures, comparing crime: Challenges, prospects and problems for a global criminology. </w:t>
      </w:r>
      <w:r w:rsidRPr="007C2880">
        <w:rPr>
          <w:rFonts w:ascii="Calibri" w:hAnsi="Calibri"/>
          <w:i/>
          <w:iCs/>
          <w:noProof/>
          <w:sz w:val="20"/>
        </w:rPr>
        <w:t>Crime, Law and Social Change</w:t>
      </w:r>
      <w:r w:rsidRPr="007C2880">
        <w:rPr>
          <w:rFonts w:ascii="Calibri" w:hAnsi="Calibri"/>
          <w:noProof/>
          <w:sz w:val="20"/>
        </w:rPr>
        <w:t xml:space="preserve">, </w:t>
      </w:r>
      <w:r w:rsidRPr="007C2880">
        <w:rPr>
          <w:rFonts w:ascii="Calibri" w:hAnsi="Calibri"/>
          <w:i/>
          <w:iCs/>
          <w:noProof/>
          <w:sz w:val="20"/>
        </w:rPr>
        <w:t>36</w:t>
      </w:r>
      <w:r w:rsidRPr="007C2880">
        <w:rPr>
          <w:rFonts w:ascii="Calibri" w:hAnsi="Calibri"/>
          <w:noProof/>
          <w:sz w:val="20"/>
        </w:rPr>
        <w:t xml:space="preserve">, 285–308. </w:t>
      </w:r>
    </w:p>
    <w:p w14:paraId="5BF0B75E"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Killias, M., Aebi, M. F., Cavarlay, B. A. de, Barclay, G., Gruszczyńska, B., Harrendorf, S., … Jaquier, V. (2010). </w:t>
      </w:r>
      <w:r w:rsidRPr="00F41765">
        <w:rPr>
          <w:rFonts w:ascii="Calibri" w:hAnsi="Calibri"/>
          <w:i/>
          <w:iCs/>
          <w:noProof/>
          <w:sz w:val="20"/>
        </w:rPr>
        <w:t>European Sourcebook of Crime and Criminal Justice Statistics – 2010. Fourth edition</w:t>
      </w:r>
      <w:r w:rsidRPr="00F41765">
        <w:rPr>
          <w:rFonts w:ascii="Calibri" w:hAnsi="Calibri"/>
          <w:noProof/>
          <w:sz w:val="20"/>
        </w:rPr>
        <w:t xml:space="preserve">. The Hague: Ministry of Justice, Research and Documentation Centre (WODC). </w:t>
      </w:r>
    </w:p>
    <w:p w14:paraId="28A19C89"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Kilmer, B., Reuter, P., &amp; Giommoni, L. (2015). What can be learned from cross-national comparisons of data on illegal drugs? In M. Tonry (Ed.), </w:t>
      </w:r>
      <w:r w:rsidRPr="007C2880">
        <w:rPr>
          <w:rFonts w:ascii="Calibri" w:hAnsi="Calibri"/>
          <w:i/>
          <w:iCs/>
          <w:noProof/>
          <w:sz w:val="20"/>
        </w:rPr>
        <w:t>Crime and Justice, Volume 44</w:t>
      </w:r>
      <w:r w:rsidRPr="007C2880">
        <w:rPr>
          <w:rFonts w:ascii="Calibri" w:hAnsi="Calibri"/>
          <w:noProof/>
          <w:sz w:val="20"/>
        </w:rPr>
        <w:t>. Chicago: University of Chicago Press.</w:t>
      </w:r>
    </w:p>
    <w:p w14:paraId="7B6629A0"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Kohn, M. (2001). </w:t>
      </w:r>
      <w:r w:rsidRPr="007C2880">
        <w:rPr>
          <w:rFonts w:ascii="Calibri" w:hAnsi="Calibri"/>
          <w:i/>
          <w:iCs/>
          <w:noProof/>
          <w:sz w:val="20"/>
        </w:rPr>
        <w:t>Dope Girls: The Birth of the British Drug Underground</w:t>
      </w:r>
      <w:r w:rsidRPr="007C2880">
        <w:rPr>
          <w:rFonts w:ascii="Calibri" w:hAnsi="Calibri"/>
          <w:noProof/>
          <w:sz w:val="20"/>
        </w:rPr>
        <w:t>. London: Granta Books.</w:t>
      </w:r>
    </w:p>
    <w:p w14:paraId="4E29508A" w14:textId="77777777" w:rsidR="00A10607"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Krogslund, C., Choi, D. D., &amp; Poertner, M. (2015). Fuzzy Sets on Shaky Ground: Parametric and Specification Sensitivity in fsQCA,</w:t>
      </w:r>
      <w:r>
        <w:rPr>
          <w:rFonts w:ascii="Calibri" w:hAnsi="Calibri"/>
          <w:noProof/>
          <w:sz w:val="20"/>
        </w:rPr>
        <w:t xml:space="preserve"> </w:t>
      </w:r>
      <w:r>
        <w:rPr>
          <w:rFonts w:ascii="Calibri" w:hAnsi="Calibri"/>
          <w:i/>
          <w:noProof/>
          <w:sz w:val="20"/>
        </w:rPr>
        <w:t>Political Analysis, 23</w:t>
      </w:r>
      <w:r>
        <w:rPr>
          <w:rFonts w:ascii="Calibri" w:hAnsi="Calibri"/>
          <w:noProof/>
          <w:sz w:val="20"/>
        </w:rPr>
        <w:t>(1), 21–41.</w:t>
      </w:r>
    </w:p>
    <w:p w14:paraId="4E00EEAE"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Lederbogen, F., Kirsch, P., Haddad, L., Streit, F., Tost, H., Schuch, P., … Meyer-Lindenberg, A. (2011). City living and urban upbringing affect neural social stress processing in humans. </w:t>
      </w:r>
      <w:r w:rsidRPr="007C2880">
        <w:rPr>
          <w:rFonts w:ascii="Calibri" w:hAnsi="Calibri"/>
          <w:i/>
          <w:iCs/>
          <w:noProof/>
          <w:sz w:val="20"/>
        </w:rPr>
        <w:t>Nature</w:t>
      </w:r>
      <w:r w:rsidRPr="007C2880">
        <w:rPr>
          <w:rFonts w:ascii="Calibri" w:hAnsi="Calibri"/>
          <w:noProof/>
          <w:sz w:val="20"/>
        </w:rPr>
        <w:t xml:space="preserve">, </w:t>
      </w:r>
      <w:r w:rsidRPr="007C2880">
        <w:rPr>
          <w:rFonts w:ascii="Calibri" w:hAnsi="Calibri"/>
          <w:i/>
          <w:iCs/>
          <w:noProof/>
          <w:sz w:val="20"/>
        </w:rPr>
        <w:t>474</w:t>
      </w:r>
      <w:r w:rsidRPr="007C2880">
        <w:rPr>
          <w:rFonts w:ascii="Calibri" w:hAnsi="Calibri"/>
          <w:noProof/>
          <w:sz w:val="20"/>
        </w:rPr>
        <w:t xml:space="preserve">(7352), 498–501. </w:t>
      </w:r>
    </w:p>
    <w:p w14:paraId="57105A4A"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Legleye, S., Janssen, E., Beck, F., Chau, N., &amp; Khlat, M. (2011). Social gradient in initiation and transition to daily use of tobacco and cannabis during adolescence: a retrospective cohort study. </w:t>
      </w:r>
      <w:r w:rsidRPr="00F41765">
        <w:rPr>
          <w:rFonts w:ascii="Calibri" w:hAnsi="Calibri"/>
          <w:i/>
          <w:iCs/>
          <w:noProof/>
          <w:sz w:val="20"/>
        </w:rPr>
        <w:t>Addiction</w:t>
      </w:r>
      <w:r w:rsidRPr="00F41765">
        <w:rPr>
          <w:rFonts w:ascii="Calibri" w:hAnsi="Calibri"/>
          <w:noProof/>
          <w:sz w:val="20"/>
        </w:rPr>
        <w:t xml:space="preserve">, </w:t>
      </w:r>
      <w:r w:rsidRPr="00F41765">
        <w:rPr>
          <w:rFonts w:ascii="Calibri" w:hAnsi="Calibri"/>
          <w:i/>
          <w:iCs/>
          <w:noProof/>
          <w:sz w:val="20"/>
        </w:rPr>
        <w:t>106</w:t>
      </w:r>
      <w:r w:rsidRPr="00F41765">
        <w:rPr>
          <w:rFonts w:ascii="Calibri" w:hAnsi="Calibri"/>
          <w:noProof/>
          <w:sz w:val="20"/>
        </w:rPr>
        <w:t xml:space="preserve">(8), 1520–1531. </w:t>
      </w:r>
    </w:p>
    <w:p w14:paraId="628A1AB6"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Malinvaud, E. (1989). Observation in macroeconomic theory building. </w:t>
      </w:r>
      <w:r w:rsidRPr="007C2880">
        <w:rPr>
          <w:rFonts w:ascii="Calibri" w:hAnsi="Calibri"/>
          <w:i/>
          <w:iCs/>
          <w:noProof/>
          <w:sz w:val="20"/>
        </w:rPr>
        <w:t>European Economic Review</w:t>
      </w:r>
      <w:r w:rsidRPr="007C2880">
        <w:rPr>
          <w:rFonts w:ascii="Calibri" w:hAnsi="Calibri"/>
          <w:noProof/>
          <w:sz w:val="20"/>
        </w:rPr>
        <w:t xml:space="preserve">, </w:t>
      </w:r>
      <w:r w:rsidRPr="007C2880">
        <w:rPr>
          <w:rFonts w:ascii="Calibri" w:hAnsi="Calibri"/>
          <w:i/>
          <w:iCs/>
          <w:noProof/>
          <w:sz w:val="20"/>
        </w:rPr>
        <w:t>33</w:t>
      </w:r>
      <w:r w:rsidRPr="007C2880">
        <w:rPr>
          <w:rFonts w:ascii="Calibri" w:hAnsi="Calibri"/>
          <w:noProof/>
          <w:sz w:val="20"/>
        </w:rPr>
        <w:t xml:space="preserve">(2-3), 205–223. </w:t>
      </w:r>
    </w:p>
    <w:p w14:paraId="792E3A9C"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Marx, A. (2010). Crisp-set qua</w:t>
      </w:r>
      <w:r>
        <w:rPr>
          <w:rFonts w:ascii="Calibri" w:hAnsi="Calibri"/>
          <w:noProof/>
          <w:sz w:val="20"/>
        </w:rPr>
        <w:t>litative comparative analysis (</w:t>
      </w:r>
      <w:r w:rsidRPr="007C2880">
        <w:rPr>
          <w:rFonts w:ascii="Calibri" w:hAnsi="Calibri"/>
          <w:noProof/>
          <w:sz w:val="20"/>
        </w:rPr>
        <w:t>csQCA</w:t>
      </w:r>
      <w:r>
        <w:rPr>
          <w:rFonts w:ascii="Calibri" w:hAnsi="Calibri"/>
          <w:noProof/>
          <w:sz w:val="20"/>
        </w:rPr>
        <w:t>) and model specifi cation</w:t>
      </w:r>
      <w:r w:rsidRPr="007C2880">
        <w:rPr>
          <w:rFonts w:ascii="Calibri" w:hAnsi="Calibri"/>
          <w:noProof/>
          <w:sz w:val="20"/>
        </w:rPr>
        <w:t xml:space="preserve">: Benchmarks for future csQCA applications. </w:t>
      </w:r>
      <w:r w:rsidRPr="007C2880">
        <w:rPr>
          <w:rFonts w:ascii="Calibri" w:hAnsi="Calibri"/>
          <w:i/>
          <w:iCs/>
          <w:noProof/>
          <w:sz w:val="20"/>
        </w:rPr>
        <w:t>International Journal of Mixed Methods Research</w:t>
      </w:r>
      <w:r w:rsidRPr="007C2880">
        <w:rPr>
          <w:rFonts w:ascii="Calibri" w:hAnsi="Calibri"/>
          <w:noProof/>
          <w:sz w:val="20"/>
        </w:rPr>
        <w:t xml:space="preserve">, </w:t>
      </w:r>
      <w:r w:rsidRPr="007C2880">
        <w:rPr>
          <w:rFonts w:ascii="Calibri" w:hAnsi="Calibri"/>
          <w:i/>
          <w:iCs/>
          <w:noProof/>
          <w:sz w:val="20"/>
        </w:rPr>
        <w:t>4</w:t>
      </w:r>
      <w:r w:rsidRPr="007C2880">
        <w:rPr>
          <w:rFonts w:ascii="Calibri" w:hAnsi="Calibri"/>
          <w:noProof/>
          <w:sz w:val="20"/>
        </w:rPr>
        <w:t>(2), 138–158.</w:t>
      </w:r>
    </w:p>
    <w:p w14:paraId="018CE86C"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Marx, A., Cambré, B., &amp; Rihoux, B. (2013). Crisp-Set Qualitative Comparative Analysis In Organizational Studies. </w:t>
      </w:r>
      <w:r w:rsidRPr="007C2880">
        <w:rPr>
          <w:rFonts w:ascii="Calibri" w:hAnsi="Calibri"/>
          <w:i/>
          <w:iCs/>
          <w:noProof/>
          <w:sz w:val="20"/>
        </w:rPr>
        <w:t>Configurational Theory and Methods in Organizational Research. Research in the Sociology of Organizations, 38</w:t>
      </w:r>
      <w:r w:rsidRPr="007C2880">
        <w:rPr>
          <w:rFonts w:ascii="Calibri" w:hAnsi="Calibri"/>
          <w:noProof/>
          <w:sz w:val="20"/>
        </w:rPr>
        <w:t xml:space="preserve">(2013), 23–47. </w:t>
      </w:r>
    </w:p>
    <w:p w14:paraId="064DB25C"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Matza, D., &amp; Sykes, G. M. (1961). Juvenile Delinquency and Subterranean Values. </w:t>
      </w:r>
      <w:r w:rsidRPr="00F41765">
        <w:rPr>
          <w:rFonts w:ascii="Calibri" w:hAnsi="Calibri"/>
          <w:i/>
          <w:iCs/>
          <w:noProof/>
          <w:sz w:val="20"/>
        </w:rPr>
        <w:t>American Sociological Review</w:t>
      </w:r>
      <w:r w:rsidRPr="00F41765">
        <w:rPr>
          <w:rFonts w:ascii="Calibri" w:hAnsi="Calibri"/>
          <w:noProof/>
          <w:sz w:val="20"/>
        </w:rPr>
        <w:t xml:space="preserve">, </w:t>
      </w:r>
      <w:r w:rsidRPr="00F41765">
        <w:rPr>
          <w:rFonts w:ascii="Calibri" w:hAnsi="Calibri"/>
          <w:i/>
          <w:iCs/>
          <w:noProof/>
          <w:sz w:val="20"/>
        </w:rPr>
        <w:t>26</w:t>
      </w:r>
      <w:r w:rsidRPr="00F41765">
        <w:rPr>
          <w:rFonts w:ascii="Calibri" w:hAnsi="Calibri"/>
          <w:noProof/>
          <w:sz w:val="20"/>
        </w:rPr>
        <w:t>(5), 712–719.</w:t>
      </w:r>
    </w:p>
    <w:p w14:paraId="2BF51AB3"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Mills, J. H. (2013). </w:t>
      </w:r>
      <w:r w:rsidRPr="007C2880">
        <w:rPr>
          <w:rFonts w:ascii="Calibri" w:hAnsi="Calibri"/>
          <w:i/>
          <w:iCs/>
          <w:noProof/>
          <w:sz w:val="20"/>
        </w:rPr>
        <w:t>Cannabis Nation: Control and Consumption in Britain, 1928-2008</w:t>
      </w:r>
      <w:r w:rsidRPr="007C2880">
        <w:rPr>
          <w:rFonts w:ascii="Calibri" w:hAnsi="Calibri"/>
          <w:noProof/>
          <w:sz w:val="20"/>
        </w:rPr>
        <w:t>. Oxford: Oxford University Press.</w:t>
      </w:r>
    </w:p>
    <w:p w14:paraId="380C4EC7"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Mohamed, R., &amp; Fritsvold, E. (2010). </w:t>
      </w:r>
      <w:r w:rsidRPr="00F41765">
        <w:rPr>
          <w:rFonts w:ascii="Calibri" w:hAnsi="Calibri"/>
          <w:i/>
          <w:iCs/>
          <w:noProof/>
          <w:sz w:val="20"/>
        </w:rPr>
        <w:t>Dorm Room Dealers: Drugs and the Privileges of Race and Clas</w:t>
      </w:r>
      <w:r w:rsidRPr="00F41765">
        <w:rPr>
          <w:rFonts w:ascii="Calibri" w:hAnsi="Calibri"/>
          <w:noProof/>
          <w:sz w:val="20"/>
        </w:rPr>
        <w:t>. London: Lynne Rienner Publishers.</w:t>
      </w:r>
    </w:p>
    <w:p w14:paraId="63C71FFE"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Müller, C. P., &amp; Schumann, G. (2011). Drugs as instruments: A new framework for non-addictive psychoactive drug use. </w:t>
      </w:r>
      <w:r w:rsidRPr="00F41765">
        <w:rPr>
          <w:rFonts w:ascii="Calibri" w:hAnsi="Calibri"/>
          <w:i/>
          <w:iCs/>
          <w:noProof/>
          <w:sz w:val="20"/>
        </w:rPr>
        <w:t>Behavioral and Brain Sciences</w:t>
      </w:r>
      <w:r w:rsidRPr="00F41765">
        <w:rPr>
          <w:rFonts w:ascii="Calibri" w:hAnsi="Calibri"/>
          <w:noProof/>
          <w:sz w:val="20"/>
        </w:rPr>
        <w:t xml:space="preserve">, </w:t>
      </w:r>
      <w:r w:rsidRPr="00F41765">
        <w:rPr>
          <w:rFonts w:ascii="Calibri" w:hAnsi="Calibri"/>
          <w:i/>
          <w:iCs/>
          <w:noProof/>
          <w:sz w:val="20"/>
        </w:rPr>
        <w:t>34</w:t>
      </w:r>
      <w:r w:rsidRPr="00F41765">
        <w:rPr>
          <w:rFonts w:ascii="Calibri" w:hAnsi="Calibri"/>
          <w:noProof/>
          <w:sz w:val="20"/>
        </w:rPr>
        <w:t>(06), 293–310. doi:doi:10.1017/S0140525X11000057</w:t>
      </w:r>
    </w:p>
    <w:p w14:paraId="5C2FE12C"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OECD. (2015a). </w:t>
      </w:r>
      <w:r w:rsidRPr="00F3687A">
        <w:rPr>
          <w:rFonts w:ascii="Calibri" w:hAnsi="Calibri"/>
          <w:i/>
          <w:noProof/>
          <w:sz w:val="20"/>
        </w:rPr>
        <w:t>OECD.StatExtract: Income Distribution and Poverty</w:t>
      </w:r>
      <w:r w:rsidRPr="007C2880">
        <w:rPr>
          <w:rFonts w:ascii="Calibri" w:hAnsi="Calibri"/>
          <w:noProof/>
          <w:sz w:val="20"/>
        </w:rPr>
        <w:t>.</w:t>
      </w:r>
      <w:r>
        <w:rPr>
          <w:rFonts w:ascii="Calibri" w:hAnsi="Calibri"/>
          <w:noProof/>
          <w:sz w:val="20"/>
        </w:rPr>
        <w:t xml:space="preserve"> </w:t>
      </w:r>
      <w:r w:rsidRPr="007C2880">
        <w:rPr>
          <w:rFonts w:ascii="Calibri" w:hAnsi="Calibri"/>
          <w:noProof/>
          <w:sz w:val="20"/>
        </w:rPr>
        <w:t>Retrieved June 25, 2015, from</w:t>
      </w:r>
      <w:r>
        <w:rPr>
          <w:rFonts w:ascii="Calibri" w:hAnsi="Calibri"/>
          <w:noProof/>
          <w:sz w:val="20"/>
        </w:rPr>
        <w:t xml:space="preserve"> </w:t>
      </w:r>
      <w:r w:rsidRPr="0004228A">
        <w:rPr>
          <w:rFonts w:ascii="Calibri" w:hAnsi="Calibri"/>
          <w:noProof/>
          <w:sz w:val="20"/>
        </w:rPr>
        <w:t>https://stats.oecd.org/Index.aspx?DataSetCode=IDD</w:t>
      </w:r>
    </w:p>
    <w:p w14:paraId="7B6D9613"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OECD. (2015b). </w:t>
      </w:r>
      <w:r w:rsidRPr="00F3687A">
        <w:rPr>
          <w:rFonts w:ascii="Calibri" w:hAnsi="Calibri"/>
          <w:i/>
          <w:noProof/>
          <w:sz w:val="20"/>
        </w:rPr>
        <w:t>OECD.StatExtract: Level of GDP per capita and productivity</w:t>
      </w:r>
      <w:r w:rsidRPr="007C2880">
        <w:rPr>
          <w:rFonts w:ascii="Calibri" w:hAnsi="Calibri"/>
          <w:noProof/>
          <w:sz w:val="20"/>
        </w:rPr>
        <w:t>. Retrieved June 25, 2015, from https://stats.oecd.org/Index.aspx?DataSetCode=PDB_LV</w:t>
      </w:r>
    </w:p>
    <w:p w14:paraId="19578D96"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Peen, J., Schoevers, R. A., Beekman, A. T., &amp; Dekker, J. (2010). The current status of urban-rural differences in psychiatric disorders. </w:t>
      </w:r>
      <w:r w:rsidRPr="007C2880">
        <w:rPr>
          <w:rFonts w:ascii="Calibri" w:hAnsi="Calibri"/>
          <w:i/>
          <w:iCs/>
          <w:noProof/>
          <w:sz w:val="20"/>
        </w:rPr>
        <w:t>Acta Psychiatrica Scandinavica</w:t>
      </w:r>
      <w:r w:rsidRPr="007C2880">
        <w:rPr>
          <w:rFonts w:ascii="Calibri" w:hAnsi="Calibri"/>
          <w:noProof/>
          <w:sz w:val="20"/>
        </w:rPr>
        <w:t xml:space="preserve">, </w:t>
      </w:r>
      <w:r w:rsidRPr="007C2880">
        <w:rPr>
          <w:rFonts w:ascii="Calibri" w:hAnsi="Calibri"/>
          <w:i/>
          <w:iCs/>
          <w:noProof/>
          <w:sz w:val="20"/>
        </w:rPr>
        <w:t>121</w:t>
      </w:r>
      <w:r w:rsidRPr="007C2880">
        <w:rPr>
          <w:rFonts w:ascii="Calibri" w:hAnsi="Calibri"/>
          <w:noProof/>
          <w:sz w:val="20"/>
        </w:rPr>
        <w:t xml:space="preserve">(2), 84–93. </w:t>
      </w:r>
    </w:p>
    <w:p w14:paraId="36911198"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Ragin, C. C. (2000). </w:t>
      </w:r>
      <w:r w:rsidRPr="007C2880">
        <w:rPr>
          <w:rFonts w:ascii="Calibri" w:hAnsi="Calibri"/>
          <w:i/>
          <w:iCs/>
          <w:noProof/>
          <w:sz w:val="20"/>
        </w:rPr>
        <w:t>Fuzzy Set Social Science</w:t>
      </w:r>
      <w:r w:rsidRPr="007C2880">
        <w:rPr>
          <w:rFonts w:ascii="Calibri" w:hAnsi="Calibri"/>
          <w:noProof/>
          <w:sz w:val="20"/>
        </w:rPr>
        <w:t>. Chicago: University of Chicago Press.</w:t>
      </w:r>
    </w:p>
    <w:p w14:paraId="6FB5721A"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Ragin, C. C. (2008). </w:t>
      </w:r>
      <w:r w:rsidRPr="007C2880">
        <w:rPr>
          <w:rFonts w:ascii="Calibri" w:hAnsi="Calibri"/>
          <w:i/>
          <w:iCs/>
          <w:noProof/>
          <w:sz w:val="20"/>
        </w:rPr>
        <w:t>Redesigning Social Inquiry: Fuzzy Sets and Beyond</w:t>
      </w:r>
      <w:r w:rsidRPr="007C2880">
        <w:rPr>
          <w:rFonts w:ascii="Calibri" w:hAnsi="Calibri"/>
          <w:noProof/>
          <w:sz w:val="20"/>
        </w:rPr>
        <w:t>. Chicago: University of Chicago Press.</w:t>
      </w:r>
    </w:p>
    <w:p w14:paraId="3A1F2455"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Rayner, G., &amp; Lang, T. (2012). </w:t>
      </w:r>
      <w:r w:rsidRPr="00F41765">
        <w:rPr>
          <w:rFonts w:ascii="Calibri" w:hAnsi="Calibri"/>
          <w:i/>
          <w:iCs/>
          <w:noProof/>
          <w:sz w:val="20"/>
        </w:rPr>
        <w:t>Ecological public health: reshaping the conditions for good health</w:t>
      </w:r>
      <w:r w:rsidRPr="00F41765">
        <w:rPr>
          <w:rFonts w:ascii="Calibri" w:hAnsi="Calibri"/>
          <w:noProof/>
          <w:sz w:val="20"/>
        </w:rPr>
        <w:t>. Abingdon: Routledge. doi:10.1136/bmj.e5466</w:t>
      </w:r>
    </w:p>
    <w:p w14:paraId="5EE3375B"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Reinarman, C., Cohen, P. D. A., &amp; Kaal, H. L. (2004). The Limited Relevance of Drug Policy: Cannabis in Amsterdam and San Francisco. </w:t>
      </w:r>
      <w:r w:rsidRPr="007C2880">
        <w:rPr>
          <w:rFonts w:ascii="Calibri" w:hAnsi="Calibri"/>
          <w:i/>
          <w:iCs/>
          <w:noProof/>
          <w:sz w:val="20"/>
        </w:rPr>
        <w:t>American Journal of Public Health</w:t>
      </w:r>
      <w:r w:rsidRPr="007C2880">
        <w:rPr>
          <w:rFonts w:ascii="Calibri" w:hAnsi="Calibri"/>
          <w:noProof/>
          <w:sz w:val="20"/>
        </w:rPr>
        <w:t xml:space="preserve">, </w:t>
      </w:r>
      <w:r w:rsidRPr="007C2880">
        <w:rPr>
          <w:rFonts w:ascii="Calibri" w:hAnsi="Calibri"/>
          <w:i/>
          <w:iCs/>
          <w:noProof/>
          <w:sz w:val="20"/>
        </w:rPr>
        <w:t>94</w:t>
      </w:r>
      <w:r w:rsidRPr="007C2880">
        <w:rPr>
          <w:rFonts w:ascii="Calibri" w:hAnsi="Calibri"/>
          <w:noProof/>
          <w:sz w:val="20"/>
        </w:rPr>
        <w:t>(5), 836–842.</w:t>
      </w:r>
    </w:p>
    <w:p w14:paraId="1449D73E"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Rihoux, B., Rezsöhazy, I., &amp; Bol, D. (2011). Qualitative Comparative Analysis (QCA) in Public Policy Analysis: an Extensive Review. </w:t>
      </w:r>
      <w:r w:rsidRPr="007C2880">
        <w:rPr>
          <w:rFonts w:ascii="Calibri" w:hAnsi="Calibri"/>
          <w:i/>
          <w:iCs/>
          <w:noProof/>
          <w:sz w:val="20"/>
        </w:rPr>
        <w:t>German Policy Studies</w:t>
      </w:r>
      <w:r w:rsidRPr="007C2880">
        <w:rPr>
          <w:rFonts w:ascii="Calibri" w:hAnsi="Calibri"/>
          <w:noProof/>
          <w:sz w:val="20"/>
        </w:rPr>
        <w:t xml:space="preserve">, </w:t>
      </w:r>
      <w:r w:rsidRPr="007C2880">
        <w:rPr>
          <w:rFonts w:ascii="Calibri" w:hAnsi="Calibri"/>
          <w:i/>
          <w:iCs/>
          <w:noProof/>
          <w:sz w:val="20"/>
        </w:rPr>
        <w:t>7</w:t>
      </w:r>
      <w:r w:rsidRPr="007C2880">
        <w:rPr>
          <w:rFonts w:ascii="Calibri" w:hAnsi="Calibri"/>
          <w:noProof/>
          <w:sz w:val="20"/>
        </w:rPr>
        <w:t xml:space="preserve">(3), 9–82. </w:t>
      </w:r>
    </w:p>
    <w:p w14:paraId="129804AC"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Ritter, A., Livingston, M., Chalmers, J., Berends, L., &amp; Reuter, P. (2015). Comparative policy analysis: how far have we come? </w:t>
      </w:r>
      <w:r>
        <w:rPr>
          <w:rFonts w:ascii="Calibri" w:hAnsi="Calibri"/>
          <w:noProof/>
          <w:sz w:val="20"/>
        </w:rPr>
        <w:t>Paper presented at</w:t>
      </w:r>
      <w:r w:rsidRPr="007C2880">
        <w:rPr>
          <w:rFonts w:ascii="Calibri" w:hAnsi="Calibri"/>
          <w:noProof/>
          <w:sz w:val="20"/>
        </w:rPr>
        <w:t xml:space="preserve"> </w:t>
      </w:r>
      <w:r w:rsidRPr="007C2880">
        <w:rPr>
          <w:rFonts w:ascii="Calibri" w:hAnsi="Calibri"/>
          <w:i/>
          <w:iCs/>
          <w:noProof/>
          <w:sz w:val="20"/>
        </w:rPr>
        <w:t>9th Annual Conference of the International Society for the Study of Drug Policy</w:t>
      </w:r>
      <w:r w:rsidRPr="007C2880">
        <w:rPr>
          <w:rFonts w:ascii="Calibri" w:hAnsi="Calibri"/>
          <w:noProof/>
          <w:sz w:val="20"/>
        </w:rPr>
        <w:t>. Ghent.</w:t>
      </w:r>
    </w:p>
    <w:p w14:paraId="351471A3"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Roberts, C., Freeman, J., Samdal, O., Schnohr, C. W., Looze, M. E., Nic Gabhainn, S., … Iannotti, R. (2009). The Health Behaviour in School-aged Children (HBSC) study: Methodological developments and current tensions. </w:t>
      </w:r>
      <w:r w:rsidRPr="007C2880">
        <w:rPr>
          <w:rFonts w:ascii="Calibri" w:hAnsi="Calibri"/>
          <w:i/>
          <w:iCs/>
          <w:noProof/>
          <w:sz w:val="20"/>
        </w:rPr>
        <w:t>International Journal of Public Health</w:t>
      </w:r>
      <w:r w:rsidRPr="007C2880">
        <w:rPr>
          <w:rFonts w:ascii="Calibri" w:hAnsi="Calibri"/>
          <w:noProof/>
          <w:sz w:val="20"/>
        </w:rPr>
        <w:t xml:space="preserve">, </w:t>
      </w:r>
      <w:r w:rsidRPr="007C2880">
        <w:rPr>
          <w:rFonts w:ascii="Calibri" w:hAnsi="Calibri"/>
          <w:i/>
          <w:iCs/>
          <w:noProof/>
          <w:sz w:val="20"/>
        </w:rPr>
        <w:t>54</w:t>
      </w:r>
      <w:r w:rsidRPr="007C2880">
        <w:rPr>
          <w:rFonts w:ascii="Calibri" w:hAnsi="Calibri"/>
          <w:noProof/>
          <w:sz w:val="20"/>
        </w:rPr>
        <w:t xml:space="preserve">(SUPPL. 2), 140–150. </w:t>
      </w:r>
    </w:p>
    <w:p w14:paraId="03526604"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Rowlingson, K. (2011). </w:t>
      </w:r>
      <w:r w:rsidRPr="00F41765">
        <w:rPr>
          <w:rFonts w:ascii="Calibri" w:hAnsi="Calibri"/>
          <w:i/>
          <w:iCs/>
          <w:noProof/>
          <w:sz w:val="20"/>
        </w:rPr>
        <w:t>Does income inequality cause health and social problems ? Does income inequality c</w:t>
      </w:r>
      <w:r>
        <w:rPr>
          <w:rFonts w:ascii="Calibri" w:hAnsi="Calibri"/>
          <w:i/>
          <w:iCs/>
          <w:noProof/>
          <w:sz w:val="20"/>
        </w:rPr>
        <w:t>ause health and social problems</w:t>
      </w:r>
      <w:r w:rsidRPr="00F41765">
        <w:rPr>
          <w:rFonts w:ascii="Calibri" w:hAnsi="Calibri"/>
          <w:i/>
          <w:iCs/>
          <w:noProof/>
          <w:sz w:val="20"/>
        </w:rPr>
        <w:t>?</w:t>
      </w:r>
      <w:r w:rsidRPr="00F41765">
        <w:rPr>
          <w:rFonts w:ascii="Calibri" w:hAnsi="Calibri"/>
          <w:noProof/>
          <w:sz w:val="20"/>
        </w:rPr>
        <w:t xml:space="preserve"> York: Joseph Rowntree Foundation.</w:t>
      </w:r>
    </w:p>
    <w:p w14:paraId="216BCF6C"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Salverde, W. (2011). </w:t>
      </w:r>
      <w:r w:rsidRPr="007C2880">
        <w:rPr>
          <w:rFonts w:ascii="Calibri" w:hAnsi="Calibri"/>
          <w:i/>
          <w:iCs/>
          <w:noProof/>
          <w:sz w:val="20"/>
        </w:rPr>
        <w:t>Inequalities’ Impacts. GINI State of the Art Review 1.</w:t>
      </w:r>
      <w:r w:rsidRPr="007C2880">
        <w:rPr>
          <w:rFonts w:ascii="Calibri" w:hAnsi="Calibri"/>
          <w:noProof/>
          <w:sz w:val="20"/>
        </w:rPr>
        <w:t xml:space="preserve"> (W. Salverda, Ed.). Amsterdam: Amsterdam Institute for Advanced Labour Studies. </w:t>
      </w:r>
    </w:p>
    <w:p w14:paraId="0D17B232"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Sandberg, S., &amp; Pedersen, W. (2009). </w:t>
      </w:r>
      <w:r w:rsidRPr="00F41765">
        <w:rPr>
          <w:rFonts w:ascii="Calibri" w:hAnsi="Calibri"/>
          <w:i/>
          <w:iCs/>
          <w:noProof/>
          <w:sz w:val="20"/>
        </w:rPr>
        <w:t>Street Capital: Black Cannabis Dealers in a White Welfare State</w:t>
      </w:r>
      <w:r w:rsidRPr="00F41765">
        <w:rPr>
          <w:rFonts w:ascii="Calibri" w:hAnsi="Calibri"/>
          <w:noProof/>
          <w:sz w:val="20"/>
        </w:rPr>
        <w:t>. Bristol: Policy Press.</w:t>
      </w:r>
    </w:p>
    <w:p w14:paraId="15AC8739"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Schmid, H. (2001). Cannabis use in Switzerland: The role of attribution of drug use to friends, urbanization and repression. </w:t>
      </w:r>
      <w:r w:rsidRPr="007C2880">
        <w:rPr>
          <w:rFonts w:ascii="Calibri" w:hAnsi="Calibri"/>
          <w:i/>
          <w:iCs/>
          <w:noProof/>
          <w:sz w:val="20"/>
        </w:rPr>
        <w:t>Swiss Journal of Psychology</w:t>
      </w:r>
      <w:r w:rsidRPr="007C2880">
        <w:rPr>
          <w:rFonts w:ascii="Calibri" w:hAnsi="Calibri"/>
          <w:noProof/>
          <w:sz w:val="20"/>
        </w:rPr>
        <w:t xml:space="preserve">, </w:t>
      </w:r>
      <w:r w:rsidRPr="007C2880">
        <w:rPr>
          <w:rFonts w:ascii="Calibri" w:hAnsi="Calibri"/>
          <w:i/>
          <w:iCs/>
          <w:noProof/>
          <w:sz w:val="20"/>
        </w:rPr>
        <w:t>60</w:t>
      </w:r>
      <w:r w:rsidRPr="007C2880">
        <w:rPr>
          <w:rFonts w:ascii="Calibri" w:hAnsi="Calibri"/>
          <w:noProof/>
          <w:sz w:val="20"/>
        </w:rPr>
        <w:t xml:space="preserve">(2), 99–107. </w:t>
      </w:r>
    </w:p>
    <w:p w14:paraId="261E2267"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Scruggs, L. (2014). Social Welfare Generosity Scores in CWED 2: A Methodological Genealogy. Retrieved June 19, 2015, from http://cwed2.org/Data/CWED2_WP_01_2014_Scruggs.pdf</w:t>
      </w:r>
    </w:p>
    <w:p w14:paraId="04A09AFF"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Seddon, T. (2006). Drugs, crime and social exclusion: Social context and social theory in British drugs-crime research. </w:t>
      </w:r>
      <w:r w:rsidRPr="00F41765">
        <w:rPr>
          <w:rFonts w:ascii="Calibri" w:hAnsi="Calibri"/>
          <w:i/>
          <w:iCs/>
          <w:noProof/>
          <w:sz w:val="20"/>
        </w:rPr>
        <w:t>British Journal of Criminology</w:t>
      </w:r>
      <w:r w:rsidRPr="00F41765">
        <w:rPr>
          <w:rFonts w:ascii="Calibri" w:hAnsi="Calibri"/>
          <w:noProof/>
          <w:sz w:val="20"/>
        </w:rPr>
        <w:t xml:space="preserve">, </w:t>
      </w:r>
      <w:r w:rsidRPr="00F41765">
        <w:rPr>
          <w:rFonts w:ascii="Calibri" w:hAnsi="Calibri"/>
          <w:i/>
          <w:iCs/>
          <w:noProof/>
          <w:sz w:val="20"/>
        </w:rPr>
        <w:t>46</w:t>
      </w:r>
      <w:r w:rsidRPr="00F41765">
        <w:rPr>
          <w:rFonts w:ascii="Calibri" w:hAnsi="Calibri"/>
          <w:noProof/>
          <w:sz w:val="20"/>
        </w:rPr>
        <w:t xml:space="preserve">(4), 680–703. </w:t>
      </w:r>
    </w:p>
    <w:p w14:paraId="2A398882"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Shaw, A., Egan, J., &amp; Gillespie, M. (2007). </w:t>
      </w:r>
      <w:r w:rsidRPr="00F41765">
        <w:rPr>
          <w:rFonts w:ascii="Calibri" w:hAnsi="Calibri"/>
          <w:i/>
          <w:iCs/>
          <w:noProof/>
          <w:sz w:val="20"/>
        </w:rPr>
        <w:t>Drugs and Poverty: A Literature Review</w:t>
      </w:r>
      <w:r w:rsidRPr="00F41765">
        <w:rPr>
          <w:rFonts w:ascii="Calibri" w:hAnsi="Calibri"/>
          <w:noProof/>
          <w:sz w:val="20"/>
        </w:rPr>
        <w:t>. Glasgow: Scottish Drugs Forum.</w:t>
      </w:r>
    </w:p>
    <w:p w14:paraId="1BDF698F"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Singer, M. (2008). </w:t>
      </w:r>
      <w:r w:rsidRPr="00F41765">
        <w:rPr>
          <w:rFonts w:ascii="Calibri" w:hAnsi="Calibri"/>
          <w:i/>
          <w:iCs/>
          <w:noProof/>
          <w:sz w:val="20"/>
        </w:rPr>
        <w:t>Drugging the Poor: Legal and Illegal Drugs and Social Inequality</w:t>
      </w:r>
      <w:r w:rsidRPr="00F41765">
        <w:rPr>
          <w:rFonts w:ascii="Calibri" w:hAnsi="Calibri"/>
          <w:noProof/>
          <w:sz w:val="20"/>
        </w:rPr>
        <w:t>. Long Grove, Illinois: Waveland Press.</w:t>
      </w:r>
    </w:p>
    <w:p w14:paraId="4178D431" w14:textId="77777777" w:rsidR="00A10607"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Steppan, M., Kraus, L., Piontek, D., &amp; Siciliano, V. (2013). Are cannabis prevalence estimates comparable across countries and regions? A cross-cultural validation using search engine query data. </w:t>
      </w:r>
      <w:r w:rsidRPr="007C2880">
        <w:rPr>
          <w:rFonts w:ascii="Calibri" w:hAnsi="Calibri"/>
          <w:i/>
          <w:iCs/>
          <w:noProof/>
          <w:sz w:val="20"/>
        </w:rPr>
        <w:t>The International Journal on Drug Policy</w:t>
      </w:r>
      <w:r w:rsidRPr="007C2880">
        <w:rPr>
          <w:rFonts w:ascii="Calibri" w:hAnsi="Calibri"/>
          <w:noProof/>
          <w:sz w:val="20"/>
        </w:rPr>
        <w:t xml:space="preserve">, </w:t>
      </w:r>
      <w:r w:rsidRPr="007C2880">
        <w:rPr>
          <w:rFonts w:ascii="Calibri" w:hAnsi="Calibri"/>
          <w:i/>
          <w:iCs/>
          <w:noProof/>
          <w:sz w:val="20"/>
        </w:rPr>
        <w:t>24</w:t>
      </w:r>
      <w:r w:rsidRPr="007C2880">
        <w:rPr>
          <w:rFonts w:ascii="Calibri" w:hAnsi="Calibri"/>
          <w:noProof/>
          <w:sz w:val="20"/>
        </w:rPr>
        <w:t xml:space="preserve">(1), 23–29. </w:t>
      </w:r>
    </w:p>
    <w:p w14:paraId="2F7476F0" w14:textId="48CFA681" w:rsidR="00267224" w:rsidRPr="00267224" w:rsidRDefault="00267224" w:rsidP="00BC6747">
      <w:pPr>
        <w:pStyle w:val="NormalWeb"/>
        <w:spacing w:before="120" w:beforeAutospacing="0" w:after="0" w:afterAutospacing="0"/>
        <w:divId w:val="960499731"/>
        <w:rPr>
          <w:rFonts w:ascii="Calibri" w:hAnsi="Calibri"/>
          <w:noProof/>
          <w:sz w:val="20"/>
        </w:rPr>
      </w:pPr>
      <w:r>
        <w:rPr>
          <w:rFonts w:ascii="Calibri" w:hAnsi="Calibri"/>
          <w:noProof/>
          <w:sz w:val="20"/>
        </w:rPr>
        <w:t xml:space="preserve">Stevens, A. (2011). </w:t>
      </w:r>
      <w:r>
        <w:rPr>
          <w:rFonts w:ascii="Calibri" w:hAnsi="Calibri"/>
          <w:i/>
          <w:noProof/>
          <w:sz w:val="20"/>
        </w:rPr>
        <w:t>Drugs, Crime and Public Health: The Political Economy of Drug Policy</w:t>
      </w:r>
      <w:r>
        <w:rPr>
          <w:rFonts w:ascii="Calibri" w:hAnsi="Calibri"/>
          <w:noProof/>
          <w:sz w:val="20"/>
        </w:rPr>
        <w:t>. Abingdon: Routledge.</w:t>
      </w:r>
    </w:p>
    <w:p w14:paraId="56E45447" w14:textId="77777777" w:rsidR="00A10607" w:rsidRPr="007C2880" w:rsidRDefault="00A10607" w:rsidP="00BC6747">
      <w:pPr>
        <w:pStyle w:val="NormalWeb"/>
        <w:spacing w:before="120" w:beforeAutospacing="0" w:after="0" w:afterAutospacing="0"/>
        <w:divId w:val="960499731"/>
        <w:rPr>
          <w:rFonts w:ascii="Calibri" w:hAnsi="Calibri"/>
          <w:noProof/>
          <w:sz w:val="20"/>
        </w:rPr>
      </w:pPr>
      <w:r>
        <w:rPr>
          <w:rFonts w:ascii="Calibri" w:hAnsi="Calibri"/>
          <w:noProof/>
          <w:sz w:val="20"/>
        </w:rPr>
        <w:t>Ter Bogt, T.</w:t>
      </w:r>
      <w:r w:rsidRPr="007C2880">
        <w:rPr>
          <w:rFonts w:ascii="Calibri" w:hAnsi="Calibri"/>
          <w:noProof/>
          <w:sz w:val="20"/>
        </w:rPr>
        <w:t xml:space="preserve">, de Looze, M., Molcho, M., Godeau, E., Hublet, A., Kokkevi, A., … Pickett, W. (2014). Do societal wealth, family affluence and gender account for trends in adolescent cannabis use? A 30 country cross-national study. </w:t>
      </w:r>
      <w:r w:rsidRPr="007C2880">
        <w:rPr>
          <w:rFonts w:ascii="Calibri" w:hAnsi="Calibri"/>
          <w:i/>
          <w:iCs/>
          <w:noProof/>
          <w:sz w:val="20"/>
        </w:rPr>
        <w:t>Addiction</w:t>
      </w:r>
      <w:r w:rsidRPr="007C2880">
        <w:rPr>
          <w:rFonts w:ascii="Calibri" w:hAnsi="Calibri"/>
          <w:noProof/>
          <w:sz w:val="20"/>
        </w:rPr>
        <w:t xml:space="preserve">, </w:t>
      </w:r>
      <w:r w:rsidRPr="007C2880">
        <w:rPr>
          <w:rFonts w:ascii="Calibri" w:hAnsi="Calibri"/>
          <w:i/>
          <w:iCs/>
          <w:noProof/>
          <w:sz w:val="20"/>
        </w:rPr>
        <w:t>109</w:t>
      </w:r>
      <w:r w:rsidRPr="007C2880">
        <w:rPr>
          <w:rFonts w:ascii="Calibri" w:hAnsi="Calibri"/>
          <w:noProof/>
          <w:sz w:val="20"/>
        </w:rPr>
        <w:t xml:space="preserve">, 273–283. </w:t>
      </w:r>
    </w:p>
    <w:p w14:paraId="06F28AFE"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Ter Bogt, T., Schmid, H., Nic Gabhainn, S., Fotiou, A., &amp; Vollebergh, W. (2006). Economic and cultural correlates of cannabis use among mid-adolescents in 31 countries. </w:t>
      </w:r>
      <w:r w:rsidRPr="007C2880">
        <w:rPr>
          <w:rFonts w:ascii="Calibri" w:hAnsi="Calibri"/>
          <w:i/>
          <w:iCs/>
          <w:noProof/>
          <w:sz w:val="20"/>
        </w:rPr>
        <w:t>Addiction</w:t>
      </w:r>
      <w:r w:rsidRPr="007C2880">
        <w:rPr>
          <w:rFonts w:ascii="Calibri" w:hAnsi="Calibri"/>
          <w:noProof/>
          <w:sz w:val="20"/>
        </w:rPr>
        <w:t xml:space="preserve">, </w:t>
      </w:r>
      <w:r w:rsidRPr="007C2880">
        <w:rPr>
          <w:rFonts w:ascii="Calibri" w:hAnsi="Calibri"/>
          <w:i/>
          <w:iCs/>
          <w:noProof/>
          <w:sz w:val="20"/>
        </w:rPr>
        <w:t>101</w:t>
      </w:r>
      <w:r w:rsidRPr="007C2880">
        <w:rPr>
          <w:rFonts w:ascii="Calibri" w:hAnsi="Calibri"/>
          <w:noProof/>
          <w:sz w:val="20"/>
        </w:rPr>
        <w:t xml:space="preserve">, 241–251. </w:t>
      </w:r>
    </w:p>
    <w:p w14:paraId="7BC5CA7C"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Thiem, A., &amp; </w:t>
      </w:r>
      <w:r w:rsidR="00F65D49">
        <w:rPr>
          <w:rFonts w:ascii="Calibri" w:hAnsi="Calibri"/>
          <w:noProof/>
          <w:sz w:val="20"/>
        </w:rPr>
        <w:t>Duşa</w:t>
      </w:r>
      <w:r w:rsidRPr="007C2880">
        <w:rPr>
          <w:rFonts w:ascii="Calibri" w:hAnsi="Calibri"/>
          <w:noProof/>
          <w:sz w:val="20"/>
        </w:rPr>
        <w:t xml:space="preserve">, A. (2013). </w:t>
      </w:r>
      <w:r w:rsidRPr="007C2880">
        <w:rPr>
          <w:rFonts w:ascii="Calibri" w:hAnsi="Calibri"/>
          <w:i/>
          <w:iCs/>
          <w:noProof/>
          <w:sz w:val="20"/>
        </w:rPr>
        <w:t>Qualitative Comparative Analysis with R - A User’s Guide | Springer</w:t>
      </w:r>
      <w:r w:rsidRPr="007C2880">
        <w:rPr>
          <w:rFonts w:ascii="Calibri" w:hAnsi="Calibri"/>
          <w:noProof/>
          <w:sz w:val="20"/>
        </w:rPr>
        <w:t xml:space="preserve">. Berlin: Spriner. </w:t>
      </w:r>
    </w:p>
    <w:p w14:paraId="3C7FD378"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Vuolo, M. (2013). National-level drug policy and young people’s illicit drug use: A multilevel analysis of the European Union. </w:t>
      </w:r>
      <w:r w:rsidRPr="007C2880">
        <w:rPr>
          <w:rFonts w:ascii="Calibri" w:hAnsi="Calibri"/>
          <w:i/>
          <w:iCs/>
          <w:noProof/>
          <w:sz w:val="20"/>
        </w:rPr>
        <w:t>Drug and Alcohol Dependence</w:t>
      </w:r>
      <w:r w:rsidRPr="007C2880">
        <w:rPr>
          <w:rFonts w:ascii="Calibri" w:hAnsi="Calibri"/>
          <w:noProof/>
          <w:sz w:val="20"/>
        </w:rPr>
        <w:t xml:space="preserve">, </w:t>
      </w:r>
      <w:r w:rsidRPr="007C2880">
        <w:rPr>
          <w:rFonts w:ascii="Calibri" w:hAnsi="Calibri"/>
          <w:i/>
          <w:iCs/>
          <w:noProof/>
          <w:sz w:val="20"/>
        </w:rPr>
        <w:t>131</w:t>
      </w:r>
      <w:r w:rsidRPr="007C2880">
        <w:rPr>
          <w:rFonts w:ascii="Calibri" w:hAnsi="Calibri"/>
          <w:noProof/>
          <w:sz w:val="20"/>
        </w:rPr>
        <w:t xml:space="preserve">(1-2), 149–156. </w:t>
      </w:r>
    </w:p>
    <w:p w14:paraId="657888B9"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Wacquant, L. (2007). </w:t>
      </w:r>
      <w:r w:rsidRPr="00F41765">
        <w:rPr>
          <w:rFonts w:ascii="Calibri" w:hAnsi="Calibri"/>
          <w:i/>
          <w:iCs/>
          <w:noProof/>
          <w:sz w:val="20"/>
        </w:rPr>
        <w:t>Urban Outcasts: A Comparative Sociology of Advanced Marginality</w:t>
      </w:r>
      <w:r w:rsidRPr="00F41765">
        <w:rPr>
          <w:rFonts w:ascii="Calibri" w:hAnsi="Calibri"/>
          <w:noProof/>
          <w:sz w:val="20"/>
        </w:rPr>
        <w:t>. Cambridge: Polity Press.</w:t>
      </w:r>
    </w:p>
    <w:p w14:paraId="0CDBC338"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Weatherburn, D., &amp; Lind, B. (2001). </w:t>
      </w:r>
      <w:r w:rsidRPr="007C2880">
        <w:rPr>
          <w:rFonts w:ascii="Calibri" w:hAnsi="Calibri"/>
          <w:i/>
          <w:iCs/>
          <w:noProof/>
          <w:sz w:val="20"/>
        </w:rPr>
        <w:t>Delinquent-Prone Communities</w:t>
      </w:r>
      <w:r w:rsidRPr="007C2880">
        <w:rPr>
          <w:rFonts w:ascii="Calibri" w:hAnsi="Calibri"/>
          <w:noProof/>
          <w:sz w:val="20"/>
        </w:rPr>
        <w:t>. Cambridge: Cambridge University Press.</w:t>
      </w:r>
    </w:p>
    <w:p w14:paraId="6ED44FE0"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White, V., &amp; Bariola, E. (2012). </w:t>
      </w:r>
      <w:r w:rsidRPr="007C2880">
        <w:rPr>
          <w:rFonts w:ascii="Calibri" w:hAnsi="Calibri"/>
          <w:i/>
          <w:iCs/>
          <w:noProof/>
          <w:sz w:val="20"/>
        </w:rPr>
        <w:t>Australian secondary school students’ use of tobacco, alcohol, and over-thecounter and illicit substances in 2011</w:t>
      </w:r>
      <w:r w:rsidRPr="007C2880">
        <w:rPr>
          <w:rFonts w:ascii="Calibri" w:hAnsi="Calibri"/>
          <w:noProof/>
          <w:sz w:val="20"/>
        </w:rPr>
        <w:t xml:space="preserve">. Victoria: Centre for Behavioural Research in Cancer. </w:t>
      </w:r>
    </w:p>
    <w:p w14:paraId="03FDCBEB"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 xml:space="preserve">WHO. (2009). </w:t>
      </w:r>
      <w:r w:rsidRPr="007C2880">
        <w:rPr>
          <w:rFonts w:ascii="Calibri" w:hAnsi="Calibri"/>
          <w:i/>
          <w:iCs/>
          <w:noProof/>
          <w:sz w:val="20"/>
        </w:rPr>
        <w:t>Socio-environmentally determined health inequities among children and adolescents</w:t>
      </w:r>
      <w:r w:rsidRPr="007C2880">
        <w:rPr>
          <w:rFonts w:ascii="Calibri" w:hAnsi="Calibri"/>
          <w:noProof/>
          <w:sz w:val="20"/>
        </w:rPr>
        <w:t>. Copenhagen: World Health Organisation Regional Office for Europe.</w:t>
      </w:r>
    </w:p>
    <w:p w14:paraId="1621E532" w14:textId="77777777" w:rsidR="00A10607" w:rsidRPr="007C2880" w:rsidRDefault="00A10607" w:rsidP="00BC6747">
      <w:pPr>
        <w:pStyle w:val="NormalWeb"/>
        <w:spacing w:before="120" w:beforeAutospacing="0" w:after="0" w:afterAutospacing="0"/>
        <w:divId w:val="960499731"/>
        <w:rPr>
          <w:rFonts w:ascii="Calibri" w:hAnsi="Calibri"/>
          <w:noProof/>
          <w:sz w:val="20"/>
        </w:rPr>
      </w:pPr>
      <w:r>
        <w:rPr>
          <w:rFonts w:ascii="Calibri" w:hAnsi="Calibri"/>
          <w:noProof/>
          <w:sz w:val="20"/>
        </w:rPr>
        <w:t>Wilkinson, R.</w:t>
      </w:r>
      <w:r w:rsidRPr="007C2880">
        <w:rPr>
          <w:rFonts w:ascii="Calibri" w:hAnsi="Calibri"/>
          <w:noProof/>
          <w:sz w:val="20"/>
        </w:rPr>
        <w:t xml:space="preserve"> (2005). </w:t>
      </w:r>
      <w:r w:rsidRPr="007C2880">
        <w:rPr>
          <w:rFonts w:ascii="Calibri" w:hAnsi="Calibri"/>
          <w:i/>
          <w:iCs/>
          <w:noProof/>
          <w:sz w:val="20"/>
        </w:rPr>
        <w:t xml:space="preserve">The Impact of Inequality: How to Make Sick </w:t>
      </w:r>
      <w:r>
        <w:rPr>
          <w:rFonts w:ascii="Calibri" w:hAnsi="Calibri"/>
          <w:i/>
          <w:iCs/>
          <w:noProof/>
          <w:sz w:val="20"/>
        </w:rPr>
        <w:t>Societies Healthier</w:t>
      </w:r>
      <w:r w:rsidRPr="007C2880">
        <w:rPr>
          <w:rFonts w:ascii="Calibri" w:hAnsi="Calibri"/>
          <w:noProof/>
          <w:sz w:val="20"/>
        </w:rPr>
        <w:t>. London: Routledge.</w:t>
      </w:r>
    </w:p>
    <w:p w14:paraId="19B88C04"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Wilkinson, R.</w:t>
      </w:r>
      <w:r>
        <w:rPr>
          <w:rFonts w:ascii="Calibri" w:hAnsi="Calibri"/>
          <w:noProof/>
          <w:sz w:val="20"/>
        </w:rPr>
        <w:t xml:space="preserve"> &amp; Pickett, K.</w:t>
      </w:r>
      <w:r w:rsidRPr="00F41765">
        <w:rPr>
          <w:rFonts w:ascii="Calibri" w:hAnsi="Calibri"/>
          <w:noProof/>
          <w:sz w:val="20"/>
        </w:rPr>
        <w:t xml:space="preserve"> (2008). </w:t>
      </w:r>
      <w:r w:rsidRPr="00F41765">
        <w:rPr>
          <w:rFonts w:ascii="Calibri" w:hAnsi="Calibri"/>
          <w:i/>
          <w:iCs/>
          <w:noProof/>
          <w:sz w:val="20"/>
        </w:rPr>
        <w:t>The Spirit Level: Why More Equal Societies Almost Always Do Better</w:t>
      </w:r>
      <w:r w:rsidRPr="00F41765">
        <w:rPr>
          <w:rFonts w:ascii="Calibri" w:hAnsi="Calibri"/>
          <w:noProof/>
          <w:sz w:val="20"/>
        </w:rPr>
        <w:t>. London: Allen Lane.</w:t>
      </w:r>
    </w:p>
    <w:p w14:paraId="1B668379" w14:textId="77777777" w:rsidR="00A10607" w:rsidRPr="007C2880" w:rsidRDefault="00A10607" w:rsidP="00BC6747">
      <w:pPr>
        <w:pStyle w:val="NormalWeb"/>
        <w:spacing w:before="120" w:beforeAutospacing="0" w:after="0" w:afterAutospacing="0"/>
        <w:divId w:val="960499731"/>
        <w:rPr>
          <w:rFonts w:ascii="Calibri" w:hAnsi="Calibri"/>
          <w:noProof/>
          <w:sz w:val="20"/>
        </w:rPr>
      </w:pPr>
      <w:r w:rsidRPr="007C2880">
        <w:rPr>
          <w:rFonts w:ascii="Calibri" w:hAnsi="Calibri"/>
          <w:noProof/>
          <w:sz w:val="20"/>
        </w:rPr>
        <w:t>World Bank. (2015). GDP per capita (constant 2005 US$). Retrieved July 7, 2015, from http://data.worldbank.org/indicator/NY.GDP.PCAP.KD</w:t>
      </w:r>
    </w:p>
    <w:p w14:paraId="4EBE7A57"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Young, J. (1971). </w:t>
      </w:r>
      <w:r w:rsidRPr="00F41765">
        <w:rPr>
          <w:rFonts w:ascii="Calibri" w:hAnsi="Calibri"/>
          <w:i/>
          <w:iCs/>
          <w:noProof/>
          <w:sz w:val="20"/>
        </w:rPr>
        <w:t>The Drugtakers: The Social Meaning of Drug Use</w:t>
      </w:r>
      <w:r w:rsidRPr="00F41765">
        <w:rPr>
          <w:rFonts w:ascii="Calibri" w:hAnsi="Calibri"/>
          <w:noProof/>
          <w:sz w:val="20"/>
        </w:rPr>
        <w:t>. London: Paladin.</w:t>
      </w:r>
    </w:p>
    <w:p w14:paraId="1AB4D781" w14:textId="77777777" w:rsidR="00A10607" w:rsidRPr="00F41765" w:rsidRDefault="00A10607" w:rsidP="00BC6747">
      <w:pPr>
        <w:pStyle w:val="NormalWeb"/>
        <w:spacing w:before="120" w:beforeAutospacing="0" w:after="0" w:afterAutospacing="0"/>
        <w:divId w:val="1889144727"/>
        <w:rPr>
          <w:rFonts w:ascii="Calibri" w:hAnsi="Calibri"/>
          <w:noProof/>
          <w:sz w:val="20"/>
        </w:rPr>
      </w:pPr>
      <w:r w:rsidRPr="00F41765">
        <w:rPr>
          <w:rFonts w:ascii="Calibri" w:hAnsi="Calibri"/>
          <w:noProof/>
          <w:sz w:val="20"/>
        </w:rPr>
        <w:t xml:space="preserve">Young, J. (2007). </w:t>
      </w:r>
      <w:r w:rsidRPr="00F41765">
        <w:rPr>
          <w:rFonts w:ascii="Calibri" w:hAnsi="Calibri"/>
          <w:i/>
          <w:iCs/>
          <w:noProof/>
          <w:sz w:val="20"/>
        </w:rPr>
        <w:t>The Vertigo of Late Modernity</w:t>
      </w:r>
      <w:r w:rsidRPr="00F41765">
        <w:rPr>
          <w:rFonts w:ascii="Calibri" w:hAnsi="Calibri"/>
          <w:noProof/>
          <w:sz w:val="20"/>
        </w:rPr>
        <w:t>. London: Sage.</w:t>
      </w:r>
    </w:p>
    <w:p w14:paraId="109D0FED" w14:textId="53855B99" w:rsidR="00A10607" w:rsidRPr="007C2880" w:rsidRDefault="00A10607" w:rsidP="00BC6747">
      <w:pPr>
        <w:pStyle w:val="NormalWeb"/>
        <w:spacing w:before="120" w:beforeAutospacing="0" w:after="0" w:afterAutospacing="0"/>
        <w:divId w:val="960499731"/>
        <w:rPr>
          <w:rFonts w:ascii="Calibri" w:hAnsi="Calibri"/>
          <w:noProof/>
          <w:sz w:val="20"/>
        </w:rPr>
      </w:pPr>
    </w:p>
    <w:p w14:paraId="6B6D7BC5" w14:textId="77777777" w:rsidR="001B0152" w:rsidRDefault="001B0152" w:rsidP="00744637">
      <w:pPr>
        <w:pStyle w:val="NormalWeb"/>
        <w:spacing w:before="0" w:beforeAutospacing="0" w:after="0" w:afterAutospacing="0" w:line="480" w:lineRule="auto"/>
        <w:divId w:val="1147748423"/>
      </w:pPr>
    </w:p>
    <w:p w14:paraId="3E11FF8B" w14:textId="77777777" w:rsidR="00657A3E" w:rsidRDefault="00657A3E">
      <w:pPr>
        <w:rPr>
          <w:b/>
          <w:sz w:val="28"/>
          <w:szCs w:val="28"/>
        </w:rPr>
      </w:pPr>
      <w:r>
        <w:rPr>
          <w:b/>
          <w:sz w:val="28"/>
          <w:szCs w:val="28"/>
        </w:rPr>
        <w:br w:type="page"/>
      </w:r>
    </w:p>
    <w:p w14:paraId="0DE82BDA" w14:textId="3EFAFEE9" w:rsidR="00657A3E" w:rsidRPr="001A11E2" w:rsidRDefault="00657A3E" w:rsidP="00657A3E">
      <w:pPr>
        <w:divId w:val="1147748423"/>
        <w:rPr>
          <w:b/>
          <w:sz w:val="28"/>
          <w:szCs w:val="28"/>
        </w:rPr>
      </w:pPr>
      <w:r w:rsidRPr="001A11E2">
        <w:rPr>
          <w:b/>
          <w:sz w:val="28"/>
          <w:szCs w:val="28"/>
        </w:rPr>
        <w:t>Tables</w:t>
      </w:r>
    </w:p>
    <w:p w14:paraId="1EE6FA60" w14:textId="77777777" w:rsidR="00657A3E" w:rsidRDefault="00657A3E" w:rsidP="00657A3E">
      <w:pPr>
        <w:divId w:val="1147748423"/>
      </w:pPr>
    </w:p>
    <w:p w14:paraId="1E2006D9" w14:textId="77777777" w:rsidR="00657A3E" w:rsidRDefault="00657A3E" w:rsidP="00657A3E">
      <w:pPr>
        <w:divId w:val="1147748423"/>
      </w:pPr>
      <w:r>
        <w:object w:dxaOrig="8764" w:dyaOrig="9037" w14:anchorId="0A6B9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51.2pt" o:ole="">
            <v:imagedata r:id="rId10" o:title=""/>
          </v:shape>
          <o:OLEObject Type="Embed" ProgID="Excel.Sheet.12" ShapeID="_x0000_i1025" DrawAspect="Content" ObjectID="_1517726042" r:id="rId11"/>
        </w:object>
      </w:r>
    </w:p>
    <w:p w14:paraId="4DB381BB" w14:textId="77777777" w:rsidR="00657A3E" w:rsidRDefault="00657A3E" w:rsidP="00657A3E">
      <w:pPr>
        <w:divId w:val="1147748423"/>
      </w:pPr>
      <w:r>
        <w:br w:type="page"/>
      </w:r>
    </w:p>
    <w:p w14:paraId="7A84C709" w14:textId="77777777" w:rsidR="00657A3E" w:rsidRDefault="00657A3E" w:rsidP="00657A3E">
      <w:pPr>
        <w:divId w:val="1147748423"/>
      </w:pPr>
      <w:r>
        <w:object w:dxaOrig="8401" w:dyaOrig="3810" w14:anchorId="5BD9381E">
          <v:shape id="_x0000_i1026" type="#_x0000_t75" style="width:420pt;height:190.8pt" o:ole="">
            <v:imagedata r:id="rId12" o:title=""/>
          </v:shape>
          <o:OLEObject Type="Embed" ProgID="Excel.Sheet.12" ShapeID="_x0000_i1026" DrawAspect="Content" ObjectID="_1517726043" r:id="rId13"/>
        </w:object>
      </w:r>
    </w:p>
    <w:p w14:paraId="52D497E2" w14:textId="77777777" w:rsidR="00657A3E" w:rsidRDefault="00657A3E" w:rsidP="00657A3E">
      <w:pPr>
        <w:divId w:val="1147748423"/>
      </w:pPr>
      <w:r>
        <w:object w:dxaOrig="7676" w:dyaOrig="2938" w14:anchorId="374AB90E">
          <v:shape id="_x0000_i1027" type="#_x0000_t75" style="width:384pt;height:147pt" o:ole="">
            <v:imagedata r:id="rId14" o:title=""/>
          </v:shape>
          <o:OLEObject Type="Embed" ProgID="Excel.Sheet.12" ShapeID="_x0000_i1027" DrawAspect="Content" ObjectID="_1517726044" r:id="rId15"/>
        </w:object>
      </w:r>
    </w:p>
    <w:p w14:paraId="40D39D6E" w14:textId="77777777" w:rsidR="00657A3E" w:rsidRDefault="00657A3E" w:rsidP="00657A3E">
      <w:pPr>
        <w:divId w:val="1147748423"/>
      </w:pPr>
    </w:p>
    <w:p w14:paraId="114B671F" w14:textId="77777777" w:rsidR="00657A3E" w:rsidRDefault="00657A3E" w:rsidP="00657A3E">
      <w:pPr>
        <w:divId w:val="1147748423"/>
      </w:pPr>
      <w:r>
        <w:br w:type="page"/>
      </w:r>
    </w:p>
    <w:p w14:paraId="14BFC1CB" w14:textId="77777777" w:rsidR="00657A3E" w:rsidRDefault="00657A3E" w:rsidP="00657A3E">
      <w:pPr>
        <w:divId w:val="1147748423"/>
      </w:pPr>
      <w:r>
        <w:object w:dxaOrig="8164" w:dyaOrig="10200" w14:anchorId="48AA25FA">
          <v:shape id="_x0000_i1028" type="#_x0000_t75" style="width:409.2pt;height:510pt" o:ole="">
            <v:imagedata r:id="rId16" o:title=""/>
          </v:shape>
          <o:OLEObject Type="Embed" ProgID="Excel.Sheet.12" ShapeID="_x0000_i1028" DrawAspect="Content" ObjectID="_1517726045" r:id="rId17"/>
        </w:object>
      </w:r>
    </w:p>
    <w:p w14:paraId="1B7A3EB2" w14:textId="77777777" w:rsidR="00657A3E" w:rsidRDefault="00657A3E" w:rsidP="00657A3E">
      <w:pPr>
        <w:divId w:val="1147748423"/>
      </w:pPr>
      <w:r>
        <w:br w:type="page"/>
      </w:r>
    </w:p>
    <w:p w14:paraId="3BC4041D" w14:textId="77777777" w:rsidR="00657A3E" w:rsidRDefault="00657A3E" w:rsidP="00657A3E">
      <w:pPr>
        <w:divId w:val="1147748423"/>
      </w:pPr>
      <w:r>
        <w:object w:dxaOrig="8164" w:dyaOrig="7450" w14:anchorId="427FC422">
          <v:shape id="_x0000_i1029" type="#_x0000_t75" style="width:409.2pt;height:372.6pt" o:ole="">
            <v:imagedata r:id="rId18" o:title=""/>
          </v:shape>
          <o:OLEObject Type="Embed" ProgID="Excel.Sheet.12" ShapeID="_x0000_i1029" DrawAspect="Content" ObjectID="_1517726046" r:id="rId19"/>
        </w:object>
      </w:r>
    </w:p>
    <w:p w14:paraId="69DE9104" w14:textId="77777777" w:rsidR="00657A3E" w:rsidRDefault="00657A3E" w:rsidP="00657A3E">
      <w:pPr>
        <w:divId w:val="1147748423"/>
      </w:pPr>
      <w:r>
        <w:br w:type="page"/>
      </w:r>
    </w:p>
    <w:bookmarkStart w:id="1" w:name="_MON_1509544740"/>
    <w:bookmarkEnd w:id="1"/>
    <w:p w14:paraId="1A6E4768" w14:textId="77777777" w:rsidR="00657A3E" w:rsidRDefault="00657A3E" w:rsidP="00657A3E">
      <w:pPr>
        <w:divId w:val="1147748423"/>
      </w:pPr>
      <w:r>
        <w:object w:dxaOrig="10398" w:dyaOrig="4806" w14:anchorId="3A941DCD">
          <v:shape id="_x0000_i1030" type="#_x0000_t75" style="width:520.2pt;height:240pt" o:ole="">
            <v:imagedata r:id="rId20" o:title=""/>
          </v:shape>
          <o:OLEObject Type="Embed" ProgID="Excel.Sheet.12" ShapeID="_x0000_i1030" DrawAspect="Content" ObjectID="_1517726047" r:id="rId21"/>
        </w:object>
      </w:r>
    </w:p>
    <w:p w14:paraId="13B62B6A" w14:textId="77777777" w:rsidR="00657A3E" w:rsidRDefault="00657A3E" w:rsidP="00657A3E">
      <w:pPr>
        <w:divId w:val="1147748423"/>
      </w:pPr>
      <w:r>
        <w:object w:dxaOrig="10403" w:dyaOrig="2818" w14:anchorId="5F4805F5">
          <v:shape id="_x0000_i1031" type="#_x0000_t75" style="width:521.4pt;height:141pt" o:ole="">
            <v:imagedata r:id="rId22" o:title=""/>
          </v:shape>
          <o:OLEObject Type="Embed" ProgID="Excel.Sheet.12" ShapeID="_x0000_i1031" DrawAspect="Content" ObjectID="_1517726048" r:id="rId23"/>
        </w:object>
      </w:r>
    </w:p>
    <w:bookmarkStart w:id="2" w:name="_MON_1509195822"/>
    <w:bookmarkEnd w:id="2"/>
    <w:p w14:paraId="4EAC31B0" w14:textId="77777777" w:rsidR="00657A3E" w:rsidRDefault="00657A3E" w:rsidP="00657A3E">
      <w:pPr>
        <w:divId w:val="1147748423"/>
      </w:pPr>
      <w:r>
        <w:object w:dxaOrig="10403" w:dyaOrig="905" w14:anchorId="69196297">
          <v:shape id="_x0000_i1032" type="#_x0000_t75" style="width:521.4pt;height:45pt" o:ole="">
            <v:imagedata r:id="rId24" o:title=""/>
          </v:shape>
          <o:OLEObject Type="Embed" ProgID="Excel.Sheet.12" ShapeID="_x0000_i1032" DrawAspect="Content" ObjectID="_1517726049" r:id="rId25"/>
        </w:object>
      </w:r>
    </w:p>
    <w:p w14:paraId="13CF1529" w14:textId="3E17F032" w:rsidR="00657A3E" w:rsidRDefault="00657A3E">
      <w:pPr>
        <w:rPr>
          <w:rFonts w:ascii="Times New Roman" w:hAnsi="Times New Roman" w:cs="Times New Roman"/>
          <w:sz w:val="24"/>
          <w:szCs w:val="24"/>
        </w:rPr>
      </w:pPr>
      <w:r>
        <w:br w:type="page"/>
      </w:r>
    </w:p>
    <w:p w14:paraId="3766926B" w14:textId="750BEE0E" w:rsidR="00657A3E" w:rsidRPr="00657A3E" w:rsidRDefault="00657A3E" w:rsidP="00744637">
      <w:pPr>
        <w:pStyle w:val="NormalWeb"/>
        <w:spacing w:before="0" w:beforeAutospacing="0" w:after="0" w:afterAutospacing="0" w:line="480" w:lineRule="auto"/>
        <w:divId w:val="1147748423"/>
        <w:rPr>
          <w:b/>
        </w:rPr>
      </w:pPr>
      <w:r w:rsidRPr="00B70DA1">
        <w:rPr>
          <w:rFonts w:asciiTheme="minorHAnsi" w:hAnsiTheme="minorHAnsi"/>
          <w:b/>
          <w:sz w:val="22"/>
          <w:szCs w:val="22"/>
        </w:rPr>
        <w:t>Endnotes</w:t>
      </w:r>
    </w:p>
    <w:sectPr w:rsidR="00657A3E" w:rsidRPr="00657A3E" w:rsidSect="00CF4A16">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F93AA" w14:textId="77777777" w:rsidR="00E466F0" w:rsidRDefault="00E466F0" w:rsidP="007F1666">
      <w:pPr>
        <w:spacing w:after="0" w:line="240" w:lineRule="auto"/>
      </w:pPr>
      <w:r>
        <w:separator/>
      </w:r>
    </w:p>
  </w:endnote>
  <w:endnote w:type="continuationSeparator" w:id="0">
    <w:p w14:paraId="7909FB19" w14:textId="77777777" w:rsidR="00E466F0" w:rsidRDefault="00E466F0" w:rsidP="007F1666">
      <w:pPr>
        <w:spacing w:after="0" w:line="240" w:lineRule="auto"/>
      </w:pPr>
      <w:r>
        <w:continuationSeparator/>
      </w:r>
    </w:p>
  </w:endnote>
  <w:endnote w:id="1">
    <w:p w14:paraId="657826C1" w14:textId="77777777" w:rsidR="001564EC" w:rsidRDefault="001564EC">
      <w:pPr>
        <w:pStyle w:val="EndnoteText"/>
      </w:pPr>
      <w:r>
        <w:rPr>
          <w:rStyle w:val="EndnoteReference"/>
        </w:rPr>
        <w:endnoteRef/>
      </w:r>
      <w:r>
        <w:t xml:space="preserve"> When upper case is used for AND or OR, this indicates that they are being used as Boolean logical operators.</w:t>
      </w:r>
    </w:p>
    <w:p w14:paraId="4909BAA5" w14:textId="77777777" w:rsidR="00773083" w:rsidRDefault="00773083">
      <w:pPr>
        <w:pStyle w:val="EndnoteText"/>
      </w:pPr>
    </w:p>
  </w:endnote>
  <w:endnote w:id="2">
    <w:p w14:paraId="6F989764" w14:textId="77777777" w:rsidR="00B97A67" w:rsidRDefault="00B97A67" w:rsidP="003B753C">
      <w:pPr>
        <w:pStyle w:val="EndnoteText"/>
      </w:pPr>
      <w:r>
        <w:rPr>
          <w:rStyle w:val="EndnoteReference"/>
        </w:rPr>
        <w:endnoteRef/>
      </w:r>
      <w:r>
        <w:t xml:space="preserve"> </w:t>
      </w:r>
      <w:r w:rsidRPr="003B753C">
        <w:t>The ASSAD survey does not report drug use by the school year in which the respondent is, as ESPAD, HBSC and MtF do, but separately by age. Therefore, the mean of 15 and 16 year olds was used for the ESPAD dataset, while the value for 15 year olds was used in the HBSC dataset (as this survey has a younger average age). Also, there is a slight mismatch in some of the survey years, as shown in table one. Data on other conditions was also taken from these years for Australia.</w:t>
      </w:r>
    </w:p>
    <w:p w14:paraId="6EBD971A" w14:textId="77777777" w:rsidR="008B6446" w:rsidRPr="003B753C" w:rsidRDefault="008B6446" w:rsidP="003B753C">
      <w:pPr>
        <w:pStyle w:val="EndnoteText"/>
      </w:pPr>
    </w:p>
  </w:endnote>
  <w:endnote w:id="3">
    <w:p w14:paraId="214714D5" w14:textId="77777777" w:rsidR="00B97A67" w:rsidRDefault="00B97A67" w:rsidP="003B753C">
      <w:pPr>
        <w:pStyle w:val="EndnoteText"/>
      </w:pPr>
      <w:r w:rsidRPr="003B753C">
        <w:rPr>
          <w:rStyle w:val="EndnoteReference"/>
        </w:rPr>
        <w:endnoteRef/>
      </w:r>
      <w:r w:rsidRPr="003B753C">
        <w:t xml:space="preserve"> The CWED also contains an index of welfare generosity which is based on more information than the replacement rates. However, this is available for a smaller number of countries. In those countries that have it, it is highly correlated (Pearson’s r &gt; 0.8) with the calculated average welfare replacement rate.</w:t>
      </w:r>
    </w:p>
    <w:p w14:paraId="291B70E2" w14:textId="77777777" w:rsidR="003B753C" w:rsidRPr="003B753C" w:rsidRDefault="003B753C" w:rsidP="003B753C">
      <w:pPr>
        <w:pStyle w:val="EndnoteText"/>
      </w:pPr>
    </w:p>
  </w:endnote>
  <w:endnote w:id="4">
    <w:p w14:paraId="4958B2B2" w14:textId="77777777" w:rsidR="00B97A67" w:rsidRDefault="00B97A67" w:rsidP="003B753C">
      <w:pPr>
        <w:pStyle w:val="EndnoteText"/>
      </w:pPr>
      <w:r w:rsidRPr="003B753C">
        <w:rPr>
          <w:rStyle w:val="EndnoteReference"/>
        </w:rPr>
        <w:endnoteRef/>
      </w:r>
      <w:r w:rsidRPr="003B753C">
        <w:t xml:space="preserve">  In both datasets, there were configurations that were consistent with being necessary for</w:t>
      </w:r>
      <w:r w:rsidR="00773083">
        <w:t xml:space="preserve"> high adolescent cannabis use. B</w:t>
      </w:r>
      <w:r w:rsidRPr="003B753C">
        <w:t>ut they were contradictory in that they were also consistent with being necessary fo</w:t>
      </w:r>
      <w:r w:rsidR="00773083">
        <w:t>r the negation of that outcome. S</w:t>
      </w:r>
      <w:r w:rsidRPr="003B753C">
        <w:t xml:space="preserve">o they cannot be considered as necessary causes of either outcome. Such paradoxical evidence on necessity can occur where a large proportion of fuzzy set scores for the potentially causal configuration are above 0.5 or higher, as this makes it more likely that the scores for this configuration will be higher than the scores for both the outcome condition and its negation. So Thiem and </w:t>
      </w:r>
      <w:r w:rsidR="00F65D49" w:rsidRPr="003B753C">
        <w:t>Duşa</w:t>
      </w:r>
      <w:r w:rsidRPr="003B753C">
        <w:t xml:space="preserve"> (2013) provide routines for the identification and exclusion of contradictory necessary configurations.</w:t>
      </w:r>
    </w:p>
    <w:p w14:paraId="738D2AE5" w14:textId="77777777" w:rsidR="003B753C" w:rsidRPr="003B753C" w:rsidRDefault="003B753C" w:rsidP="003B753C">
      <w:pPr>
        <w:pStyle w:val="EndnoteText"/>
      </w:pPr>
    </w:p>
  </w:endnote>
  <w:endnote w:id="5">
    <w:p w14:paraId="7813C39C" w14:textId="77777777" w:rsidR="008B6446" w:rsidRDefault="008B6446">
      <w:pPr>
        <w:pStyle w:val="EndnoteText"/>
      </w:pPr>
      <w:r>
        <w:rPr>
          <w:rStyle w:val="EndnoteReference"/>
        </w:rPr>
        <w:endnoteRef/>
      </w:r>
      <w:r>
        <w:t xml:space="preserve"> Technically, zero represents the presence of the negation of the calibrated set for that condition. Due to the calibrations thresholds chosen for this analysis, this can be taken to indicate a low level of each condition.</w:t>
      </w:r>
    </w:p>
    <w:p w14:paraId="2CBD811E" w14:textId="77777777" w:rsidR="008B6446" w:rsidRDefault="008B6446">
      <w:pPr>
        <w:pStyle w:val="EndnoteText"/>
      </w:pPr>
    </w:p>
  </w:endnote>
  <w:endnote w:id="6">
    <w:p w14:paraId="40E93C7C" w14:textId="77777777" w:rsidR="00946A61" w:rsidRPr="003B753C" w:rsidRDefault="00946A61" w:rsidP="003B753C">
      <w:pPr>
        <w:spacing w:after="0" w:line="240" w:lineRule="auto"/>
        <w:rPr>
          <w:sz w:val="20"/>
          <w:szCs w:val="20"/>
        </w:rPr>
      </w:pPr>
      <w:r w:rsidRPr="003B753C">
        <w:rPr>
          <w:rStyle w:val="EndnoteReference"/>
          <w:sz w:val="20"/>
          <w:szCs w:val="20"/>
        </w:rPr>
        <w:endnoteRef/>
      </w:r>
      <w:r w:rsidRPr="003B753C">
        <w:rPr>
          <w:sz w:val="20"/>
          <w:szCs w:val="20"/>
        </w:rPr>
        <w:t xml:space="preserve"> This consistency value is calculated by dividing the sum of cases’ scores for that configuration that are consistent with sufficiency (i.e. the total of those parts of their fuzzy set score for the configuration that are equal to or less than their score for the outcome) by the total of their scores for that configuration (Thiem &amp; Duşa, 2013; Ragin, 2008). </w:t>
      </w:r>
    </w:p>
    <w:p w14:paraId="4163D311" w14:textId="77777777" w:rsidR="00946A61" w:rsidRPr="003B753C" w:rsidRDefault="00946A61" w:rsidP="003B753C">
      <w:pPr>
        <w:pStyle w:val="EndnoteText"/>
      </w:pPr>
    </w:p>
  </w:endnote>
  <w:endnote w:id="7">
    <w:p w14:paraId="3C6BF84F" w14:textId="2AFAC294" w:rsidR="00946A61" w:rsidRPr="003B753C" w:rsidRDefault="00946A61" w:rsidP="003B753C">
      <w:pPr>
        <w:spacing w:after="0" w:line="240" w:lineRule="auto"/>
        <w:rPr>
          <w:sz w:val="20"/>
          <w:szCs w:val="20"/>
        </w:rPr>
      </w:pPr>
      <w:r w:rsidRPr="003B753C">
        <w:rPr>
          <w:rStyle w:val="EndnoteReference"/>
          <w:sz w:val="20"/>
          <w:szCs w:val="20"/>
        </w:rPr>
        <w:endnoteRef/>
      </w:r>
      <w:r w:rsidRPr="003B753C">
        <w:rPr>
          <w:sz w:val="20"/>
          <w:szCs w:val="20"/>
        </w:rPr>
        <w:t xml:space="preserve"> In order to produce a more parsimonious solution, configurations that have no actual cases can be dealt with as if they may affect the outcome in either direction. These logical remainder configurations are treated ‘as instances of the outcome if doing so results in a logically simpler solution’ (Ragin, 2008, p.156). </w:t>
      </w:r>
      <w:r w:rsidR="00473686">
        <w:rPr>
          <w:sz w:val="20"/>
          <w:szCs w:val="20"/>
        </w:rPr>
        <w:t xml:space="preserve">The </w:t>
      </w:r>
      <w:r w:rsidR="00773083">
        <w:rPr>
          <w:sz w:val="20"/>
          <w:szCs w:val="20"/>
        </w:rPr>
        <w:t xml:space="preserve">low </w:t>
      </w:r>
      <w:r w:rsidR="00473686">
        <w:rPr>
          <w:sz w:val="20"/>
          <w:szCs w:val="20"/>
        </w:rPr>
        <w:t>welfare support condition -</w:t>
      </w:r>
      <w:r w:rsidRPr="003B753C">
        <w:rPr>
          <w:sz w:val="20"/>
          <w:szCs w:val="20"/>
        </w:rPr>
        <w:t xml:space="preserve"> w </w:t>
      </w:r>
      <w:r w:rsidR="00473686">
        <w:rPr>
          <w:sz w:val="20"/>
          <w:szCs w:val="20"/>
        </w:rPr>
        <w:t xml:space="preserve">- </w:t>
      </w:r>
      <w:r w:rsidRPr="003B753C">
        <w:rPr>
          <w:sz w:val="20"/>
          <w:szCs w:val="20"/>
        </w:rPr>
        <w:t xml:space="preserve">cannot be excluded from this element of the parsimonious solution because the configuration of W*I*GDP*U*YU is present in the sample (in the </w:t>
      </w:r>
      <w:r w:rsidR="00FB7937">
        <w:rPr>
          <w:sz w:val="20"/>
          <w:szCs w:val="20"/>
        </w:rPr>
        <w:t>sixth</w:t>
      </w:r>
      <w:r w:rsidRPr="003B753C">
        <w:rPr>
          <w:sz w:val="20"/>
          <w:szCs w:val="20"/>
        </w:rPr>
        <w:t xml:space="preserve"> row of the HBSC truth table; </w:t>
      </w:r>
      <w:r w:rsidR="00473686">
        <w:rPr>
          <w:sz w:val="20"/>
          <w:szCs w:val="20"/>
        </w:rPr>
        <w:t>the configuration of</w:t>
      </w:r>
      <w:r w:rsidRPr="003B753C">
        <w:rPr>
          <w:sz w:val="20"/>
          <w:szCs w:val="20"/>
        </w:rPr>
        <w:t xml:space="preserve"> Spain in 2001)</w:t>
      </w:r>
      <w:r w:rsidR="00F43D16">
        <w:rPr>
          <w:sz w:val="20"/>
          <w:szCs w:val="20"/>
        </w:rPr>
        <w:t xml:space="preserve"> and is not considered as an instance of the outcome. This leaves open the possibility that w forms part of the causal configuration</w:t>
      </w:r>
      <w:r w:rsidRPr="003B753C">
        <w:rPr>
          <w:sz w:val="20"/>
          <w:szCs w:val="20"/>
        </w:rPr>
        <w:t>.</w:t>
      </w:r>
    </w:p>
    <w:p w14:paraId="748D9F9D" w14:textId="77777777" w:rsidR="00946A61" w:rsidRPr="003B753C" w:rsidRDefault="00946A61" w:rsidP="003B753C">
      <w:pPr>
        <w:pStyle w:val="EndnoteText"/>
      </w:pPr>
    </w:p>
  </w:endnote>
  <w:endnote w:id="8">
    <w:p w14:paraId="57535FE9" w14:textId="77777777" w:rsidR="00946A61" w:rsidRDefault="00946A61" w:rsidP="003B753C">
      <w:pPr>
        <w:spacing w:after="0" w:line="240" w:lineRule="auto"/>
        <w:rPr>
          <w:sz w:val="20"/>
          <w:szCs w:val="20"/>
        </w:rPr>
      </w:pPr>
      <w:r w:rsidRPr="003B753C">
        <w:rPr>
          <w:rStyle w:val="EndnoteReference"/>
          <w:sz w:val="20"/>
          <w:szCs w:val="20"/>
        </w:rPr>
        <w:endnoteRef/>
      </w:r>
      <w:r w:rsidRPr="003B753C">
        <w:rPr>
          <w:sz w:val="20"/>
          <w:szCs w:val="20"/>
        </w:rPr>
        <w:t xml:space="preserve"> It is also possible to produce an ‘intermediate’ solution in QCA by using information on which direction it is expected that each condition will influence an outcome to prevent the assumption that it may affect the outcome in the opposite direction from being used in the process of minimisation. As the theoretical and empirical link between the conditions and the outcome in these analyses are not firmly established, it was considered that there were no such ‘easy counter-factuals’ in the analyses, and so no intermediate solutions were generated for these truth tables.</w:t>
      </w:r>
    </w:p>
    <w:p w14:paraId="6A6E48CC" w14:textId="77777777" w:rsidR="003B753C" w:rsidRPr="003B753C" w:rsidRDefault="003B753C" w:rsidP="003B753C">
      <w:pPr>
        <w:spacing w:after="0" w:line="240" w:lineRule="auto"/>
        <w:rPr>
          <w:sz w:val="20"/>
          <w:szCs w:val="20"/>
        </w:rPr>
      </w:pPr>
    </w:p>
  </w:endnote>
  <w:endnote w:id="9">
    <w:p w14:paraId="6A7C4681" w14:textId="77777777" w:rsidR="00946A61" w:rsidRDefault="00946A61" w:rsidP="003B753C">
      <w:pPr>
        <w:pStyle w:val="EndnoteText"/>
      </w:pPr>
      <w:r w:rsidRPr="003B753C">
        <w:rPr>
          <w:rStyle w:val="EndnoteReference"/>
        </w:rPr>
        <w:endnoteRef/>
      </w:r>
      <w:r w:rsidRPr="003B753C">
        <w:t xml:space="preserve"> Coverage gives an indication of the empirical relevance of eac</w:t>
      </w:r>
      <w:r w:rsidR="00F43D16">
        <w:t xml:space="preserve">h consistent configuration. It </w:t>
      </w:r>
      <w:r w:rsidRPr="003B753C">
        <w:t xml:space="preserve">represents the proportion of the total of all the cases’ </w:t>
      </w:r>
      <w:r w:rsidR="00773083">
        <w:t>scores for</w:t>
      </w:r>
      <w:r w:rsidRPr="003B753C">
        <w:t xml:space="preserve"> the </w:t>
      </w:r>
      <w:r w:rsidR="00F43D16">
        <w:t xml:space="preserve">fuzzy </w:t>
      </w:r>
      <w:r w:rsidRPr="003B753C">
        <w:t xml:space="preserve">set </w:t>
      </w:r>
      <w:r w:rsidR="00F43D16">
        <w:t>of</w:t>
      </w:r>
      <w:r w:rsidRPr="003B753C">
        <w:t xml:space="preserve"> the outcome that is covered by the </w:t>
      </w:r>
      <w:r w:rsidR="00F43D16" w:rsidRPr="003B753C">
        <w:t xml:space="preserve">consistent part </w:t>
      </w:r>
      <w:r w:rsidR="00F43D16">
        <w:t xml:space="preserve">of </w:t>
      </w:r>
      <w:r w:rsidRPr="003B753C">
        <w:t xml:space="preserve">cases’ </w:t>
      </w:r>
      <w:r w:rsidR="00773083">
        <w:t xml:space="preserve">scores for </w:t>
      </w:r>
      <w:r w:rsidRPr="003B753C">
        <w:t>the configuration (Thiem &amp; Duşa, 2013; Ragin 2008).</w:t>
      </w:r>
    </w:p>
    <w:p w14:paraId="6127FA7F" w14:textId="77777777" w:rsidR="003B753C" w:rsidRPr="003B753C" w:rsidRDefault="003B753C" w:rsidP="003B753C">
      <w:pPr>
        <w:pStyle w:val="EndnoteText"/>
      </w:pPr>
    </w:p>
  </w:endnote>
  <w:endnote w:id="10">
    <w:p w14:paraId="5CD49500" w14:textId="77777777" w:rsidR="00946A61" w:rsidRDefault="00946A61" w:rsidP="003B753C">
      <w:pPr>
        <w:pStyle w:val="EndnoteText"/>
      </w:pPr>
      <w:r w:rsidRPr="003B753C">
        <w:rPr>
          <w:rStyle w:val="EndnoteReference"/>
        </w:rPr>
        <w:endnoteRef/>
      </w:r>
      <w:r w:rsidRPr="003B753C">
        <w:t xml:space="preserve"> It is described as consistent with ‘usually’ being sufficient as its value for consistency is less than perfect (i.e. &lt;1).</w:t>
      </w:r>
    </w:p>
    <w:p w14:paraId="606A16AF" w14:textId="77777777" w:rsidR="003B753C" w:rsidRPr="003B753C" w:rsidRDefault="003B753C" w:rsidP="003B753C">
      <w:pPr>
        <w:pStyle w:val="EndnoteText"/>
      </w:pPr>
    </w:p>
  </w:endnote>
  <w:endnote w:id="11">
    <w:p w14:paraId="3EEDC29B" w14:textId="77777777" w:rsidR="00946A61" w:rsidRDefault="00946A61" w:rsidP="003B753C">
      <w:pPr>
        <w:pStyle w:val="EndnoteText"/>
        <w:rPr>
          <w:noProof/>
        </w:rPr>
      </w:pPr>
      <w:r w:rsidRPr="003B753C">
        <w:rPr>
          <w:rStyle w:val="EndnoteReference"/>
        </w:rPr>
        <w:endnoteRef/>
      </w:r>
      <w:r w:rsidRPr="003B753C">
        <w:t xml:space="preserve"> </w:t>
      </w:r>
      <w:r w:rsidRPr="003B753C">
        <w:rPr>
          <w:noProof/>
        </w:rPr>
        <w:t xml:space="preserve">García-Castro and Arino (2013) also recommend the calculation of the Euclidian distances between two vectors – one for the consistencies calculate between cases for each time period and one for consistency within each cases across time periods - and the vector of the pooled consistency value. For the analyses of high adolescent cannabis use, this distance was well below the </w:t>
      </w:r>
      <w:r w:rsidR="00F43D16">
        <w:rPr>
          <w:noProof/>
        </w:rPr>
        <w:t>suggested threshold for identify</w:t>
      </w:r>
      <w:r w:rsidRPr="003B753C">
        <w:rPr>
          <w:noProof/>
        </w:rPr>
        <w:t>ing significant effects of time. As would be expected from the nature of the sample, which was created in order to examine variation across countries, there was a non-random pattern of different consistencies within countries across years.</w:t>
      </w:r>
    </w:p>
    <w:p w14:paraId="33DF04DC" w14:textId="77777777" w:rsidR="003B753C" w:rsidRPr="003B753C" w:rsidRDefault="003B753C" w:rsidP="003B753C">
      <w:pPr>
        <w:pStyle w:val="EndnoteText"/>
      </w:pPr>
    </w:p>
  </w:endnote>
  <w:endnote w:id="12">
    <w:p w14:paraId="29B54E60" w14:textId="77777777" w:rsidR="00946A61" w:rsidRPr="003B753C" w:rsidRDefault="00946A61" w:rsidP="003B753C">
      <w:pPr>
        <w:pStyle w:val="EndnoteText"/>
      </w:pPr>
      <w:r w:rsidRPr="003B753C">
        <w:rPr>
          <w:rStyle w:val="EndnoteReference"/>
        </w:rPr>
        <w:endnoteRef/>
      </w:r>
      <w:r w:rsidRPr="003B753C">
        <w:t xml:space="preserve"> fsQCA analysis was performed to test whether adolescent cannabis use formed part of configurations that were </w:t>
      </w:r>
      <w:r w:rsidR="003B753C">
        <w:t xml:space="preserve">consistent with being </w:t>
      </w:r>
      <w:r w:rsidRPr="003B753C">
        <w:t xml:space="preserve">necessary or sufficient for high income inequality. This found no configurations of social conditions with high or low adolescent cannabis use that were consistent with being necessity </w:t>
      </w:r>
      <w:r w:rsidR="00773083">
        <w:t>or sufficient to cause high income inequality at the consistent thresholds suggested by Thiem &amp; Duşa (</w:t>
      </w:r>
      <w:r w:rsidR="00773083" w:rsidRPr="003B753C">
        <w:t>2013</w:t>
      </w:r>
      <w:r w:rsidR="00773083">
        <w:t>)</w:t>
      </w:r>
      <w:r w:rsidRPr="003B753C">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ahoma,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196686"/>
      <w:docPartObj>
        <w:docPartGallery w:val="Page Numbers (Bottom of Page)"/>
        <w:docPartUnique/>
      </w:docPartObj>
    </w:sdtPr>
    <w:sdtEndPr>
      <w:rPr>
        <w:noProof/>
      </w:rPr>
    </w:sdtEndPr>
    <w:sdtContent>
      <w:p w14:paraId="48C15229" w14:textId="77777777" w:rsidR="00B97A67" w:rsidRDefault="00B97A67">
        <w:pPr>
          <w:pStyle w:val="Footer"/>
          <w:jc w:val="right"/>
        </w:pPr>
        <w:r>
          <w:fldChar w:fldCharType="begin"/>
        </w:r>
        <w:r>
          <w:instrText xml:space="preserve"> PAGE   \* MERGEFORMAT </w:instrText>
        </w:r>
        <w:r>
          <w:fldChar w:fldCharType="separate"/>
        </w:r>
        <w:r w:rsidR="002B7DDB">
          <w:rPr>
            <w:noProof/>
          </w:rPr>
          <w:t>1</w:t>
        </w:r>
        <w:r>
          <w:rPr>
            <w:noProof/>
          </w:rPr>
          <w:fldChar w:fldCharType="end"/>
        </w:r>
      </w:p>
    </w:sdtContent>
  </w:sdt>
  <w:p w14:paraId="7A914B39" w14:textId="77777777" w:rsidR="00B97A67" w:rsidRDefault="00B97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BDA11" w14:textId="77777777" w:rsidR="00E466F0" w:rsidRDefault="00E466F0" w:rsidP="007F1666">
      <w:pPr>
        <w:spacing w:after="0" w:line="240" w:lineRule="auto"/>
      </w:pPr>
      <w:r>
        <w:separator/>
      </w:r>
    </w:p>
  </w:footnote>
  <w:footnote w:type="continuationSeparator" w:id="0">
    <w:p w14:paraId="12368D58" w14:textId="77777777" w:rsidR="00E466F0" w:rsidRDefault="00E466F0" w:rsidP="007F16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33"/>
    <w:rsid w:val="00000350"/>
    <w:rsid w:val="00005DD1"/>
    <w:rsid w:val="00017DDE"/>
    <w:rsid w:val="0002380B"/>
    <w:rsid w:val="0002690A"/>
    <w:rsid w:val="0002737D"/>
    <w:rsid w:val="00034413"/>
    <w:rsid w:val="0004122F"/>
    <w:rsid w:val="000413C1"/>
    <w:rsid w:val="0004228A"/>
    <w:rsid w:val="000450BD"/>
    <w:rsid w:val="00047250"/>
    <w:rsid w:val="000477FD"/>
    <w:rsid w:val="00053BC6"/>
    <w:rsid w:val="0006601B"/>
    <w:rsid w:val="000719D1"/>
    <w:rsid w:val="000A3E9B"/>
    <w:rsid w:val="000A4D88"/>
    <w:rsid w:val="000B3A10"/>
    <w:rsid w:val="000D7112"/>
    <w:rsid w:val="000D720A"/>
    <w:rsid w:val="000E09AA"/>
    <w:rsid w:val="000E5287"/>
    <w:rsid w:val="000E5BEB"/>
    <w:rsid w:val="000E5F3D"/>
    <w:rsid w:val="000F0FA0"/>
    <w:rsid w:val="000F470F"/>
    <w:rsid w:val="00107FD5"/>
    <w:rsid w:val="00120F46"/>
    <w:rsid w:val="00121DD7"/>
    <w:rsid w:val="00126CBC"/>
    <w:rsid w:val="00134244"/>
    <w:rsid w:val="00136A9F"/>
    <w:rsid w:val="00143220"/>
    <w:rsid w:val="001564EC"/>
    <w:rsid w:val="001629A2"/>
    <w:rsid w:val="0016470E"/>
    <w:rsid w:val="001874BF"/>
    <w:rsid w:val="0019264C"/>
    <w:rsid w:val="001A5D1C"/>
    <w:rsid w:val="001A672D"/>
    <w:rsid w:val="001A79C6"/>
    <w:rsid w:val="001B0152"/>
    <w:rsid w:val="001B35B4"/>
    <w:rsid w:val="001C40A6"/>
    <w:rsid w:val="001C6859"/>
    <w:rsid w:val="001D0455"/>
    <w:rsid w:val="001D4BE7"/>
    <w:rsid w:val="001E285C"/>
    <w:rsid w:val="001E5E8A"/>
    <w:rsid w:val="001F4663"/>
    <w:rsid w:val="00202528"/>
    <w:rsid w:val="002130F5"/>
    <w:rsid w:val="002321C4"/>
    <w:rsid w:val="00240FD0"/>
    <w:rsid w:val="0024470B"/>
    <w:rsid w:val="002510D1"/>
    <w:rsid w:val="00252138"/>
    <w:rsid w:val="00254669"/>
    <w:rsid w:val="00255E7D"/>
    <w:rsid w:val="00267116"/>
    <w:rsid w:val="00267224"/>
    <w:rsid w:val="00270610"/>
    <w:rsid w:val="0027331C"/>
    <w:rsid w:val="00295676"/>
    <w:rsid w:val="0029614B"/>
    <w:rsid w:val="002A1DBA"/>
    <w:rsid w:val="002A719D"/>
    <w:rsid w:val="002B0A97"/>
    <w:rsid w:val="002B5B19"/>
    <w:rsid w:val="002B7DDB"/>
    <w:rsid w:val="002D28AE"/>
    <w:rsid w:val="002D6C63"/>
    <w:rsid w:val="002E031B"/>
    <w:rsid w:val="002E2C8A"/>
    <w:rsid w:val="002F58DF"/>
    <w:rsid w:val="002F7494"/>
    <w:rsid w:val="003048AA"/>
    <w:rsid w:val="003226EC"/>
    <w:rsid w:val="00331E48"/>
    <w:rsid w:val="00335B87"/>
    <w:rsid w:val="00342925"/>
    <w:rsid w:val="00342F95"/>
    <w:rsid w:val="00350BC0"/>
    <w:rsid w:val="00352113"/>
    <w:rsid w:val="00353F8D"/>
    <w:rsid w:val="00356465"/>
    <w:rsid w:val="00363CB1"/>
    <w:rsid w:val="003643A2"/>
    <w:rsid w:val="00367A04"/>
    <w:rsid w:val="003751EC"/>
    <w:rsid w:val="003802FA"/>
    <w:rsid w:val="003827D9"/>
    <w:rsid w:val="003927DD"/>
    <w:rsid w:val="003A0D22"/>
    <w:rsid w:val="003A1962"/>
    <w:rsid w:val="003A5332"/>
    <w:rsid w:val="003A624B"/>
    <w:rsid w:val="003A74D8"/>
    <w:rsid w:val="003A7ADB"/>
    <w:rsid w:val="003B4757"/>
    <w:rsid w:val="003B753C"/>
    <w:rsid w:val="003C065E"/>
    <w:rsid w:val="003C5AE8"/>
    <w:rsid w:val="003D0711"/>
    <w:rsid w:val="003D0AEE"/>
    <w:rsid w:val="003D1D61"/>
    <w:rsid w:val="003D47BA"/>
    <w:rsid w:val="003D727C"/>
    <w:rsid w:val="003E64A5"/>
    <w:rsid w:val="003F01F9"/>
    <w:rsid w:val="003F0EAD"/>
    <w:rsid w:val="003F57FC"/>
    <w:rsid w:val="003F7B13"/>
    <w:rsid w:val="00421C77"/>
    <w:rsid w:val="00423939"/>
    <w:rsid w:val="004259D3"/>
    <w:rsid w:val="004547EB"/>
    <w:rsid w:val="00471D09"/>
    <w:rsid w:val="00473686"/>
    <w:rsid w:val="004736CC"/>
    <w:rsid w:val="0048219C"/>
    <w:rsid w:val="00494582"/>
    <w:rsid w:val="00497023"/>
    <w:rsid w:val="004A0C61"/>
    <w:rsid w:val="004A50EF"/>
    <w:rsid w:val="004C0298"/>
    <w:rsid w:val="004C400A"/>
    <w:rsid w:val="004C6B45"/>
    <w:rsid w:val="004C7646"/>
    <w:rsid w:val="004D08AC"/>
    <w:rsid w:val="004E078C"/>
    <w:rsid w:val="004F1C4A"/>
    <w:rsid w:val="004F2003"/>
    <w:rsid w:val="00501E6E"/>
    <w:rsid w:val="0050488B"/>
    <w:rsid w:val="00513257"/>
    <w:rsid w:val="00515CB9"/>
    <w:rsid w:val="00516CEF"/>
    <w:rsid w:val="00527AE5"/>
    <w:rsid w:val="00530E3D"/>
    <w:rsid w:val="00532A81"/>
    <w:rsid w:val="005347A7"/>
    <w:rsid w:val="00534FC1"/>
    <w:rsid w:val="00540B38"/>
    <w:rsid w:val="0054486E"/>
    <w:rsid w:val="00545356"/>
    <w:rsid w:val="00545FF6"/>
    <w:rsid w:val="00557DAB"/>
    <w:rsid w:val="005657D8"/>
    <w:rsid w:val="0057791B"/>
    <w:rsid w:val="00587300"/>
    <w:rsid w:val="00591480"/>
    <w:rsid w:val="00594B71"/>
    <w:rsid w:val="005A6640"/>
    <w:rsid w:val="005B015F"/>
    <w:rsid w:val="005B11B9"/>
    <w:rsid w:val="005B16A9"/>
    <w:rsid w:val="005C036A"/>
    <w:rsid w:val="005C0B55"/>
    <w:rsid w:val="005C5268"/>
    <w:rsid w:val="005D1133"/>
    <w:rsid w:val="005D3D62"/>
    <w:rsid w:val="005E2857"/>
    <w:rsid w:val="005E3121"/>
    <w:rsid w:val="005E618A"/>
    <w:rsid w:val="005E7247"/>
    <w:rsid w:val="005F044C"/>
    <w:rsid w:val="00600FAC"/>
    <w:rsid w:val="00601512"/>
    <w:rsid w:val="00603ACB"/>
    <w:rsid w:val="006076CF"/>
    <w:rsid w:val="00610D36"/>
    <w:rsid w:val="00616431"/>
    <w:rsid w:val="006356B9"/>
    <w:rsid w:val="00635EA7"/>
    <w:rsid w:val="00644E75"/>
    <w:rsid w:val="00645B65"/>
    <w:rsid w:val="00651B70"/>
    <w:rsid w:val="00654DC8"/>
    <w:rsid w:val="00657A3E"/>
    <w:rsid w:val="006701EC"/>
    <w:rsid w:val="00671BFA"/>
    <w:rsid w:val="00671F75"/>
    <w:rsid w:val="0067297B"/>
    <w:rsid w:val="00683E44"/>
    <w:rsid w:val="006A1979"/>
    <w:rsid w:val="006A3AFC"/>
    <w:rsid w:val="006A5F68"/>
    <w:rsid w:val="006A7ACA"/>
    <w:rsid w:val="006B0340"/>
    <w:rsid w:val="006B12DF"/>
    <w:rsid w:val="006C0635"/>
    <w:rsid w:val="006D4AA3"/>
    <w:rsid w:val="006E1986"/>
    <w:rsid w:val="006E4541"/>
    <w:rsid w:val="006E4B3D"/>
    <w:rsid w:val="006F2F55"/>
    <w:rsid w:val="006F3C5D"/>
    <w:rsid w:val="0070511F"/>
    <w:rsid w:val="0071528F"/>
    <w:rsid w:val="00720359"/>
    <w:rsid w:val="00723F97"/>
    <w:rsid w:val="00727237"/>
    <w:rsid w:val="007310D5"/>
    <w:rsid w:val="007340C1"/>
    <w:rsid w:val="00744637"/>
    <w:rsid w:val="007451D4"/>
    <w:rsid w:val="00751E31"/>
    <w:rsid w:val="0075262A"/>
    <w:rsid w:val="0075327B"/>
    <w:rsid w:val="007626E6"/>
    <w:rsid w:val="00767D58"/>
    <w:rsid w:val="00773083"/>
    <w:rsid w:val="00774D17"/>
    <w:rsid w:val="00780B90"/>
    <w:rsid w:val="007852A1"/>
    <w:rsid w:val="007937E3"/>
    <w:rsid w:val="007B2FE1"/>
    <w:rsid w:val="007B311F"/>
    <w:rsid w:val="007B3F35"/>
    <w:rsid w:val="007C2880"/>
    <w:rsid w:val="007C51E1"/>
    <w:rsid w:val="007C5C26"/>
    <w:rsid w:val="007E0AFA"/>
    <w:rsid w:val="007F1666"/>
    <w:rsid w:val="007F268C"/>
    <w:rsid w:val="007F6620"/>
    <w:rsid w:val="007F7725"/>
    <w:rsid w:val="0080296B"/>
    <w:rsid w:val="00804661"/>
    <w:rsid w:val="00814C95"/>
    <w:rsid w:val="00825593"/>
    <w:rsid w:val="00826244"/>
    <w:rsid w:val="00830DBA"/>
    <w:rsid w:val="00831ABC"/>
    <w:rsid w:val="0083409B"/>
    <w:rsid w:val="00834A07"/>
    <w:rsid w:val="00834D5E"/>
    <w:rsid w:val="00841573"/>
    <w:rsid w:val="00843FDA"/>
    <w:rsid w:val="008550DC"/>
    <w:rsid w:val="00857812"/>
    <w:rsid w:val="00860391"/>
    <w:rsid w:val="008611D8"/>
    <w:rsid w:val="00867356"/>
    <w:rsid w:val="00871E07"/>
    <w:rsid w:val="008753CB"/>
    <w:rsid w:val="00875D39"/>
    <w:rsid w:val="00877149"/>
    <w:rsid w:val="00881ECB"/>
    <w:rsid w:val="00882F06"/>
    <w:rsid w:val="00895280"/>
    <w:rsid w:val="008A1203"/>
    <w:rsid w:val="008B02BC"/>
    <w:rsid w:val="008B133F"/>
    <w:rsid w:val="008B58A2"/>
    <w:rsid w:val="008B6446"/>
    <w:rsid w:val="008C0FF6"/>
    <w:rsid w:val="008C3756"/>
    <w:rsid w:val="008C3DD3"/>
    <w:rsid w:val="008D2034"/>
    <w:rsid w:val="008E647C"/>
    <w:rsid w:val="008F7D2E"/>
    <w:rsid w:val="009106A6"/>
    <w:rsid w:val="00922B7A"/>
    <w:rsid w:val="00926235"/>
    <w:rsid w:val="00930D06"/>
    <w:rsid w:val="00933507"/>
    <w:rsid w:val="00935941"/>
    <w:rsid w:val="009414C5"/>
    <w:rsid w:val="00943A46"/>
    <w:rsid w:val="00943FB2"/>
    <w:rsid w:val="00944A56"/>
    <w:rsid w:val="00946A61"/>
    <w:rsid w:val="009530D1"/>
    <w:rsid w:val="00953654"/>
    <w:rsid w:val="0097760D"/>
    <w:rsid w:val="00981548"/>
    <w:rsid w:val="00982861"/>
    <w:rsid w:val="0098596E"/>
    <w:rsid w:val="00987853"/>
    <w:rsid w:val="00993666"/>
    <w:rsid w:val="00996B61"/>
    <w:rsid w:val="00996DE0"/>
    <w:rsid w:val="009A0DAF"/>
    <w:rsid w:val="009A17C4"/>
    <w:rsid w:val="009B3BDA"/>
    <w:rsid w:val="009C35F6"/>
    <w:rsid w:val="009D3CE5"/>
    <w:rsid w:val="009D4055"/>
    <w:rsid w:val="009D50AD"/>
    <w:rsid w:val="009E0F97"/>
    <w:rsid w:val="009E40B6"/>
    <w:rsid w:val="009F5DC2"/>
    <w:rsid w:val="009F6CDC"/>
    <w:rsid w:val="00A10590"/>
    <w:rsid w:val="00A10607"/>
    <w:rsid w:val="00A106C3"/>
    <w:rsid w:val="00A1172C"/>
    <w:rsid w:val="00A12143"/>
    <w:rsid w:val="00A245E1"/>
    <w:rsid w:val="00A35CA1"/>
    <w:rsid w:val="00A4066C"/>
    <w:rsid w:val="00A47120"/>
    <w:rsid w:val="00A55EBF"/>
    <w:rsid w:val="00A64CB0"/>
    <w:rsid w:val="00A660B0"/>
    <w:rsid w:val="00A72D19"/>
    <w:rsid w:val="00A755F3"/>
    <w:rsid w:val="00A76F83"/>
    <w:rsid w:val="00A809AB"/>
    <w:rsid w:val="00A82AA3"/>
    <w:rsid w:val="00A86086"/>
    <w:rsid w:val="00A91308"/>
    <w:rsid w:val="00AA0F80"/>
    <w:rsid w:val="00AA76D4"/>
    <w:rsid w:val="00AA7B24"/>
    <w:rsid w:val="00AB1443"/>
    <w:rsid w:val="00AB15AE"/>
    <w:rsid w:val="00AB321B"/>
    <w:rsid w:val="00AB4766"/>
    <w:rsid w:val="00AB6469"/>
    <w:rsid w:val="00AC112D"/>
    <w:rsid w:val="00AC6977"/>
    <w:rsid w:val="00AD0034"/>
    <w:rsid w:val="00AD13A8"/>
    <w:rsid w:val="00AD2297"/>
    <w:rsid w:val="00AE15AA"/>
    <w:rsid w:val="00AE421A"/>
    <w:rsid w:val="00AF0FBA"/>
    <w:rsid w:val="00B01C86"/>
    <w:rsid w:val="00B01D57"/>
    <w:rsid w:val="00B04100"/>
    <w:rsid w:val="00B22C10"/>
    <w:rsid w:val="00B23D4F"/>
    <w:rsid w:val="00B24BDC"/>
    <w:rsid w:val="00B2641E"/>
    <w:rsid w:val="00B36B67"/>
    <w:rsid w:val="00B40E3A"/>
    <w:rsid w:val="00B57F60"/>
    <w:rsid w:val="00B64231"/>
    <w:rsid w:val="00B70DA1"/>
    <w:rsid w:val="00B77AE5"/>
    <w:rsid w:val="00B90E12"/>
    <w:rsid w:val="00B97A67"/>
    <w:rsid w:val="00BA215F"/>
    <w:rsid w:val="00BA2FEB"/>
    <w:rsid w:val="00BA77EB"/>
    <w:rsid w:val="00BB0330"/>
    <w:rsid w:val="00BB0A04"/>
    <w:rsid w:val="00BB354C"/>
    <w:rsid w:val="00BC2040"/>
    <w:rsid w:val="00BC6747"/>
    <w:rsid w:val="00BD74EA"/>
    <w:rsid w:val="00BE4A50"/>
    <w:rsid w:val="00BE4FD5"/>
    <w:rsid w:val="00BE6C06"/>
    <w:rsid w:val="00BE75AC"/>
    <w:rsid w:val="00BF7894"/>
    <w:rsid w:val="00C00E34"/>
    <w:rsid w:val="00C13713"/>
    <w:rsid w:val="00C25AF5"/>
    <w:rsid w:val="00C32F99"/>
    <w:rsid w:val="00C33493"/>
    <w:rsid w:val="00C3380D"/>
    <w:rsid w:val="00C35E30"/>
    <w:rsid w:val="00C45C79"/>
    <w:rsid w:val="00C45CCB"/>
    <w:rsid w:val="00C51EE7"/>
    <w:rsid w:val="00C61889"/>
    <w:rsid w:val="00C71622"/>
    <w:rsid w:val="00C75AA3"/>
    <w:rsid w:val="00C900F0"/>
    <w:rsid w:val="00C925CA"/>
    <w:rsid w:val="00C97BBF"/>
    <w:rsid w:val="00C97CC9"/>
    <w:rsid w:val="00CA589A"/>
    <w:rsid w:val="00CA7BE1"/>
    <w:rsid w:val="00CB5241"/>
    <w:rsid w:val="00CC4EE6"/>
    <w:rsid w:val="00CD2423"/>
    <w:rsid w:val="00CE65E6"/>
    <w:rsid w:val="00CF26C5"/>
    <w:rsid w:val="00CF3BBB"/>
    <w:rsid w:val="00CF4A16"/>
    <w:rsid w:val="00CF4C4A"/>
    <w:rsid w:val="00CF4E6C"/>
    <w:rsid w:val="00D01229"/>
    <w:rsid w:val="00D028C6"/>
    <w:rsid w:val="00D06DB1"/>
    <w:rsid w:val="00D11189"/>
    <w:rsid w:val="00D135A9"/>
    <w:rsid w:val="00D1573B"/>
    <w:rsid w:val="00D17531"/>
    <w:rsid w:val="00D21460"/>
    <w:rsid w:val="00D2201A"/>
    <w:rsid w:val="00D252E4"/>
    <w:rsid w:val="00D273CF"/>
    <w:rsid w:val="00D27706"/>
    <w:rsid w:val="00D353F9"/>
    <w:rsid w:val="00D57067"/>
    <w:rsid w:val="00D611D3"/>
    <w:rsid w:val="00D632D1"/>
    <w:rsid w:val="00D64990"/>
    <w:rsid w:val="00D71655"/>
    <w:rsid w:val="00D745A0"/>
    <w:rsid w:val="00D759E7"/>
    <w:rsid w:val="00D76B2D"/>
    <w:rsid w:val="00D77F52"/>
    <w:rsid w:val="00D90289"/>
    <w:rsid w:val="00D93AB5"/>
    <w:rsid w:val="00DA3131"/>
    <w:rsid w:val="00DB1A95"/>
    <w:rsid w:val="00DB6682"/>
    <w:rsid w:val="00DB67C0"/>
    <w:rsid w:val="00DC7EA8"/>
    <w:rsid w:val="00DD03DB"/>
    <w:rsid w:val="00DD346B"/>
    <w:rsid w:val="00DE283C"/>
    <w:rsid w:val="00DF64A7"/>
    <w:rsid w:val="00E05C18"/>
    <w:rsid w:val="00E07770"/>
    <w:rsid w:val="00E115D4"/>
    <w:rsid w:val="00E16C3C"/>
    <w:rsid w:val="00E22137"/>
    <w:rsid w:val="00E24B88"/>
    <w:rsid w:val="00E3010C"/>
    <w:rsid w:val="00E40BD4"/>
    <w:rsid w:val="00E41927"/>
    <w:rsid w:val="00E466F0"/>
    <w:rsid w:val="00E61724"/>
    <w:rsid w:val="00E632E9"/>
    <w:rsid w:val="00E64EDC"/>
    <w:rsid w:val="00E816C0"/>
    <w:rsid w:val="00E93867"/>
    <w:rsid w:val="00E945D5"/>
    <w:rsid w:val="00EA36AF"/>
    <w:rsid w:val="00EB712A"/>
    <w:rsid w:val="00EC3B03"/>
    <w:rsid w:val="00ED3052"/>
    <w:rsid w:val="00ED3811"/>
    <w:rsid w:val="00EF43ED"/>
    <w:rsid w:val="00EF4DEA"/>
    <w:rsid w:val="00EF65ED"/>
    <w:rsid w:val="00F00389"/>
    <w:rsid w:val="00F04D56"/>
    <w:rsid w:val="00F06475"/>
    <w:rsid w:val="00F073A4"/>
    <w:rsid w:val="00F0750E"/>
    <w:rsid w:val="00F1483D"/>
    <w:rsid w:val="00F25403"/>
    <w:rsid w:val="00F30DAF"/>
    <w:rsid w:val="00F33D4A"/>
    <w:rsid w:val="00F35A07"/>
    <w:rsid w:val="00F3687A"/>
    <w:rsid w:val="00F41765"/>
    <w:rsid w:val="00F43D16"/>
    <w:rsid w:val="00F44F54"/>
    <w:rsid w:val="00F4519E"/>
    <w:rsid w:val="00F47C32"/>
    <w:rsid w:val="00F53BA5"/>
    <w:rsid w:val="00F54404"/>
    <w:rsid w:val="00F608CE"/>
    <w:rsid w:val="00F65D49"/>
    <w:rsid w:val="00F73323"/>
    <w:rsid w:val="00F75016"/>
    <w:rsid w:val="00F757A2"/>
    <w:rsid w:val="00F93898"/>
    <w:rsid w:val="00F953A0"/>
    <w:rsid w:val="00FA5C93"/>
    <w:rsid w:val="00FB1219"/>
    <w:rsid w:val="00FB33A5"/>
    <w:rsid w:val="00FB7937"/>
    <w:rsid w:val="00FD18E7"/>
    <w:rsid w:val="00FD626C"/>
    <w:rsid w:val="00FD6F83"/>
    <w:rsid w:val="00FE3AE0"/>
    <w:rsid w:val="00FE7474"/>
    <w:rsid w:val="00FF5016"/>
    <w:rsid w:val="2AB74EFE"/>
    <w:rsid w:val="6E19D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E879CF9"/>
  <w15:docId w15:val="{DBCB0A59-8451-47E3-966A-04BF9D00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C8A"/>
    <w:rPr>
      <w:color w:val="0000FF" w:themeColor="hyperlink"/>
      <w:u w:val="single"/>
    </w:rPr>
  </w:style>
  <w:style w:type="paragraph" w:styleId="FootnoteText">
    <w:name w:val="footnote text"/>
    <w:basedOn w:val="Normal"/>
    <w:link w:val="FootnoteTextChar"/>
    <w:uiPriority w:val="99"/>
    <w:semiHidden/>
    <w:unhideWhenUsed/>
    <w:rsid w:val="007F16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1666"/>
    <w:rPr>
      <w:sz w:val="20"/>
      <w:szCs w:val="20"/>
    </w:rPr>
  </w:style>
  <w:style w:type="character" w:styleId="FootnoteReference">
    <w:name w:val="footnote reference"/>
    <w:basedOn w:val="DefaultParagraphFont"/>
    <w:uiPriority w:val="99"/>
    <w:semiHidden/>
    <w:unhideWhenUsed/>
    <w:rsid w:val="007F1666"/>
    <w:rPr>
      <w:vertAlign w:val="superscript"/>
    </w:rPr>
  </w:style>
  <w:style w:type="paragraph" w:styleId="Header">
    <w:name w:val="header"/>
    <w:basedOn w:val="Normal"/>
    <w:link w:val="HeaderChar"/>
    <w:uiPriority w:val="99"/>
    <w:unhideWhenUsed/>
    <w:rsid w:val="00877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149"/>
  </w:style>
  <w:style w:type="paragraph" w:styleId="Footer">
    <w:name w:val="footer"/>
    <w:basedOn w:val="Normal"/>
    <w:link w:val="FooterChar"/>
    <w:uiPriority w:val="99"/>
    <w:unhideWhenUsed/>
    <w:rsid w:val="00877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149"/>
  </w:style>
  <w:style w:type="character" w:styleId="CommentReference">
    <w:name w:val="annotation reference"/>
    <w:basedOn w:val="DefaultParagraphFont"/>
    <w:uiPriority w:val="99"/>
    <w:semiHidden/>
    <w:unhideWhenUsed/>
    <w:rsid w:val="00587300"/>
    <w:rPr>
      <w:sz w:val="16"/>
      <w:szCs w:val="16"/>
    </w:rPr>
  </w:style>
  <w:style w:type="paragraph" w:styleId="CommentText">
    <w:name w:val="annotation text"/>
    <w:basedOn w:val="Normal"/>
    <w:link w:val="CommentTextChar"/>
    <w:uiPriority w:val="99"/>
    <w:semiHidden/>
    <w:unhideWhenUsed/>
    <w:rsid w:val="00587300"/>
    <w:pPr>
      <w:spacing w:line="240" w:lineRule="auto"/>
    </w:pPr>
    <w:rPr>
      <w:sz w:val="20"/>
      <w:szCs w:val="20"/>
    </w:rPr>
  </w:style>
  <w:style w:type="character" w:customStyle="1" w:styleId="CommentTextChar">
    <w:name w:val="Comment Text Char"/>
    <w:basedOn w:val="DefaultParagraphFont"/>
    <w:link w:val="CommentText"/>
    <w:uiPriority w:val="99"/>
    <w:semiHidden/>
    <w:rsid w:val="00587300"/>
    <w:rPr>
      <w:sz w:val="20"/>
      <w:szCs w:val="20"/>
    </w:rPr>
  </w:style>
  <w:style w:type="paragraph" w:styleId="CommentSubject">
    <w:name w:val="annotation subject"/>
    <w:basedOn w:val="CommentText"/>
    <w:next w:val="CommentText"/>
    <w:link w:val="CommentSubjectChar"/>
    <w:uiPriority w:val="99"/>
    <w:semiHidden/>
    <w:unhideWhenUsed/>
    <w:rsid w:val="00587300"/>
    <w:rPr>
      <w:b/>
      <w:bCs/>
    </w:rPr>
  </w:style>
  <w:style w:type="character" w:customStyle="1" w:styleId="CommentSubjectChar">
    <w:name w:val="Comment Subject Char"/>
    <w:basedOn w:val="CommentTextChar"/>
    <w:link w:val="CommentSubject"/>
    <w:uiPriority w:val="99"/>
    <w:semiHidden/>
    <w:rsid w:val="00587300"/>
    <w:rPr>
      <w:b/>
      <w:bCs/>
      <w:sz w:val="20"/>
      <w:szCs w:val="20"/>
    </w:rPr>
  </w:style>
  <w:style w:type="paragraph" w:styleId="BalloonText">
    <w:name w:val="Balloon Text"/>
    <w:basedOn w:val="Normal"/>
    <w:link w:val="BalloonTextChar"/>
    <w:uiPriority w:val="99"/>
    <w:semiHidden/>
    <w:unhideWhenUsed/>
    <w:rsid w:val="00587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300"/>
    <w:rPr>
      <w:rFonts w:ascii="Tahoma" w:hAnsi="Tahoma" w:cs="Tahoma"/>
      <w:sz w:val="16"/>
      <w:szCs w:val="16"/>
    </w:rPr>
  </w:style>
  <w:style w:type="paragraph" w:styleId="Revision">
    <w:name w:val="Revision"/>
    <w:hidden/>
    <w:uiPriority w:val="99"/>
    <w:semiHidden/>
    <w:rsid w:val="00587300"/>
    <w:pPr>
      <w:spacing w:after="0" w:line="240" w:lineRule="auto"/>
    </w:pPr>
  </w:style>
  <w:style w:type="paragraph" w:styleId="NormalWeb">
    <w:name w:val="Normal (Web)"/>
    <w:basedOn w:val="Normal"/>
    <w:uiPriority w:val="99"/>
    <w:unhideWhenUsed/>
    <w:rsid w:val="005347A7"/>
    <w:pPr>
      <w:spacing w:before="100" w:beforeAutospacing="1" w:after="100" w:afterAutospacing="1" w:line="240" w:lineRule="auto"/>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AC69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6977"/>
    <w:rPr>
      <w:sz w:val="20"/>
      <w:szCs w:val="20"/>
    </w:rPr>
  </w:style>
  <w:style w:type="character" w:styleId="EndnoteReference">
    <w:name w:val="endnote reference"/>
    <w:basedOn w:val="DefaultParagraphFont"/>
    <w:uiPriority w:val="99"/>
    <w:semiHidden/>
    <w:unhideWhenUsed/>
    <w:rsid w:val="00AC69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100353">
      <w:bodyDiv w:val="1"/>
      <w:marLeft w:val="0"/>
      <w:marRight w:val="0"/>
      <w:marTop w:val="0"/>
      <w:marBottom w:val="0"/>
      <w:divBdr>
        <w:top w:val="none" w:sz="0" w:space="0" w:color="auto"/>
        <w:left w:val="none" w:sz="0" w:space="0" w:color="auto"/>
        <w:bottom w:val="none" w:sz="0" w:space="0" w:color="auto"/>
        <w:right w:val="none" w:sz="0" w:space="0" w:color="auto"/>
      </w:divBdr>
    </w:div>
    <w:div w:id="612637318">
      <w:bodyDiv w:val="1"/>
      <w:marLeft w:val="0"/>
      <w:marRight w:val="0"/>
      <w:marTop w:val="0"/>
      <w:marBottom w:val="0"/>
      <w:divBdr>
        <w:top w:val="none" w:sz="0" w:space="0" w:color="auto"/>
        <w:left w:val="none" w:sz="0" w:space="0" w:color="auto"/>
        <w:bottom w:val="none" w:sz="0" w:space="0" w:color="auto"/>
        <w:right w:val="none" w:sz="0" w:space="0" w:color="auto"/>
      </w:divBdr>
    </w:div>
    <w:div w:id="978925338">
      <w:bodyDiv w:val="1"/>
      <w:marLeft w:val="0"/>
      <w:marRight w:val="0"/>
      <w:marTop w:val="0"/>
      <w:marBottom w:val="0"/>
      <w:divBdr>
        <w:top w:val="none" w:sz="0" w:space="0" w:color="auto"/>
        <w:left w:val="none" w:sz="0" w:space="0" w:color="auto"/>
        <w:bottom w:val="none" w:sz="0" w:space="0" w:color="auto"/>
        <w:right w:val="none" w:sz="0" w:space="0" w:color="auto"/>
      </w:divBdr>
    </w:div>
    <w:div w:id="1120493231">
      <w:bodyDiv w:val="1"/>
      <w:marLeft w:val="0"/>
      <w:marRight w:val="0"/>
      <w:marTop w:val="0"/>
      <w:marBottom w:val="0"/>
      <w:divBdr>
        <w:top w:val="none" w:sz="0" w:space="0" w:color="auto"/>
        <w:left w:val="none" w:sz="0" w:space="0" w:color="auto"/>
        <w:bottom w:val="none" w:sz="0" w:space="0" w:color="auto"/>
        <w:right w:val="none" w:sz="0" w:space="0" w:color="auto"/>
      </w:divBdr>
      <w:divsChild>
        <w:div w:id="288899892">
          <w:marLeft w:val="0"/>
          <w:marRight w:val="0"/>
          <w:marTop w:val="0"/>
          <w:marBottom w:val="0"/>
          <w:divBdr>
            <w:top w:val="none" w:sz="0" w:space="0" w:color="auto"/>
            <w:left w:val="none" w:sz="0" w:space="0" w:color="auto"/>
            <w:bottom w:val="none" w:sz="0" w:space="0" w:color="auto"/>
            <w:right w:val="none" w:sz="0" w:space="0" w:color="auto"/>
          </w:divBdr>
        </w:div>
        <w:div w:id="368384970">
          <w:marLeft w:val="0"/>
          <w:marRight w:val="0"/>
          <w:marTop w:val="0"/>
          <w:marBottom w:val="0"/>
          <w:divBdr>
            <w:top w:val="none" w:sz="0" w:space="0" w:color="auto"/>
            <w:left w:val="none" w:sz="0" w:space="0" w:color="auto"/>
            <w:bottom w:val="none" w:sz="0" w:space="0" w:color="auto"/>
            <w:right w:val="none" w:sz="0" w:space="0" w:color="auto"/>
          </w:divBdr>
        </w:div>
        <w:div w:id="509295167">
          <w:marLeft w:val="0"/>
          <w:marRight w:val="0"/>
          <w:marTop w:val="0"/>
          <w:marBottom w:val="0"/>
          <w:divBdr>
            <w:top w:val="none" w:sz="0" w:space="0" w:color="auto"/>
            <w:left w:val="none" w:sz="0" w:space="0" w:color="auto"/>
            <w:bottom w:val="none" w:sz="0" w:space="0" w:color="auto"/>
            <w:right w:val="none" w:sz="0" w:space="0" w:color="auto"/>
          </w:divBdr>
        </w:div>
        <w:div w:id="1020279557">
          <w:marLeft w:val="0"/>
          <w:marRight w:val="0"/>
          <w:marTop w:val="0"/>
          <w:marBottom w:val="0"/>
          <w:divBdr>
            <w:top w:val="none" w:sz="0" w:space="0" w:color="auto"/>
            <w:left w:val="none" w:sz="0" w:space="0" w:color="auto"/>
            <w:bottom w:val="none" w:sz="0" w:space="0" w:color="auto"/>
            <w:right w:val="none" w:sz="0" w:space="0" w:color="auto"/>
          </w:divBdr>
        </w:div>
        <w:div w:id="1136601156">
          <w:marLeft w:val="0"/>
          <w:marRight w:val="0"/>
          <w:marTop w:val="0"/>
          <w:marBottom w:val="0"/>
          <w:divBdr>
            <w:top w:val="none" w:sz="0" w:space="0" w:color="auto"/>
            <w:left w:val="none" w:sz="0" w:space="0" w:color="auto"/>
            <w:bottom w:val="none" w:sz="0" w:space="0" w:color="auto"/>
            <w:right w:val="none" w:sz="0" w:space="0" w:color="auto"/>
          </w:divBdr>
        </w:div>
        <w:div w:id="1569999574">
          <w:marLeft w:val="0"/>
          <w:marRight w:val="0"/>
          <w:marTop w:val="0"/>
          <w:marBottom w:val="0"/>
          <w:divBdr>
            <w:top w:val="none" w:sz="0" w:space="0" w:color="auto"/>
            <w:left w:val="none" w:sz="0" w:space="0" w:color="auto"/>
            <w:bottom w:val="none" w:sz="0" w:space="0" w:color="auto"/>
            <w:right w:val="none" w:sz="0" w:space="0" w:color="auto"/>
          </w:divBdr>
        </w:div>
        <w:div w:id="2018919605">
          <w:marLeft w:val="0"/>
          <w:marRight w:val="0"/>
          <w:marTop w:val="0"/>
          <w:marBottom w:val="0"/>
          <w:divBdr>
            <w:top w:val="none" w:sz="0" w:space="0" w:color="auto"/>
            <w:left w:val="none" w:sz="0" w:space="0" w:color="auto"/>
            <w:bottom w:val="none" w:sz="0" w:space="0" w:color="auto"/>
            <w:right w:val="none" w:sz="0" w:space="0" w:color="auto"/>
          </w:divBdr>
        </w:div>
      </w:divsChild>
    </w:div>
    <w:div w:id="1311399926">
      <w:bodyDiv w:val="1"/>
      <w:marLeft w:val="0"/>
      <w:marRight w:val="0"/>
      <w:marTop w:val="0"/>
      <w:marBottom w:val="0"/>
      <w:divBdr>
        <w:top w:val="none" w:sz="0" w:space="0" w:color="auto"/>
        <w:left w:val="none" w:sz="0" w:space="0" w:color="auto"/>
        <w:bottom w:val="none" w:sz="0" w:space="0" w:color="auto"/>
        <w:right w:val="none" w:sz="0" w:space="0" w:color="auto"/>
      </w:divBdr>
      <w:divsChild>
        <w:div w:id="1530298238">
          <w:marLeft w:val="0"/>
          <w:marRight w:val="0"/>
          <w:marTop w:val="0"/>
          <w:marBottom w:val="0"/>
          <w:divBdr>
            <w:top w:val="none" w:sz="0" w:space="0" w:color="auto"/>
            <w:left w:val="none" w:sz="0" w:space="0" w:color="auto"/>
            <w:bottom w:val="none" w:sz="0" w:space="0" w:color="auto"/>
            <w:right w:val="none" w:sz="0" w:space="0" w:color="auto"/>
          </w:divBdr>
          <w:divsChild>
            <w:div w:id="864487504">
              <w:marLeft w:val="0"/>
              <w:marRight w:val="0"/>
              <w:marTop w:val="0"/>
              <w:marBottom w:val="0"/>
              <w:divBdr>
                <w:top w:val="none" w:sz="0" w:space="0" w:color="auto"/>
                <w:left w:val="none" w:sz="0" w:space="0" w:color="auto"/>
                <w:bottom w:val="none" w:sz="0" w:space="0" w:color="auto"/>
                <w:right w:val="none" w:sz="0" w:space="0" w:color="auto"/>
              </w:divBdr>
              <w:divsChild>
                <w:div w:id="578952478">
                  <w:marLeft w:val="0"/>
                  <w:marRight w:val="0"/>
                  <w:marTop w:val="0"/>
                  <w:marBottom w:val="0"/>
                  <w:divBdr>
                    <w:top w:val="none" w:sz="0" w:space="0" w:color="auto"/>
                    <w:left w:val="none" w:sz="0" w:space="0" w:color="auto"/>
                    <w:bottom w:val="none" w:sz="0" w:space="0" w:color="auto"/>
                    <w:right w:val="none" w:sz="0" w:space="0" w:color="auto"/>
                  </w:divBdr>
                  <w:divsChild>
                    <w:div w:id="1287463180">
                      <w:marLeft w:val="0"/>
                      <w:marRight w:val="0"/>
                      <w:marTop w:val="0"/>
                      <w:marBottom w:val="0"/>
                      <w:divBdr>
                        <w:top w:val="none" w:sz="0" w:space="0" w:color="auto"/>
                        <w:left w:val="none" w:sz="0" w:space="0" w:color="auto"/>
                        <w:bottom w:val="none" w:sz="0" w:space="0" w:color="auto"/>
                        <w:right w:val="none" w:sz="0" w:space="0" w:color="auto"/>
                      </w:divBdr>
                      <w:divsChild>
                        <w:div w:id="1794859088">
                          <w:marLeft w:val="0"/>
                          <w:marRight w:val="0"/>
                          <w:marTop w:val="0"/>
                          <w:marBottom w:val="0"/>
                          <w:divBdr>
                            <w:top w:val="none" w:sz="0" w:space="0" w:color="auto"/>
                            <w:left w:val="none" w:sz="0" w:space="0" w:color="auto"/>
                            <w:bottom w:val="none" w:sz="0" w:space="0" w:color="auto"/>
                            <w:right w:val="none" w:sz="0" w:space="0" w:color="auto"/>
                          </w:divBdr>
                          <w:divsChild>
                            <w:div w:id="2145463235">
                              <w:marLeft w:val="0"/>
                              <w:marRight w:val="0"/>
                              <w:marTop w:val="0"/>
                              <w:marBottom w:val="0"/>
                              <w:divBdr>
                                <w:top w:val="none" w:sz="0" w:space="0" w:color="auto"/>
                                <w:left w:val="none" w:sz="0" w:space="0" w:color="auto"/>
                                <w:bottom w:val="none" w:sz="0" w:space="0" w:color="auto"/>
                                <w:right w:val="none" w:sz="0" w:space="0" w:color="auto"/>
                              </w:divBdr>
                              <w:divsChild>
                                <w:div w:id="1355570035">
                                  <w:marLeft w:val="0"/>
                                  <w:marRight w:val="0"/>
                                  <w:marTop w:val="0"/>
                                  <w:marBottom w:val="0"/>
                                  <w:divBdr>
                                    <w:top w:val="none" w:sz="0" w:space="0" w:color="auto"/>
                                    <w:left w:val="none" w:sz="0" w:space="0" w:color="auto"/>
                                    <w:bottom w:val="none" w:sz="0" w:space="0" w:color="auto"/>
                                    <w:right w:val="none" w:sz="0" w:space="0" w:color="auto"/>
                                  </w:divBdr>
                                  <w:divsChild>
                                    <w:div w:id="251084598">
                                      <w:marLeft w:val="0"/>
                                      <w:marRight w:val="0"/>
                                      <w:marTop w:val="0"/>
                                      <w:marBottom w:val="0"/>
                                      <w:divBdr>
                                        <w:top w:val="none" w:sz="0" w:space="0" w:color="auto"/>
                                        <w:left w:val="none" w:sz="0" w:space="0" w:color="auto"/>
                                        <w:bottom w:val="none" w:sz="0" w:space="0" w:color="auto"/>
                                        <w:right w:val="none" w:sz="0" w:space="0" w:color="auto"/>
                                      </w:divBdr>
                                      <w:divsChild>
                                        <w:div w:id="1147748423">
                                          <w:marLeft w:val="0"/>
                                          <w:marRight w:val="0"/>
                                          <w:marTop w:val="0"/>
                                          <w:marBottom w:val="0"/>
                                          <w:divBdr>
                                            <w:top w:val="none" w:sz="0" w:space="0" w:color="auto"/>
                                            <w:left w:val="none" w:sz="0" w:space="0" w:color="auto"/>
                                            <w:bottom w:val="none" w:sz="0" w:space="0" w:color="auto"/>
                                            <w:right w:val="none" w:sz="0" w:space="0" w:color="auto"/>
                                          </w:divBdr>
                                          <w:divsChild>
                                            <w:div w:id="960499731">
                                              <w:marLeft w:val="0"/>
                                              <w:marRight w:val="0"/>
                                              <w:marTop w:val="0"/>
                                              <w:marBottom w:val="0"/>
                                              <w:divBdr>
                                                <w:top w:val="none" w:sz="0" w:space="0" w:color="auto"/>
                                                <w:left w:val="none" w:sz="0" w:space="0" w:color="auto"/>
                                                <w:bottom w:val="none" w:sz="0" w:space="0" w:color="auto"/>
                                                <w:right w:val="none" w:sz="0" w:space="0" w:color="auto"/>
                                              </w:divBdr>
                                              <w:divsChild>
                                                <w:div w:id="18891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37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d.org" TargetMode="External"/><Relationship Id="rId13" Type="http://schemas.openxmlformats.org/officeDocument/2006/relationships/package" Target="embeddings/Microsoft_Excel_Worksheet2.xlsx"/><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package" Target="embeddings/Microsoft_Excel_Worksheet6.xlsx"/><Relationship Id="rId7" Type="http://schemas.openxmlformats.org/officeDocument/2006/relationships/hyperlink" Target="mailto:a.w.stevens@kent.ac.uk" TargetMode="External"/><Relationship Id="rId12" Type="http://schemas.openxmlformats.org/officeDocument/2006/relationships/image" Target="media/image2.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Excel_Worksheet1.xlsx"/><Relationship Id="rId24" Type="http://schemas.openxmlformats.org/officeDocument/2006/relationships/image" Target="media/image8.emf"/><Relationship Id="rId5" Type="http://schemas.openxmlformats.org/officeDocument/2006/relationships/footnotes" Target="footnote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package" Target="embeddings/Microsoft_Excel_Worksheet5.xlsx"/><Relationship Id="rId4" Type="http://schemas.openxmlformats.org/officeDocument/2006/relationships/webSettings" Target="webSettings.xml"/><Relationship Id="rId9" Type="http://schemas.openxmlformats.org/officeDocument/2006/relationships/hyperlink" Target="http://www.hbsc.org"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44F5B-7931-44E9-BDAF-EE69206A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9266</Words>
  <Characters>52818</Characters>
  <Application>Microsoft Office Word</Application>
  <DocSecurity>4</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61961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Stevens</dc:creator>
  <cp:lastModifiedBy>Lisa Towers</cp:lastModifiedBy>
  <cp:revision>2</cp:revision>
  <dcterms:created xsi:type="dcterms:W3CDTF">2016-02-23T09:47:00Z</dcterms:created>
  <dcterms:modified xsi:type="dcterms:W3CDTF">2016-02-23T09:47:00Z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