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347A6" w14:textId="7CA98901" w:rsidR="008B197E" w:rsidRDefault="00DB0C9E">
      <w:pPr>
        <w:pStyle w:val="Paper-Title"/>
        <w:spacing w:after="60"/>
      </w:pPr>
      <w:r>
        <w:t>Songs are the tapping</w:t>
      </w:r>
      <w:r w:rsidR="0065295E">
        <w:t xml:space="preserve"> of keys</w:t>
      </w:r>
      <w:r w:rsidR="00616A40">
        <w:t>… Coding events for Kids</w:t>
      </w:r>
    </w:p>
    <w:p w14:paraId="15B05232" w14:textId="77777777" w:rsidR="008B197E" w:rsidRDefault="008B197E">
      <w:pPr>
        <w:sectPr w:rsidR="008B197E" w:rsidSect="003B4153">
          <w:footerReference w:type="even" r:id="rId8"/>
          <w:pgSz w:w="12240" w:h="15840" w:code="1"/>
          <w:pgMar w:top="1080" w:right="1080" w:bottom="1440" w:left="1080" w:header="720" w:footer="720" w:gutter="0"/>
          <w:cols w:space="720"/>
        </w:sectPr>
      </w:pPr>
    </w:p>
    <w:p w14:paraId="284E060F" w14:textId="77777777" w:rsidR="008B197E" w:rsidRDefault="007F0208">
      <w:pPr>
        <w:pStyle w:val="Author"/>
        <w:spacing w:after="0"/>
        <w:rPr>
          <w:spacing w:val="-2"/>
        </w:rPr>
      </w:pPr>
      <w:r>
        <w:rPr>
          <w:spacing w:val="-2"/>
        </w:rPr>
        <w:lastRenderedPageBreak/>
        <w:t>Nigel Beacham</w:t>
      </w:r>
    </w:p>
    <w:p w14:paraId="544B3947" w14:textId="77777777" w:rsidR="007F0208" w:rsidRDefault="007F0208" w:rsidP="007F0208">
      <w:pPr>
        <w:pStyle w:val="Affiliations"/>
        <w:rPr>
          <w:spacing w:val="-2"/>
        </w:rPr>
      </w:pPr>
      <w:r w:rsidRPr="007F0208">
        <w:rPr>
          <w:spacing w:val="-2"/>
        </w:rPr>
        <w:t>University of Aberdeen</w:t>
      </w:r>
      <w:r>
        <w:rPr>
          <w:spacing w:val="-2"/>
        </w:rPr>
        <w:br/>
        <w:t>Computing Science, Meston Bldg.</w:t>
      </w:r>
      <w:r>
        <w:rPr>
          <w:spacing w:val="-2"/>
        </w:rPr>
        <w:br/>
        <w:t>Aberdeen, AB24 3UE, UK</w:t>
      </w:r>
      <w:r>
        <w:rPr>
          <w:spacing w:val="-2"/>
        </w:rPr>
        <w:br/>
        <w:t>+44 (0)1224 2723878</w:t>
      </w:r>
    </w:p>
    <w:p w14:paraId="64E12BBD" w14:textId="77777777" w:rsidR="008B197E" w:rsidRDefault="00C70D38">
      <w:pPr>
        <w:pStyle w:val="E-Mail"/>
        <w:rPr>
          <w:spacing w:val="-2"/>
        </w:rPr>
      </w:pPr>
      <w:r>
        <w:rPr>
          <w:spacing w:val="-2"/>
        </w:rPr>
        <w:t>n.beacham@abdn.ac.uk</w:t>
      </w:r>
    </w:p>
    <w:p w14:paraId="2D57CE6C" w14:textId="77777777" w:rsidR="008B197E" w:rsidRDefault="008B197E">
      <w:pPr>
        <w:pStyle w:val="Author"/>
        <w:spacing w:after="0"/>
        <w:rPr>
          <w:spacing w:val="-2"/>
        </w:rPr>
      </w:pPr>
      <w:r>
        <w:rPr>
          <w:spacing w:val="-2"/>
        </w:rPr>
        <w:br w:type="column"/>
      </w:r>
      <w:r w:rsidR="007F0208">
        <w:rPr>
          <w:spacing w:val="-2"/>
        </w:rPr>
        <w:lastRenderedPageBreak/>
        <w:t>Janet Carter</w:t>
      </w:r>
    </w:p>
    <w:p w14:paraId="1C96DA21" w14:textId="77777777" w:rsidR="008B197E" w:rsidRDefault="00C70D38">
      <w:pPr>
        <w:pStyle w:val="Affiliations"/>
        <w:rPr>
          <w:spacing w:val="-2"/>
        </w:rPr>
      </w:pPr>
      <w:r>
        <w:rPr>
          <w:spacing w:val="-2"/>
        </w:rPr>
        <w:t>University of Kent</w:t>
      </w:r>
      <w:r>
        <w:rPr>
          <w:spacing w:val="-2"/>
        </w:rPr>
        <w:br/>
        <w:t>School of Computing</w:t>
      </w:r>
      <w:r>
        <w:rPr>
          <w:spacing w:val="-2"/>
        </w:rPr>
        <w:br/>
        <w:t>Canterbury, CT2 7NF</w:t>
      </w:r>
      <w:r w:rsidR="008B197E">
        <w:rPr>
          <w:spacing w:val="-2"/>
        </w:rPr>
        <w:br/>
      </w:r>
      <w:r w:rsidR="00E56A74" w:rsidRPr="00E56A74">
        <w:rPr>
          <w:spacing w:val="-2"/>
        </w:rPr>
        <w:t>+44 (0)1227 827978</w:t>
      </w:r>
    </w:p>
    <w:p w14:paraId="623AF61C" w14:textId="77777777" w:rsidR="008B197E" w:rsidRDefault="00BC2BB7">
      <w:pPr>
        <w:pStyle w:val="Author"/>
        <w:spacing w:after="0"/>
        <w:rPr>
          <w:spacing w:val="-2"/>
        </w:rPr>
      </w:pPr>
      <w:r w:rsidRPr="00BC2BB7">
        <w:rPr>
          <w:spacing w:val="-2"/>
        </w:rPr>
        <w:t>J.E.Carter@kent.ac.uk</w:t>
      </w:r>
      <w:r w:rsidR="008B197E">
        <w:rPr>
          <w:spacing w:val="-2"/>
        </w:rPr>
        <w:br w:type="column"/>
      </w:r>
      <w:r w:rsidR="007F0208">
        <w:rPr>
          <w:spacing w:val="-2"/>
        </w:rPr>
        <w:lastRenderedPageBreak/>
        <w:t>Bruce Scharlau</w:t>
      </w:r>
    </w:p>
    <w:p w14:paraId="0B006D03" w14:textId="77777777" w:rsidR="008B197E" w:rsidRDefault="007F0208">
      <w:pPr>
        <w:pStyle w:val="Affiliations"/>
        <w:rPr>
          <w:spacing w:val="-2"/>
        </w:rPr>
      </w:pPr>
      <w:r w:rsidRPr="007F0208">
        <w:rPr>
          <w:spacing w:val="-2"/>
        </w:rPr>
        <w:t>University of Aberdeen</w:t>
      </w:r>
      <w:r>
        <w:rPr>
          <w:spacing w:val="-2"/>
        </w:rPr>
        <w:br/>
        <w:t>Computing Science, Meston Bldg.</w:t>
      </w:r>
      <w:r>
        <w:rPr>
          <w:spacing w:val="-2"/>
        </w:rPr>
        <w:br/>
        <w:t>Aberdeen, AB24 3UE, UK</w:t>
      </w:r>
      <w:r>
        <w:rPr>
          <w:spacing w:val="-2"/>
        </w:rPr>
        <w:br/>
        <w:t>+44 (0)1224 272193</w:t>
      </w:r>
    </w:p>
    <w:p w14:paraId="29A98BDC" w14:textId="225C2C39" w:rsidR="008B197E" w:rsidRDefault="007F0208">
      <w:pPr>
        <w:pStyle w:val="E-Mail"/>
        <w:rPr>
          <w:spacing w:val="-2"/>
        </w:rPr>
      </w:pPr>
      <w:r>
        <w:rPr>
          <w:spacing w:val="-2"/>
        </w:rPr>
        <w:t>b.scharlau@abdn.ac.uk</w:t>
      </w:r>
    </w:p>
    <w:p w14:paraId="68672DC4" w14:textId="77777777" w:rsidR="008B197E" w:rsidRDefault="008B197E">
      <w:pPr>
        <w:pStyle w:val="E-Mail"/>
      </w:pPr>
    </w:p>
    <w:p w14:paraId="5953B6E8" w14:textId="77777777" w:rsidR="008B197E" w:rsidRDefault="008B197E">
      <w:pPr>
        <w:jc w:val="center"/>
        <w:sectPr w:rsidR="008B197E" w:rsidSect="003B4153">
          <w:type w:val="continuous"/>
          <w:pgSz w:w="12240" w:h="15840" w:code="1"/>
          <w:pgMar w:top="1080" w:right="1080" w:bottom="1440" w:left="1080" w:header="720" w:footer="720" w:gutter="0"/>
          <w:cols w:num="3" w:space="0"/>
        </w:sectPr>
      </w:pPr>
    </w:p>
    <w:p w14:paraId="7B9CC209" w14:textId="77777777" w:rsidR="008B197E" w:rsidRDefault="008B197E">
      <w:pPr>
        <w:spacing w:after="0"/>
      </w:pPr>
      <w:r>
        <w:rPr>
          <w:b/>
          <w:sz w:val="24"/>
        </w:rPr>
        <w:lastRenderedPageBreak/>
        <w:t>ABSTRACT</w:t>
      </w:r>
    </w:p>
    <w:p w14:paraId="47CCD8B7" w14:textId="711FFBAA" w:rsidR="008B197E" w:rsidRDefault="00336C9A">
      <w:pPr>
        <w:pStyle w:val="Abstract"/>
      </w:pPr>
      <w:r>
        <w:t>In this pilot study w</w:t>
      </w:r>
      <w:r w:rsidR="00021D0E">
        <w:t xml:space="preserve">e look at the </w:t>
      </w:r>
      <w:r w:rsidR="0065295E">
        <w:t xml:space="preserve">UK based </w:t>
      </w:r>
      <w:r w:rsidR="008E35FB">
        <w:t xml:space="preserve">weeklong </w:t>
      </w:r>
      <w:r w:rsidR="00021D0E">
        <w:t>Festival of Code</w:t>
      </w:r>
      <w:r w:rsidR="00D947F2">
        <w:t>, which is</w:t>
      </w:r>
      <w:r w:rsidR="00021D0E">
        <w:t xml:space="preserve"> organized by Young Rewired State</w:t>
      </w:r>
      <w:r w:rsidR="00D947F2">
        <w:t>, and has</w:t>
      </w:r>
      <w:r w:rsidR="00021D0E">
        <w:t xml:space="preserve"> for the last five years, and explore what impact this has had on the </w:t>
      </w:r>
      <w:r>
        <w:t xml:space="preserve">7-18 year old </w:t>
      </w:r>
      <w:r w:rsidR="00021D0E">
        <w:t>attendees and their subsequent development</w:t>
      </w:r>
      <w:r w:rsidR="008B197E">
        <w:t xml:space="preserve">.  </w:t>
      </w:r>
      <w:r w:rsidR="008E35FB">
        <w:t>This team based coding exercise for children has grown from 50 to 1000 participants and will have important lessons about how we address computational thinking and teaching computing science to the next generation, as well as what lessons can be learned from these informal events.</w:t>
      </w:r>
    </w:p>
    <w:p w14:paraId="11E0C5FA" w14:textId="77777777" w:rsidR="008B197E" w:rsidRDefault="008B197E">
      <w:pPr>
        <w:pStyle w:val="Heading1"/>
        <w:spacing w:before="120"/>
      </w:pPr>
      <w:r>
        <w:t>INTRODUCTION</w:t>
      </w:r>
    </w:p>
    <w:p w14:paraId="7717C82E" w14:textId="33A5B59D" w:rsidR="002D3800" w:rsidRDefault="00850530">
      <w:pPr>
        <w:pStyle w:val="BodyTextIndent"/>
        <w:spacing w:after="120"/>
        <w:ind w:firstLine="0"/>
      </w:pPr>
      <w:r>
        <w:t>Each year Young Rewired State</w:t>
      </w:r>
      <w:r w:rsidR="004B4F94">
        <w:t xml:space="preserve"> (YRS)</w:t>
      </w:r>
      <w:r>
        <w:t xml:space="preserve"> organize the weeklong Fe</w:t>
      </w:r>
      <w:r w:rsidR="00D947F2">
        <w:t>stival of Code for</w:t>
      </w:r>
      <w:r w:rsidR="00336C9A">
        <w:t xml:space="preserve"> </w:t>
      </w:r>
      <w:r w:rsidR="00616A40">
        <w:t>children</w:t>
      </w:r>
      <w:r w:rsidR="00336C9A">
        <w:t xml:space="preserve"> </w:t>
      </w:r>
      <w:r w:rsidR="008E63C8">
        <w:t xml:space="preserve">aged </w:t>
      </w:r>
      <w:r w:rsidR="00336C9A">
        <w:t>7-18</w:t>
      </w:r>
      <w:r>
        <w:t xml:space="preserve"> at m</w:t>
      </w:r>
      <w:r w:rsidR="00986631">
        <w:t>ultiple sites across the UK</w:t>
      </w:r>
      <w:r>
        <w:t>, which culminates in a weekend event at one location for all participants</w:t>
      </w:r>
      <w:r w:rsidR="008B197E">
        <w:t xml:space="preserve">. </w:t>
      </w:r>
      <w:r w:rsidR="00986631">
        <w:t>The weeklong event has been happening for</w:t>
      </w:r>
      <w:r w:rsidR="004B4F94">
        <w:t xml:space="preserve"> </w:t>
      </w:r>
      <w:r w:rsidR="006C781C">
        <w:t>five</w:t>
      </w:r>
      <w:r w:rsidR="004B4F94">
        <w:t xml:space="preserve"> years now. </w:t>
      </w:r>
      <w:r>
        <w:t xml:space="preserve">We wanted to ask </w:t>
      </w:r>
      <w:r w:rsidR="00D947F2">
        <w:t>par</w:t>
      </w:r>
      <w:r w:rsidR="006C781C">
        <w:t>t</w:t>
      </w:r>
      <w:r w:rsidR="00D947F2">
        <w:t>icipants</w:t>
      </w:r>
      <w:r>
        <w:t xml:space="preserve"> what they and their parents have experienced</w:t>
      </w:r>
      <w:r w:rsidR="0007064A">
        <w:t xml:space="preserve"> at the events</w:t>
      </w:r>
      <w:r>
        <w:t xml:space="preserve"> to see if it offered insights into what will follow as more </w:t>
      </w:r>
      <w:r w:rsidR="00616A40">
        <w:t>children</w:t>
      </w:r>
      <w:r>
        <w:t xml:space="preserve"> start to code</w:t>
      </w:r>
      <w:r w:rsidR="008B197E">
        <w:t>.</w:t>
      </w:r>
    </w:p>
    <w:p w14:paraId="66678E09" w14:textId="77777777" w:rsidR="008B197E" w:rsidRDefault="00633E3A">
      <w:pPr>
        <w:pStyle w:val="Heading1"/>
        <w:spacing w:before="120"/>
      </w:pPr>
      <w:r>
        <w:t>BACKGROUND</w:t>
      </w:r>
    </w:p>
    <w:p w14:paraId="747A0083" w14:textId="3F8E57E7" w:rsidR="008D75EB" w:rsidRDefault="00DD7EE8" w:rsidP="009C5E93">
      <w:pPr>
        <w:pStyle w:val="Heading2"/>
      </w:pPr>
      <w:r>
        <w:t xml:space="preserve"> </w:t>
      </w:r>
      <w:r w:rsidR="008D75EB">
        <w:t xml:space="preserve">Coding for </w:t>
      </w:r>
      <w:r w:rsidR="00616A40">
        <w:t>Children</w:t>
      </w:r>
      <w:r w:rsidR="008D75EB">
        <w:t xml:space="preserve"> Assumptions</w:t>
      </w:r>
    </w:p>
    <w:p w14:paraId="565C6FC7" w14:textId="3272297E" w:rsidR="00DD7EE8" w:rsidRDefault="008D75EB" w:rsidP="008D75EB">
      <w:pPr>
        <w:pStyle w:val="BodyTextIndent"/>
        <w:spacing w:after="120"/>
        <w:ind w:firstLine="0"/>
      </w:pPr>
      <w:r>
        <w:t xml:space="preserve">For a number of years groups in both the US and </w:t>
      </w:r>
      <w:r w:rsidR="00E97F64">
        <w:t xml:space="preserve">the </w:t>
      </w:r>
      <w:r>
        <w:t xml:space="preserve">UK have been </w:t>
      </w:r>
      <w:r w:rsidR="00E97F64">
        <w:t>arguing</w:t>
      </w:r>
      <w:r>
        <w:t xml:space="preserve"> that </w:t>
      </w:r>
      <w:r w:rsidR="00616A40">
        <w:t>children</w:t>
      </w:r>
      <w:r>
        <w:t xml:space="preserve"> should learn to code, and to un</w:t>
      </w:r>
      <w:r w:rsidR="006B20DB">
        <w:t>derstand comput</w:t>
      </w:r>
      <w:r w:rsidR="009A5FB6">
        <w:t>ational thinking [27</w:t>
      </w:r>
      <w:r w:rsidR="00E92080">
        <w:t>].  This is seen in both the Computing at Sc</w:t>
      </w:r>
      <w:r w:rsidR="009A5FB6">
        <w:t>hools Working Group in the UK [21</w:t>
      </w:r>
      <w:r w:rsidR="00E92080">
        <w:t xml:space="preserve">] and the </w:t>
      </w:r>
      <w:r w:rsidR="001F2318">
        <w:t>Common Core State S</w:t>
      </w:r>
      <w:r w:rsidR="00A40023">
        <w:t>tandards initi</w:t>
      </w:r>
      <w:r w:rsidR="009A5FB6">
        <w:t>ative in the US [26</w:t>
      </w:r>
      <w:r w:rsidR="001F2318">
        <w:t>]</w:t>
      </w:r>
      <w:r w:rsidR="005A1E70">
        <w:t>, and has</w:t>
      </w:r>
      <w:r w:rsidR="006B20DB">
        <w:t xml:space="preserve"> led to</w:t>
      </w:r>
      <w:r w:rsidR="009A5FB6">
        <w:t xml:space="preserve"> the ‘hour of code’ approach [12</w:t>
      </w:r>
      <w:r w:rsidR="006B20DB">
        <w:t xml:space="preserve">] as a means to introduce </w:t>
      </w:r>
      <w:r w:rsidR="00616A40">
        <w:t>children</w:t>
      </w:r>
      <w:r w:rsidR="009A5FB6">
        <w:t xml:space="preserve"> to computational thinking [30</w:t>
      </w:r>
      <w:r w:rsidR="006B20DB">
        <w:t>].</w:t>
      </w:r>
    </w:p>
    <w:p w14:paraId="4341E0F5" w14:textId="325D6EFD" w:rsidR="00980A74" w:rsidRDefault="008D75EB" w:rsidP="00DD7EE8">
      <w:pPr>
        <w:pStyle w:val="BodyTextIndent"/>
        <w:spacing w:after="120"/>
        <w:ind w:firstLine="0"/>
      </w:pPr>
      <w:bookmarkStart w:id="0" w:name="_GoBack"/>
      <w:bookmarkEnd w:id="0"/>
      <w:r>
        <w:t>A number of groups such as Coder Dojo</w:t>
      </w:r>
      <w:r w:rsidR="002A5CE9">
        <w:t xml:space="preserve"> </w:t>
      </w:r>
      <w:r w:rsidR="00E97F64">
        <w:t xml:space="preserve">and Code Club sprang up to meet this need. Coder Dojo is </w:t>
      </w:r>
      <w:r w:rsidR="002A5CE9">
        <w:t xml:space="preserve">for primary and secondary aged </w:t>
      </w:r>
      <w:r w:rsidR="00616A40">
        <w:t>children</w:t>
      </w:r>
      <w:r w:rsidR="00B423C3">
        <w:t xml:space="preserve"> interested in</w:t>
      </w:r>
      <w:r w:rsidR="002A5CE9">
        <w:t xml:space="preserve"> coding and technical skills</w:t>
      </w:r>
      <w:r w:rsidR="0007064A">
        <w:t xml:space="preserve"> founded in 2011</w:t>
      </w:r>
      <w:r w:rsidR="004B4F94">
        <w:t xml:space="preserve"> </w:t>
      </w:r>
      <w:r w:rsidR="00DF175C">
        <w:t>[7</w:t>
      </w:r>
      <w:r w:rsidR="00B02A11">
        <w:t>].</w:t>
      </w:r>
      <w:r>
        <w:t xml:space="preserve"> Code Club</w:t>
      </w:r>
      <w:r w:rsidR="002A5CE9">
        <w:t xml:space="preserve"> </w:t>
      </w:r>
      <w:r w:rsidR="000574D0">
        <w:t>started in 2012</w:t>
      </w:r>
      <w:r w:rsidR="00B02A11">
        <w:t xml:space="preserve"> </w:t>
      </w:r>
      <w:r w:rsidR="002A5CE9">
        <w:t xml:space="preserve">for primary school aged </w:t>
      </w:r>
      <w:r w:rsidR="00616A40">
        <w:t>children</w:t>
      </w:r>
      <w:r w:rsidR="00B423C3">
        <w:t xml:space="preserve"> </w:t>
      </w:r>
      <w:r w:rsidR="00B02A11">
        <w:t>and</w:t>
      </w:r>
      <w:r w:rsidR="00B423C3">
        <w:t xml:space="preserve"> follows</w:t>
      </w:r>
      <w:r w:rsidR="00B02A11">
        <w:t xml:space="preserve"> a specific lesson plans at each session </w:t>
      </w:r>
      <w:r w:rsidR="00DF175C">
        <w:t>[25</w:t>
      </w:r>
      <w:r w:rsidR="004B4F94">
        <w:t>]</w:t>
      </w:r>
      <w:r w:rsidR="00644AD4">
        <w:t xml:space="preserve">. </w:t>
      </w:r>
    </w:p>
    <w:p w14:paraId="66B693D1" w14:textId="32B75D6A" w:rsidR="00A93773" w:rsidRDefault="00980A74" w:rsidP="00DD7EE8">
      <w:pPr>
        <w:pStyle w:val="BodyTextIndent"/>
        <w:spacing w:after="120"/>
        <w:ind w:firstLine="0"/>
      </w:pPr>
      <w:r>
        <w:t>B</w:t>
      </w:r>
      <w:r w:rsidR="00644AD4">
        <w:t xml:space="preserve">efore </w:t>
      </w:r>
      <w:r>
        <w:t xml:space="preserve">either of </w:t>
      </w:r>
      <w:r w:rsidR="00644AD4">
        <w:t>these groups</w:t>
      </w:r>
      <w:r w:rsidR="00E03062">
        <w:t xml:space="preserve"> started</w:t>
      </w:r>
      <w:r w:rsidR="006B20DB">
        <w:t>,</w:t>
      </w:r>
      <w:r w:rsidR="00E03062">
        <w:t xml:space="preserve"> YRS</w:t>
      </w:r>
      <w:r w:rsidR="008D75EB">
        <w:t xml:space="preserve"> </w:t>
      </w:r>
      <w:r w:rsidR="00B423C3">
        <w:t>was quietly evolving and having an impact on children and parents</w:t>
      </w:r>
      <w:r w:rsidR="008D75EB">
        <w:t xml:space="preserve">. </w:t>
      </w:r>
      <w:r w:rsidR="006B20DB">
        <w:t xml:space="preserve">It started as a </w:t>
      </w:r>
      <w:r w:rsidR="004B4F94">
        <w:t>weekend hac</w:t>
      </w:r>
      <w:r w:rsidR="00DF175C">
        <w:t>k event in London in 2009 [19, 28</w:t>
      </w:r>
      <w:r w:rsidR="006B20DB">
        <w:t xml:space="preserve">], and has always helped </w:t>
      </w:r>
      <w:r w:rsidR="00755AE3">
        <w:t>the push for STEM teachi</w:t>
      </w:r>
      <w:r w:rsidR="00644AD4">
        <w:t>ng</w:t>
      </w:r>
      <w:r w:rsidR="00361F9D">
        <w:t xml:space="preserve"> and the need </w:t>
      </w:r>
      <w:r w:rsidR="00A93773">
        <w:t>to address the number of women participants</w:t>
      </w:r>
      <w:r w:rsidR="00361F9D">
        <w:t>,</w:t>
      </w:r>
      <w:r w:rsidR="00A93773">
        <w:t xml:space="preserve"> which h</w:t>
      </w:r>
      <w:r w:rsidR="00361F9D">
        <w:t xml:space="preserve">as </w:t>
      </w:r>
      <w:r w:rsidR="00F871E6">
        <w:t>grown to about 30%</w:t>
      </w:r>
      <w:r w:rsidR="004724B6">
        <w:t xml:space="preserve"> of </w:t>
      </w:r>
      <w:r w:rsidR="005D23C6">
        <w:t xml:space="preserve">YRS </w:t>
      </w:r>
      <w:r w:rsidR="004724B6">
        <w:t>attendees</w:t>
      </w:r>
      <w:r w:rsidR="005D23C6">
        <w:t xml:space="preserve">. </w:t>
      </w:r>
      <w:r w:rsidR="00A27ACC">
        <w:t>However, this paper</w:t>
      </w:r>
      <w:r w:rsidR="00361F9D">
        <w:t xml:space="preserve"> only address</w:t>
      </w:r>
      <w:r w:rsidR="00A27ACC">
        <w:t>es</w:t>
      </w:r>
      <w:r w:rsidR="00361F9D">
        <w:t xml:space="preserve"> the perceptions of the YRS participants and their parents</w:t>
      </w:r>
      <w:r w:rsidR="00A93773">
        <w:t>.</w:t>
      </w:r>
    </w:p>
    <w:p w14:paraId="4303B33A" w14:textId="77777777" w:rsidR="00633E3A" w:rsidRDefault="00633E3A" w:rsidP="009C5E93">
      <w:pPr>
        <w:pStyle w:val="Heading2"/>
      </w:pPr>
      <w:r>
        <w:t>YRS Background</w:t>
      </w:r>
    </w:p>
    <w:p w14:paraId="7FFF94C1" w14:textId="59A5B2F2" w:rsidR="00633E3A" w:rsidRDefault="00235396">
      <w:pPr>
        <w:pStyle w:val="BodyTextIndent"/>
        <w:spacing w:after="120"/>
        <w:ind w:firstLine="0"/>
      </w:pPr>
      <w:r>
        <w:t xml:space="preserve">Rewired State launched in 2008 in order to </w:t>
      </w:r>
      <w:r w:rsidR="00E33E7D">
        <w:t>show the power of open data</w:t>
      </w:r>
      <w:r w:rsidR="006B20DB">
        <w:t xml:space="preserve"> based applications</w:t>
      </w:r>
      <w:r w:rsidR="00E33E7D">
        <w:t xml:space="preserve"> </w:t>
      </w:r>
      <w:r w:rsidR="00353ECF">
        <w:t xml:space="preserve">to organisations </w:t>
      </w:r>
      <w:r w:rsidR="006B20DB">
        <w:t>by framing projects</w:t>
      </w:r>
      <w:r w:rsidR="00E33E7D">
        <w:t xml:space="preserve"> around small experiments with limited resources</w:t>
      </w:r>
      <w:r w:rsidR="00633E3A" w:rsidRPr="00E33E7D">
        <w:t>.</w:t>
      </w:r>
      <w:r w:rsidR="00E33E7D">
        <w:t xml:space="preserve"> The first R</w:t>
      </w:r>
      <w:r w:rsidR="002A5CE9">
        <w:t xml:space="preserve">ewired </w:t>
      </w:r>
      <w:r w:rsidR="00E33E7D">
        <w:t>S</w:t>
      </w:r>
      <w:r w:rsidR="002A5CE9">
        <w:t>tate</w:t>
      </w:r>
      <w:r w:rsidR="00E33E7D">
        <w:t xml:space="preserve"> event had few young people, so YRS was launched</w:t>
      </w:r>
      <w:r w:rsidR="006B20DB">
        <w:t xml:space="preserve"> in 2009</w:t>
      </w:r>
      <w:r w:rsidR="00E33E7D">
        <w:t xml:space="preserve"> as a means to encourage young people into the joys of community hacking events</w:t>
      </w:r>
      <w:r w:rsidR="00683A47">
        <w:t xml:space="preserve"> based around open data</w:t>
      </w:r>
      <w:r w:rsidR="00E33E7D">
        <w:t>, and saw 50 participants</w:t>
      </w:r>
      <w:r w:rsidR="00683A47">
        <w:t xml:space="preserve"> at the first event</w:t>
      </w:r>
      <w:r w:rsidR="00E33E7D">
        <w:t xml:space="preserve">. The 2010 event </w:t>
      </w:r>
      <w:r w:rsidR="00856B88">
        <w:t xml:space="preserve">ran for a week, </w:t>
      </w:r>
      <w:r w:rsidR="006B20DB">
        <w:t xml:space="preserve">and </w:t>
      </w:r>
      <w:r w:rsidR="00E33E7D">
        <w:t>had twice the number</w:t>
      </w:r>
      <w:r w:rsidR="00856B88">
        <w:t xml:space="preserve"> of participants</w:t>
      </w:r>
      <w:r w:rsidR="00DF175C">
        <w:t xml:space="preserve">  [22, 19</w:t>
      </w:r>
      <w:r w:rsidR="00E33E7D">
        <w:t>]</w:t>
      </w:r>
      <w:r w:rsidR="00281700">
        <w:t>.</w:t>
      </w:r>
      <w:r w:rsidR="000C2B21">
        <w:t xml:space="preserve"> In 2014 the YRS week saw 1000 </w:t>
      </w:r>
      <w:r w:rsidR="00616A40">
        <w:t>children</w:t>
      </w:r>
      <w:r w:rsidR="00DF175C">
        <w:t xml:space="preserve"> in 61 centres taking part [19</w:t>
      </w:r>
      <w:r w:rsidR="000C2B21">
        <w:t xml:space="preserve">]. </w:t>
      </w:r>
      <w:r w:rsidR="00281700">
        <w:t xml:space="preserve"> </w:t>
      </w:r>
      <w:r>
        <w:t xml:space="preserve"> </w:t>
      </w:r>
      <w:r w:rsidR="000C2B21">
        <w:t xml:space="preserve">This is a lot of participants, </w:t>
      </w:r>
      <w:r w:rsidR="006F43B9">
        <w:t>which they repeatedly attend if possible, as shown later in Table 3</w:t>
      </w:r>
      <w:r w:rsidR="000C2B21">
        <w:t>, it makes sense to ask them about the</w:t>
      </w:r>
      <w:r w:rsidR="00522DC0">
        <w:t>ir</w:t>
      </w:r>
      <w:r w:rsidR="000C2B21">
        <w:t xml:space="preserve"> exp</w:t>
      </w:r>
      <w:r w:rsidR="002C3EBA">
        <w:t>erience, and to see if there are patterns</w:t>
      </w:r>
      <w:r w:rsidR="00522DC0">
        <w:t xml:space="preserve"> in attentees’ characteristics, beliefs and attitudes, and development</w:t>
      </w:r>
      <w:r w:rsidR="002C3EBA">
        <w:t>.</w:t>
      </w:r>
    </w:p>
    <w:p w14:paraId="0A13F61F" w14:textId="6E11E8FC" w:rsidR="003A402F" w:rsidRDefault="0002140B">
      <w:pPr>
        <w:pStyle w:val="BodyTextIndent"/>
        <w:spacing w:after="120"/>
        <w:ind w:firstLine="0"/>
      </w:pPr>
      <w:r>
        <w:t xml:space="preserve">The Festival of Code week runs as follows: </w:t>
      </w:r>
      <w:r w:rsidR="00616A40">
        <w:t>Children</w:t>
      </w:r>
      <w:r w:rsidR="004F01F5">
        <w:t xml:space="preserve"> are hosted </w:t>
      </w:r>
      <w:r w:rsidR="003A402F">
        <w:t>at centres around the UK</w:t>
      </w:r>
      <w:r w:rsidR="00272607">
        <w:t xml:space="preserve"> Monday to Thurs</w:t>
      </w:r>
      <w:r w:rsidR="004F01F5">
        <w:t>day. Each centre provides space</w:t>
      </w:r>
      <w:r w:rsidR="00D947F2">
        <w:t>,</w:t>
      </w:r>
      <w:r w:rsidR="004F01F5">
        <w:t xml:space="preserve"> wifi and mentors, plus possibly lunch and snacks</w:t>
      </w:r>
      <w:r w:rsidR="00272607">
        <w:t xml:space="preserve"> depending upon their sponsorship arrangements</w:t>
      </w:r>
      <w:r w:rsidR="004F01F5">
        <w:t>. Parents drop children off</w:t>
      </w:r>
      <w:r w:rsidR="00272607">
        <w:t xml:space="preserve"> at the centre</w:t>
      </w:r>
      <w:r w:rsidR="004F01F5">
        <w:t xml:space="preserve"> in the morning and collect them in the late afternoon</w:t>
      </w:r>
      <w:r w:rsidR="00D947F2">
        <w:t>;</w:t>
      </w:r>
      <w:r w:rsidR="00690FA9">
        <w:t xml:space="preserve"> all centre staff are vetted for working with children</w:t>
      </w:r>
      <w:r w:rsidR="004F01F5">
        <w:t>. At the centres teams are</w:t>
      </w:r>
      <w:r w:rsidR="004B2996">
        <w:t xml:space="preserve"> formed on the Monday around software application</w:t>
      </w:r>
      <w:r w:rsidR="004F01F5">
        <w:t xml:space="preserve"> ideas generated by the children with help from mentors, who also guide them during the week. A</w:t>
      </w:r>
      <w:r w:rsidR="00B82309">
        <w:t>ll children</w:t>
      </w:r>
      <w:r>
        <w:t>,</w:t>
      </w:r>
      <w:r w:rsidR="00B82309">
        <w:t xml:space="preserve"> and parents of those under 14</w:t>
      </w:r>
      <w:r w:rsidR="00003729">
        <w:t xml:space="preserve"> travel</w:t>
      </w:r>
      <w:r>
        <w:t>s</w:t>
      </w:r>
      <w:r w:rsidR="004F01F5">
        <w:t xml:space="preserve"> </w:t>
      </w:r>
      <w:r w:rsidR="00B82309">
        <w:t xml:space="preserve">to the weekend centre </w:t>
      </w:r>
      <w:r w:rsidR="004F01F5">
        <w:t>on Friday</w:t>
      </w:r>
      <w:r>
        <w:t>. Teams present their applications to judging panels on the Saturday, and</w:t>
      </w:r>
      <w:r w:rsidR="003A402F">
        <w:t xml:space="preserve"> the final judging panel taking place on the Sunday. </w:t>
      </w:r>
      <w:r w:rsidR="005D23C6">
        <w:t xml:space="preserve">While the </w:t>
      </w:r>
      <w:r w:rsidR="009B6059">
        <w:t xml:space="preserve">weekend event was </w:t>
      </w:r>
      <w:r w:rsidR="003A402F">
        <w:t>in London</w:t>
      </w:r>
      <w:r w:rsidR="005D23C6">
        <w:t xml:space="preserve"> for several years</w:t>
      </w:r>
      <w:r w:rsidR="003A402F">
        <w:t>, after outgrowing the venue there</w:t>
      </w:r>
      <w:r w:rsidR="005D23C6">
        <w:t xml:space="preserve"> YRS</w:t>
      </w:r>
      <w:r w:rsidR="003A402F">
        <w:t xml:space="preserve"> moved to Birmingham for 2012 and 2013 before </w:t>
      </w:r>
      <w:r w:rsidR="0088164B">
        <w:t>taking place in</w:t>
      </w:r>
      <w:r w:rsidR="003A402F">
        <w:t xml:space="preserve"> Plymouth in 2014. </w:t>
      </w:r>
      <w:r w:rsidR="00EA4685">
        <w:t>T</w:t>
      </w:r>
      <w:r w:rsidR="00FD50DD">
        <w:t>he venue for 2015 is unknown</w:t>
      </w:r>
      <w:r w:rsidR="00EA4685">
        <w:t>.</w:t>
      </w:r>
    </w:p>
    <w:p w14:paraId="1E5D664B" w14:textId="77777777" w:rsidR="004F496F" w:rsidRDefault="002A5CE9">
      <w:pPr>
        <w:pStyle w:val="BodyTextIndent"/>
        <w:spacing w:after="120"/>
        <w:ind w:firstLine="0"/>
      </w:pPr>
      <w:r>
        <w:t xml:space="preserve">In each of the YRS events the goal is for the </w:t>
      </w:r>
      <w:r w:rsidR="00616A40">
        <w:t>children</w:t>
      </w:r>
      <w:r>
        <w:t xml:space="preserve"> to develop applications using open data</w:t>
      </w:r>
      <w:r w:rsidR="004B2996">
        <w:t xml:space="preserve"> </w:t>
      </w:r>
      <w:r w:rsidR="004B2996" w:rsidRPr="00D31509">
        <w:t>[</w:t>
      </w:r>
      <w:r w:rsidR="00D54D77" w:rsidRPr="00D54D77">
        <w:t>20</w:t>
      </w:r>
      <w:r w:rsidR="00134934">
        <w:t xml:space="preserve">, </w:t>
      </w:r>
      <w:r w:rsidR="00932E71">
        <w:t>19</w:t>
      </w:r>
      <w:r w:rsidR="004B2996" w:rsidRPr="00D31509">
        <w:t>]</w:t>
      </w:r>
      <w:r w:rsidRPr="00D31509">
        <w:t>.</w:t>
      </w:r>
      <w:r>
        <w:t xml:space="preserve"> This can</w:t>
      </w:r>
      <w:r w:rsidR="006B20DB">
        <w:t xml:space="preserve"> be a game, a tool, or anything, which</w:t>
      </w:r>
      <w:r>
        <w:t xml:space="preserve"> let</w:t>
      </w:r>
      <w:r w:rsidR="006B20DB">
        <w:t>s</w:t>
      </w:r>
      <w:r>
        <w:t xml:space="preserve"> the users play, or explore the data, or to better understand and use the data in the app. The apps can range from websites pulling disparate data sets together, to mobile apps and physical hacks based around open data, built around Raspberry Pi and Arduino boards.</w:t>
      </w:r>
      <w:r w:rsidR="00851707">
        <w:t xml:space="preserve"> </w:t>
      </w:r>
    </w:p>
    <w:p w14:paraId="645DBD53" w14:textId="4782FB7C" w:rsidR="002A5CE9" w:rsidRPr="00851707" w:rsidRDefault="00351B22">
      <w:pPr>
        <w:pStyle w:val="BodyTextIndent"/>
        <w:spacing w:after="120"/>
        <w:ind w:firstLine="0"/>
        <w:rPr>
          <w:color w:val="FF0000"/>
        </w:rPr>
      </w:pPr>
      <w:r>
        <w:t xml:space="preserve">The YRS events provide an opportunity for the children to learn from each other while building their apps. </w:t>
      </w:r>
      <w:r w:rsidR="001C30FB">
        <w:t>The YRS philosophy fits in with the</w:t>
      </w:r>
      <w:r w:rsidR="00851707" w:rsidRPr="007D2FA1">
        <w:t xml:space="preserve"> gradual shift since the 1990s away from instructionalism towards creating constru</w:t>
      </w:r>
      <w:r w:rsidR="009D1197" w:rsidRPr="007D2FA1">
        <w:t>ctivist learning environments [2</w:t>
      </w:r>
      <w:r w:rsidR="00851707" w:rsidRPr="007D2FA1">
        <w:t>] and promot</w:t>
      </w:r>
      <w:r w:rsidR="00932E71" w:rsidRPr="007D2FA1">
        <w:t>ing active learning [1, 3, 4,</w:t>
      </w:r>
      <w:r w:rsidR="00660ACD" w:rsidRPr="007D2FA1">
        <w:t xml:space="preserve"> 6, 10, 11</w:t>
      </w:r>
      <w:r w:rsidR="00851707" w:rsidRPr="007D2FA1">
        <w:t xml:space="preserve">, </w:t>
      </w:r>
      <w:r w:rsidR="00660ACD" w:rsidRPr="007D2FA1">
        <w:t xml:space="preserve">13, 14, 17, 23, </w:t>
      </w:r>
      <w:r w:rsidR="007D2FA1" w:rsidRPr="007D2FA1">
        <w:t>30</w:t>
      </w:r>
      <w:r w:rsidR="00851707" w:rsidRPr="007D2FA1">
        <w:t xml:space="preserve">]. </w:t>
      </w:r>
    </w:p>
    <w:p w14:paraId="76AC65AD" w14:textId="79791570" w:rsidR="009B1FAE" w:rsidRDefault="001F66F2">
      <w:pPr>
        <w:pStyle w:val="BodyTextIndent"/>
        <w:spacing w:after="120"/>
        <w:ind w:firstLine="0"/>
      </w:pPr>
      <w:r>
        <w:lastRenderedPageBreak/>
        <w:t xml:space="preserve">Apps developed </w:t>
      </w:r>
      <w:r w:rsidR="001346F6">
        <w:t xml:space="preserve">by teams of young coders </w:t>
      </w:r>
      <w:r>
        <w:t>in the past</w:t>
      </w:r>
      <w:r w:rsidR="00947E7D">
        <w:t xml:space="preserve"> [33</w:t>
      </w:r>
      <w:r w:rsidR="009B1FAE">
        <w:t>]</w:t>
      </w:r>
      <w:r>
        <w:t xml:space="preserve"> include Postcode Wars as a way to compare the </w:t>
      </w:r>
      <w:r w:rsidR="006B20DB">
        <w:t xml:space="preserve">population, crime and other </w:t>
      </w:r>
      <w:r>
        <w:t>statistics for UK postcodes; PiCyle to provide navigational information to cyclists using handlebar-mounted LEDs and a RaspberryPi; Tourify to pro</w:t>
      </w:r>
      <w:r w:rsidR="006B20DB">
        <w:t>v</w:t>
      </w:r>
      <w:r>
        <w:t>ide custom tours based on your available time; and Miles Per Pound, which tells you how the cost of your driving is broken down by insurance, depreciation, repair, and millage so you know how many miles you can travel on one UK pound sterling.</w:t>
      </w:r>
    </w:p>
    <w:p w14:paraId="0AFAA468" w14:textId="77777777" w:rsidR="008B197E" w:rsidRDefault="00850530">
      <w:pPr>
        <w:pStyle w:val="Heading1"/>
        <w:spacing w:before="120"/>
      </w:pPr>
      <w:r>
        <w:t xml:space="preserve">THE </w:t>
      </w:r>
      <w:r w:rsidR="00633E3A">
        <w:t xml:space="preserve">SURVEY </w:t>
      </w:r>
    </w:p>
    <w:p w14:paraId="4C81D9A9" w14:textId="77777777" w:rsidR="008B197E" w:rsidRDefault="00633E3A" w:rsidP="009C5E93">
      <w:pPr>
        <w:pStyle w:val="Heading2"/>
      </w:pPr>
      <w:r>
        <w:t>Approach</w:t>
      </w:r>
    </w:p>
    <w:p w14:paraId="0F27A0A5" w14:textId="21C80A6E" w:rsidR="009B1FAE" w:rsidRDefault="009B1FAE">
      <w:pPr>
        <w:pStyle w:val="BodyTextIndent"/>
        <w:spacing w:after="120"/>
        <w:ind w:firstLine="0"/>
      </w:pPr>
      <w:r>
        <w:t>Over the years little research has been conducted observing, monitoring and theorizing the impact such events are having on children’s development.</w:t>
      </w:r>
      <w:r w:rsidR="00F86FF1">
        <w:t xml:space="preserve"> We want to</w:t>
      </w:r>
      <w:r w:rsidR="000918E5">
        <w:t xml:space="preserve"> start to</w:t>
      </w:r>
      <w:r w:rsidR="00F86FF1">
        <w:t xml:space="preserve"> change this.</w:t>
      </w:r>
      <w:r w:rsidR="00BC0A4E">
        <w:t xml:space="preserve"> We felt that a survey was a good approach to use to explore the children and their YRS experience. We could not reach the children at the event itself, and we could not travel to a number of locations to conduct the surveys in person. This meant internet delivery using Typeform [</w:t>
      </w:r>
      <w:r w:rsidR="00947E7D">
        <w:t>29</w:t>
      </w:r>
      <w:r w:rsidR="00BC0A4E">
        <w:t>] to conduct the survey and exported the results to Excel for analysis.</w:t>
      </w:r>
    </w:p>
    <w:p w14:paraId="35AE62A1" w14:textId="1A760661" w:rsidR="002C3EBA" w:rsidRDefault="002C3EBA">
      <w:pPr>
        <w:pStyle w:val="BodyTextIndent"/>
        <w:spacing w:after="120"/>
        <w:ind w:firstLine="0"/>
      </w:pPr>
      <w:r>
        <w:t xml:space="preserve">We prepared a number of </w:t>
      </w:r>
      <w:r w:rsidR="004D5F2A">
        <w:t xml:space="preserve">anonymous </w:t>
      </w:r>
      <w:r>
        <w:t xml:space="preserve">surveys. One was for the participant </w:t>
      </w:r>
      <w:r w:rsidR="00616A40">
        <w:t>children</w:t>
      </w:r>
      <w:r>
        <w:t xml:space="preserve"> under 18, and a second for those participants now </w:t>
      </w:r>
      <w:r w:rsidR="00AB2A73">
        <w:t>18 and over</w:t>
      </w:r>
      <w:r>
        <w:t xml:space="preserve">. A third survey was for the parents of the participating </w:t>
      </w:r>
      <w:r w:rsidR="00616A40">
        <w:t>children</w:t>
      </w:r>
      <w:r>
        <w:t xml:space="preserve">, because without the parents the </w:t>
      </w:r>
      <w:r w:rsidR="00616A40">
        <w:t>children</w:t>
      </w:r>
      <w:r>
        <w:t xml:space="preserve"> cannot get to the events, and parents have to be there for the weekend events too if their child is under 14. </w:t>
      </w:r>
    </w:p>
    <w:p w14:paraId="76B498CB" w14:textId="7BEF0701" w:rsidR="00761E9C" w:rsidRDefault="00761E9C">
      <w:pPr>
        <w:pStyle w:val="BodyTextIndent"/>
        <w:spacing w:after="120"/>
        <w:ind w:firstLine="0"/>
      </w:pPr>
      <w:r>
        <w:t xml:space="preserve">We </w:t>
      </w:r>
      <w:r w:rsidR="00845F30">
        <w:t>proposed</w:t>
      </w:r>
      <w:r>
        <w:t xml:space="preserve"> almost the same questions</w:t>
      </w:r>
      <w:r w:rsidR="00845F30">
        <w:t xml:space="preserve"> for an online surv</w:t>
      </w:r>
      <w:r w:rsidR="00170F9A">
        <w:t>e</w:t>
      </w:r>
      <w:r w:rsidR="00845F30">
        <w:t>y</w:t>
      </w:r>
      <w:r>
        <w:t xml:space="preserve"> of parents and children so that we would have comparable results. The questions fell into a </w:t>
      </w:r>
      <w:r w:rsidR="0002140B">
        <w:t xml:space="preserve">number of distinct </w:t>
      </w:r>
      <w:r>
        <w:t xml:space="preserve">categories: </w:t>
      </w:r>
      <w:r w:rsidR="00A966F7">
        <w:t xml:space="preserve">location, events attended, length of time coding, and questions about the good/bad aspects of the events. Given changes in research policy, we needed to obtain ethical board approval before running the survey, and while approval for those 18 and over was forthcoming, approval for </w:t>
      </w:r>
      <w:r w:rsidR="00616A40">
        <w:t>children</w:t>
      </w:r>
      <w:r w:rsidR="00A966F7">
        <w:t xml:space="preserve"> under18s proved impossible in the timeframe available.  Therefore, this is a pilot study and not the full stu</w:t>
      </w:r>
      <w:r w:rsidR="001C0CB9">
        <w:t>dy, which we will run during Young Rewired State 2015.</w:t>
      </w:r>
    </w:p>
    <w:p w14:paraId="1FAD3C47" w14:textId="4EA5A669" w:rsidR="008B197E" w:rsidRDefault="00423969">
      <w:pPr>
        <w:pStyle w:val="BodyTextIndent"/>
        <w:spacing w:after="120"/>
        <w:ind w:firstLine="0"/>
      </w:pPr>
      <w:r>
        <w:t xml:space="preserve">In order to have a significant uptake of the survey we need to run this in person with </w:t>
      </w:r>
      <w:r w:rsidR="00616A40">
        <w:t>children</w:t>
      </w:r>
      <w:r>
        <w:t xml:space="preserve">, and not rely upon social media to spread the word about the survey. Our online pilot survey </w:t>
      </w:r>
      <w:r w:rsidR="004D5F2A">
        <w:t xml:space="preserve">illustrated that our questions worked well. However, we need to couple this with staff asking participants to fill in the survey. </w:t>
      </w:r>
    </w:p>
    <w:p w14:paraId="53EE4583" w14:textId="28A0DB1F" w:rsidR="008B197E" w:rsidRDefault="00616A40" w:rsidP="009C5E93">
      <w:pPr>
        <w:pStyle w:val="Heading2"/>
      </w:pPr>
      <w:r>
        <w:t>Children</w:t>
      </w:r>
    </w:p>
    <w:p w14:paraId="15CC057F" w14:textId="14FBFBBC" w:rsidR="00A93773" w:rsidRDefault="00A93773">
      <w:pPr>
        <w:spacing w:after="120"/>
      </w:pPr>
      <w:r>
        <w:t xml:space="preserve">We </w:t>
      </w:r>
      <w:r w:rsidR="004D5F2A">
        <w:t xml:space="preserve">wanted to find out what drives the </w:t>
      </w:r>
      <w:r w:rsidR="00616A40">
        <w:t>children</w:t>
      </w:r>
      <w:r w:rsidR="004D5F2A">
        <w:t xml:space="preserve"> to participate and what they did afterwards. We asked them the following</w:t>
      </w:r>
      <w:r w:rsidR="003D17B6">
        <w:t>:</w:t>
      </w:r>
    </w:p>
    <w:p w14:paraId="0D14582D" w14:textId="77777777" w:rsidR="009D3377" w:rsidRDefault="003D17B6">
      <w:pPr>
        <w:spacing w:after="120"/>
      </w:pPr>
      <w:r>
        <w:t xml:space="preserve">(1) What year were you born? </w:t>
      </w:r>
    </w:p>
    <w:p w14:paraId="47EA9EB1" w14:textId="77777777" w:rsidR="009D3377" w:rsidRDefault="003D17B6">
      <w:pPr>
        <w:spacing w:after="120"/>
      </w:pPr>
      <w:r>
        <w:t xml:space="preserve">(2) What is your gender? </w:t>
      </w:r>
    </w:p>
    <w:p w14:paraId="6192F834" w14:textId="77777777" w:rsidR="009D3377" w:rsidRDefault="003D17B6">
      <w:pPr>
        <w:spacing w:after="120"/>
      </w:pPr>
      <w:r>
        <w:t xml:space="preserve">(3) Where do you live? (Scotland, Wales, East of England, etc) </w:t>
      </w:r>
    </w:p>
    <w:p w14:paraId="2AC19DF9" w14:textId="77777777" w:rsidR="009D3377" w:rsidRDefault="003D17B6">
      <w:pPr>
        <w:spacing w:after="120"/>
      </w:pPr>
      <w:r>
        <w:t xml:space="preserve">(4) What kind of coding or digital design do you do? (HTML/CSS, Ruby, Java, Blender, Unity, etc) </w:t>
      </w:r>
    </w:p>
    <w:p w14:paraId="12EB2E43" w14:textId="77777777" w:rsidR="009D3377" w:rsidRDefault="003D17B6">
      <w:pPr>
        <w:spacing w:after="120"/>
      </w:pPr>
      <w:r>
        <w:t xml:space="preserve">(5) How long before attending a YRS event did you either start to code, or do digital design work? </w:t>
      </w:r>
    </w:p>
    <w:p w14:paraId="1FA40FE7" w14:textId="77777777" w:rsidR="009D3377" w:rsidRDefault="003D17B6">
      <w:pPr>
        <w:spacing w:after="120"/>
      </w:pPr>
      <w:r>
        <w:t xml:space="preserve">(6) Did you have any coding/digital design friends before attending a YRS event? </w:t>
      </w:r>
    </w:p>
    <w:p w14:paraId="2B76EE5F" w14:textId="77777777" w:rsidR="009D3377" w:rsidRDefault="00E61343">
      <w:pPr>
        <w:spacing w:after="120"/>
      </w:pPr>
      <w:r>
        <w:t xml:space="preserve">(7) </w:t>
      </w:r>
      <w:r w:rsidR="003D17B6">
        <w:t>Which YRS events did you go to?</w:t>
      </w:r>
      <w:r>
        <w:t xml:space="preserve"> </w:t>
      </w:r>
    </w:p>
    <w:p w14:paraId="75D6D232" w14:textId="77777777" w:rsidR="009D3377" w:rsidRDefault="00E61343">
      <w:pPr>
        <w:spacing w:after="120"/>
      </w:pPr>
      <w:r>
        <w:t>(8)</w:t>
      </w:r>
      <w:r w:rsidR="003D17B6">
        <w:t xml:space="preserve"> If you went to any weeklong Festival of Code events, did you also go to the weekend part? </w:t>
      </w:r>
    </w:p>
    <w:p w14:paraId="4962CAFB" w14:textId="77777777" w:rsidR="009D3377" w:rsidRDefault="00E61343">
      <w:pPr>
        <w:spacing w:after="120"/>
      </w:pPr>
      <w:r>
        <w:t xml:space="preserve">(9) </w:t>
      </w:r>
      <w:r w:rsidR="003D17B6">
        <w:t xml:space="preserve">How far did you travel (one way) each day to get to the YRS centre host site? </w:t>
      </w:r>
    </w:p>
    <w:p w14:paraId="3E40E708" w14:textId="77777777" w:rsidR="009D3377" w:rsidRDefault="00E61343">
      <w:pPr>
        <w:spacing w:after="120"/>
      </w:pPr>
      <w:r>
        <w:t xml:space="preserve">(10) </w:t>
      </w:r>
      <w:r w:rsidR="003D17B6">
        <w:t xml:space="preserve">Did you tell others to sign up for the Festival of Code? </w:t>
      </w:r>
    </w:p>
    <w:p w14:paraId="77842C17" w14:textId="77777777" w:rsidR="009D3377" w:rsidRDefault="00E61343">
      <w:pPr>
        <w:spacing w:after="120"/>
      </w:pPr>
      <w:r>
        <w:t xml:space="preserve">(11) </w:t>
      </w:r>
      <w:r w:rsidR="003D17B6">
        <w:t xml:space="preserve">What did you enjoy most </w:t>
      </w:r>
      <w:r w:rsidR="009D3377">
        <w:t>about the YRS Festival of Code?</w:t>
      </w:r>
    </w:p>
    <w:p w14:paraId="56877D58" w14:textId="77777777" w:rsidR="009D3377" w:rsidRDefault="00E61343">
      <w:pPr>
        <w:spacing w:after="120"/>
      </w:pPr>
      <w:r>
        <w:t xml:space="preserve">(12) </w:t>
      </w:r>
      <w:r w:rsidR="003D17B6">
        <w:t xml:space="preserve">What did you enjoy least about the </w:t>
      </w:r>
      <w:r w:rsidR="009D3377">
        <w:t>YRS Festival of Code?</w:t>
      </w:r>
    </w:p>
    <w:p w14:paraId="0C257AED" w14:textId="77777777" w:rsidR="009D3377" w:rsidRDefault="00E61343">
      <w:pPr>
        <w:spacing w:after="120"/>
      </w:pPr>
      <w:r>
        <w:t xml:space="preserve">(13) </w:t>
      </w:r>
      <w:r w:rsidR="003D17B6">
        <w:t xml:space="preserve">If you could change one thing about the YRS Festival of Code, what would it be? </w:t>
      </w:r>
    </w:p>
    <w:p w14:paraId="5E949AF8" w14:textId="77777777" w:rsidR="009D3377" w:rsidRDefault="00E61343">
      <w:pPr>
        <w:spacing w:after="120"/>
      </w:pPr>
      <w:r>
        <w:t xml:space="preserve">(14) </w:t>
      </w:r>
      <w:r w:rsidR="003D17B6">
        <w:t xml:space="preserve">What did you feel you learnt by attending the Festival of Code? </w:t>
      </w:r>
    </w:p>
    <w:p w14:paraId="49884856" w14:textId="77777777" w:rsidR="009D3377" w:rsidRDefault="00E61343">
      <w:pPr>
        <w:spacing w:after="120"/>
      </w:pPr>
      <w:r>
        <w:t xml:space="preserve">(15) </w:t>
      </w:r>
      <w:r w:rsidR="003D17B6">
        <w:t xml:space="preserve">What have you done that’s related to coding or digital design since going to YRS Festival of Code? </w:t>
      </w:r>
    </w:p>
    <w:p w14:paraId="59188BD9" w14:textId="77777777" w:rsidR="009D3377" w:rsidRDefault="00E61343">
      <w:pPr>
        <w:spacing w:after="120"/>
      </w:pPr>
      <w:r>
        <w:t xml:space="preserve">(16) </w:t>
      </w:r>
      <w:r w:rsidR="003D17B6">
        <w:t>Have you used anything you learned from attending Festival of Code afte</w:t>
      </w:r>
      <w:r>
        <w:t xml:space="preserve">r the event? </w:t>
      </w:r>
    </w:p>
    <w:p w14:paraId="3721E87B" w14:textId="1DB9EB4F" w:rsidR="004D5F2A" w:rsidRDefault="00E61343">
      <w:pPr>
        <w:spacing w:after="120"/>
      </w:pPr>
      <w:r>
        <w:t>(17</w:t>
      </w:r>
      <w:r w:rsidR="003D17B6">
        <w:t>) Please complete the following sentence. Attending the</w:t>
      </w:r>
      <w:r>
        <w:t xml:space="preserve"> Festival of Code</w:t>
      </w:r>
      <w:r w:rsidR="003D17B6">
        <w:t xml:space="preserve"> was like….</w:t>
      </w:r>
    </w:p>
    <w:p w14:paraId="0AEC0CCC" w14:textId="0662282E" w:rsidR="00E61343" w:rsidRDefault="00B034E9">
      <w:pPr>
        <w:spacing w:after="120"/>
      </w:pPr>
      <w:r>
        <w:t>The questions were aimed at</w:t>
      </w:r>
      <w:r w:rsidR="00E61343">
        <w:t xml:space="preserve"> gather</w:t>
      </w:r>
      <w:r>
        <w:t>ing</w:t>
      </w:r>
      <w:r w:rsidR="00E61343">
        <w:t xml:space="preserve"> information about the </w:t>
      </w:r>
      <w:r w:rsidR="00616A40">
        <w:t>children</w:t>
      </w:r>
      <w:r w:rsidR="00E61343">
        <w:t xml:space="preserve"> in general</w:t>
      </w:r>
      <w:r w:rsidR="009D3377">
        <w:t>,</w:t>
      </w:r>
      <w:r w:rsidR="00E61343">
        <w:t xml:space="preserve"> and also to </w:t>
      </w:r>
      <w:r w:rsidR="009D3377">
        <w:t>determine</w:t>
      </w:r>
      <w:r w:rsidR="00E61343">
        <w:t xml:space="preserve"> whether the events were hel</w:t>
      </w:r>
      <w:r w:rsidR="009D3377">
        <w:t>ping to grow a community in which participants can</w:t>
      </w:r>
      <w:r w:rsidR="00E61343">
        <w:t xml:space="preserve"> establish, share</w:t>
      </w:r>
      <w:r w:rsidR="00170F9A">
        <w:t xml:space="preserve"> and</w:t>
      </w:r>
      <w:r w:rsidR="00E61343">
        <w:t xml:space="preserve"> deepen technical </w:t>
      </w:r>
      <w:r w:rsidR="009D3377">
        <w:t>as well as</w:t>
      </w:r>
      <w:r w:rsidR="00E61343">
        <w:t xml:space="preserve"> problem solving skills in an inclusive community which are </w:t>
      </w:r>
      <w:r w:rsidR="009D3377">
        <w:t>some of the YRS programme goals</w:t>
      </w:r>
      <w:r w:rsidR="00E61343">
        <w:t>.</w:t>
      </w:r>
      <w:r w:rsidR="009D3377">
        <w:t xml:space="preserve"> </w:t>
      </w:r>
      <w:r w:rsidR="00E61343">
        <w:t xml:space="preserve"> </w:t>
      </w:r>
      <w:r w:rsidR="004E3376">
        <w:t>[19, 32</w:t>
      </w:r>
      <w:r w:rsidR="007759A7">
        <w:t>]</w:t>
      </w:r>
    </w:p>
    <w:p w14:paraId="11063716" w14:textId="77777777" w:rsidR="008B197E" w:rsidRDefault="00633E3A" w:rsidP="009C5E93">
      <w:pPr>
        <w:pStyle w:val="Heading2"/>
      </w:pPr>
      <w:r>
        <w:t>Parents</w:t>
      </w:r>
    </w:p>
    <w:p w14:paraId="367C00C3" w14:textId="1BAAD140" w:rsidR="008B197E" w:rsidRDefault="00A93773">
      <w:pPr>
        <w:pStyle w:val="BodyTextIndent"/>
        <w:spacing w:after="120"/>
        <w:ind w:firstLine="0"/>
      </w:pPr>
      <w:r>
        <w:t xml:space="preserve">Parents are key partners in this </w:t>
      </w:r>
      <w:r w:rsidR="00490176">
        <w:t>venture</w:t>
      </w:r>
      <w:r w:rsidR="00AF3E6B">
        <w:t xml:space="preserve"> along with inclusive practices</w:t>
      </w:r>
      <w:r w:rsidR="002C03B1">
        <w:t xml:space="preserve"> [8</w:t>
      </w:r>
      <w:r w:rsidR="007C4E4C">
        <w:t>]</w:t>
      </w:r>
      <w:r w:rsidR="00490176">
        <w:t>,</w:t>
      </w:r>
      <w:r>
        <w:t xml:space="preserve"> as without them the </w:t>
      </w:r>
      <w:r w:rsidR="00616A40">
        <w:t>children</w:t>
      </w:r>
      <w:r>
        <w:t xml:space="preserve"> do not </w:t>
      </w:r>
      <w:r w:rsidR="00F9538E">
        <w:t>attend events</w:t>
      </w:r>
      <w:r>
        <w:t xml:space="preserve">. Therefore they too should be </w:t>
      </w:r>
      <w:r w:rsidR="00170F9A">
        <w:t>questioned</w:t>
      </w:r>
      <w:r>
        <w:t xml:space="preserve"> as many of them stay for the weekend event to help and support their younger </w:t>
      </w:r>
      <w:r w:rsidR="00616A40">
        <w:t>children</w:t>
      </w:r>
      <w:r w:rsidR="008B197E">
        <w:t>.</w:t>
      </w:r>
      <w:r w:rsidR="00E61343">
        <w:t xml:space="preserve"> We asked them the following:</w:t>
      </w:r>
    </w:p>
    <w:p w14:paraId="5ADA8BA1" w14:textId="77777777" w:rsidR="00490176" w:rsidRDefault="00E61343" w:rsidP="00E61343">
      <w:pPr>
        <w:spacing w:after="120"/>
      </w:pPr>
      <w:r>
        <w:lastRenderedPageBreak/>
        <w:t xml:space="preserve">(1) What year was your child born? </w:t>
      </w:r>
    </w:p>
    <w:p w14:paraId="58126AB4" w14:textId="77777777" w:rsidR="00490176" w:rsidRDefault="00E61343" w:rsidP="00E61343">
      <w:pPr>
        <w:spacing w:after="120"/>
      </w:pPr>
      <w:r>
        <w:t xml:space="preserve">(2) What is the gender of your child? </w:t>
      </w:r>
    </w:p>
    <w:p w14:paraId="367F8B24" w14:textId="77777777" w:rsidR="00490176" w:rsidRDefault="00E61343" w:rsidP="00E61343">
      <w:pPr>
        <w:spacing w:after="120"/>
      </w:pPr>
      <w:r>
        <w:t xml:space="preserve">(3) Where do you live? (Scotland, Wales, East of England, etc) </w:t>
      </w:r>
    </w:p>
    <w:p w14:paraId="4DE77C21" w14:textId="77777777" w:rsidR="00490176" w:rsidRDefault="00E61343" w:rsidP="00E61343">
      <w:pPr>
        <w:spacing w:after="120"/>
      </w:pPr>
      <w:r>
        <w:t>(4) How long before attending a YRS event did you</w:t>
      </w:r>
      <w:r w:rsidR="007932C1">
        <w:t xml:space="preserve">r child </w:t>
      </w:r>
      <w:r>
        <w:t>start to</w:t>
      </w:r>
      <w:r w:rsidR="007932C1">
        <w:t xml:space="preserve"> code, or do digital design on their own</w:t>
      </w:r>
      <w:r>
        <w:t xml:space="preserve">? </w:t>
      </w:r>
    </w:p>
    <w:p w14:paraId="2C2E1960" w14:textId="77777777" w:rsidR="00490176" w:rsidRDefault="00E61343" w:rsidP="00E61343">
      <w:pPr>
        <w:spacing w:after="120"/>
      </w:pPr>
      <w:r>
        <w:t>(6) Did you</w:t>
      </w:r>
      <w:r w:rsidR="007932C1">
        <w:t>r child</w:t>
      </w:r>
      <w:r>
        <w:t xml:space="preserve"> have any coding/digital design friends before attending a YRS event? </w:t>
      </w:r>
    </w:p>
    <w:p w14:paraId="5D6AF8DC" w14:textId="77777777" w:rsidR="00490176" w:rsidRDefault="00E61343" w:rsidP="00E61343">
      <w:pPr>
        <w:spacing w:after="120"/>
      </w:pPr>
      <w:r>
        <w:t xml:space="preserve">(7) Which YRS events did you go to? </w:t>
      </w:r>
    </w:p>
    <w:p w14:paraId="241196AF" w14:textId="77777777" w:rsidR="00490176" w:rsidRDefault="00E61343" w:rsidP="00E61343">
      <w:pPr>
        <w:spacing w:after="120"/>
      </w:pPr>
      <w:r>
        <w:t xml:space="preserve">(8) If you went to any weeklong Festival of Code events, did you also go to the weekend part? </w:t>
      </w:r>
    </w:p>
    <w:p w14:paraId="790A0B14" w14:textId="77777777" w:rsidR="00490176" w:rsidRDefault="00E61343" w:rsidP="00E61343">
      <w:pPr>
        <w:spacing w:after="120"/>
      </w:pPr>
      <w:r>
        <w:t xml:space="preserve">(9) How far did you travel (one way) each day to get to the YRS centre host site? </w:t>
      </w:r>
    </w:p>
    <w:p w14:paraId="7699610C" w14:textId="77777777" w:rsidR="00490176" w:rsidRDefault="00E61343" w:rsidP="00E61343">
      <w:pPr>
        <w:spacing w:after="120"/>
      </w:pPr>
      <w:r>
        <w:t xml:space="preserve">(10) Did you tell others to sign up for the Festival of Code? </w:t>
      </w:r>
    </w:p>
    <w:p w14:paraId="59482857" w14:textId="77777777" w:rsidR="00490176" w:rsidRDefault="00E61343" w:rsidP="00E61343">
      <w:pPr>
        <w:spacing w:after="120"/>
      </w:pPr>
      <w:r>
        <w:t xml:space="preserve">(11) </w:t>
      </w:r>
      <w:r w:rsidR="007932C1">
        <w:t>As a parent, what was the best thing</w:t>
      </w:r>
      <w:r>
        <w:t xml:space="preserve"> about the YRS Festival of Code? </w:t>
      </w:r>
    </w:p>
    <w:p w14:paraId="048EAD42" w14:textId="77777777" w:rsidR="00490176" w:rsidRDefault="00E61343" w:rsidP="00E61343">
      <w:pPr>
        <w:spacing w:after="120"/>
      </w:pPr>
      <w:r>
        <w:t xml:space="preserve">(12) </w:t>
      </w:r>
      <w:r w:rsidR="007932C1">
        <w:t>As a parent, what was the worst thing</w:t>
      </w:r>
      <w:r>
        <w:t xml:space="preserve"> about the YRS Festival of Code? </w:t>
      </w:r>
    </w:p>
    <w:p w14:paraId="4B928BC2" w14:textId="77777777" w:rsidR="00490176" w:rsidRDefault="00E61343" w:rsidP="00E61343">
      <w:pPr>
        <w:spacing w:after="120"/>
      </w:pPr>
      <w:r>
        <w:t xml:space="preserve">(13) If you could change one thing about the YRS Festival of Code, what would it be? </w:t>
      </w:r>
    </w:p>
    <w:p w14:paraId="6B1BE9DE" w14:textId="50086B9D" w:rsidR="00E61343" w:rsidRDefault="00E61343" w:rsidP="00E61343">
      <w:pPr>
        <w:spacing w:after="120"/>
      </w:pPr>
      <w:r>
        <w:t>(14) What have you done</w:t>
      </w:r>
      <w:r w:rsidR="007932C1">
        <w:t xml:space="preserve">, or have you noticed you child doing </w:t>
      </w:r>
      <w:r>
        <w:t>since going to YRS Festival of Code</w:t>
      </w:r>
      <w:r w:rsidR="007932C1">
        <w:t>?</w:t>
      </w:r>
    </w:p>
    <w:p w14:paraId="4A3840D4" w14:textId="36F0A242" w:rsidR="00E61343" w:rsidRDefault="007932C1" w:rsidP="00D54D77">
      <w:pPr>
        <w:spacing w:after="120"/>
      </w:pPr>
      <w:r>
        <w:t xml:space="preserve">The questions, as with the </w:t>
      </w:r>
      <w:r w:rsidR="00616A40">
        <w:t>children</w:t>
      </w:r>
      <w:r>
        <w:t>’ ones, should point to changes, which help confirm behavior consistent with the goals of the YRS programme</w:t>
      </w:r>
      <w:r w:rsidR="00B77100">
        <w:t xml:space="preserve"> [</w:t>
      </w:r>
      <w:r w:rsidR="002C03B1">
        <w:t>32</w:t>
      </w:r>
      <w:r w:rsidR="00B77100">
        <w:t>]</w:t>
      </w:r>
      <w:r>
        <w:t>.</w:t>
      </w:r>
      <w:r w:rsidR="009D3377">
        <w:t xml:space="preserve"> </w:t>
      </w:r>
    </w:p>
    <w:p w14:paraId="4E361467" w14:textId="77777777" w:rsidR="008B197E" w:rsidRDefault="00633E3A" w:rsidP="009C5E93">
      <w:pPr>
        <w:pStyle w:val="Heading2"/>
      </w:pPr>
      <w:r>
        <w:t>Results</w:t>
      </w:r>
    </w:p>
    <w:p w14:paraId="0BB98BE9" w14:textId="37E99806" w:rsidR="008B197E" w:rsidRDefault="005A5C57">
      <w:pPr>
        <w:pStyle w:val="BodyTextIndent"/>
        <w:spacing w:after="120"/>
        <w:ind w:firstLine="0"/>
      </w:pPr>
      <w:r>
        <w:t xml:space="preserve">We had </w:t>
      </w:r>
      <w:r w:rsidR="00D749A6">
        <w:t>fewer</w:t>
      </w:r>
      <w:r>
        <w:t xml:space="preserve"> </w:t>
      </w:r>
      <w:r w:rsidR="00D749A6">
        <w:t>results</w:t>
      </w:r>
      <w:r w:rsidR="00F2519C">
        <w:t xml:space="preserve"> than expected from</w:t>
      </w:r>
      <w:r>
        <w:t xml:space="preserve"> our survey</w:t>
      </w:r>
      <w:r w:rsidR="004C6CF0">
        <w:t xml:space="preserve"> so this is a</w:t>
      </w:r>
      <w:r w:rsidR="00F2519C">
        <w:t xml:space="preserve"> more qualitative than quantitative analysis</w:t>
      </w:r>
      <w:r w:rsidR="008B197E">
        <w:t>.</w:t>
      </w:r>
      <w:r>
        <w:t xml:space="preserve"> </w:t>
      </w:r>
      <w:r w:rsidR="00826984">
        <w:t>We had eleven parents respond</w:t>
      </w:r>
      <w:r w:rsidR="00FF13EB">
        <w:t xml:space="preserve"> (2 male, 8 female, one other)</w:t>
      </w:r>
      <w:r w:rsidR="00826984">
        <w:t xml:space="preserve">, and ten </w:t>
      </w:r>
      <w:r w:rsidR="00616A40">
        <w:t>children</w:t>
      </w:r>
      <w:r w:rsidR="00170F9A">
        <w:t xml:space="preserve"> (4 male and </w:t>
      </w:r>
      <w:r w:rsidR="00FF13EB">
        <w:t>6 female)</w:t>
      </w:r>
      <w:r w:rsidR="00826984">
        <w:t xml:space="preserve"> res</w:t>
      </w:r>
      <w:r w:rsidR="00D83608">
        <w:t>pond to our survey over a three-</w:t>
      </w:r>
      <w:r w:rsidR="00170F9A">
        <w:t xml:space="preserve">week period in November and </w:t>
      </w:r>
      <w:r w:rsidR="00826984">
        <w:t>December 2014.</w:t>
      </w:r>
      <w:r w:rsidR="00FF13EB">
        <w:t xml:space="preserve"> </w:t>
      </w:r>
      <w:r w:rsidR="00BF5A98">
        <w:t xml:space="preserve">We </w:t>
      </w:r>
      <w:r w:rsidR="00F2519C">
        <w:t>ran</w:t>
      </w:r>
      <w:r w:rsidR="00BF5A98">
        <w:t xml:space="preserve"> the survey later than intended with less social media, and other help as our wait for ethical approval meant we missed key events where we could have had more </w:t>
      </w:r>
      <w:r w:rsidR="006605BF">
        <w:t>opportunies</w:t>
      </w:r>
      <w:r w:rsidR="00BF5A98">
        <w:t xml:space="preserve"> to gain survey participants.</w:t>
      </w:r>
    </w:p>
    <w:p w14:paraId="4D8948AB" w14:textId="67590399" w:rsidR="00D749A6" w:rsidRDefault="00FF13EB">
      <w:pPr>
        <w:pStyle w:val="BodyTextIndent"/>
        <w:spacing w:after="120"/>
        <w:ind w:firstLine="0"/>
      </w:pPr>
      <w:r>
        <w:t xml:space="preserve">The </w:t>
      </w:r>
      <w:r w:rsidR="00616A40">
        <w:t>children</w:t>
      </w:r>
      <w:r w:rsidR="003C038A">
        <w:t xml:space="preserve"> were born between 1994 and 1997, and the </w:t>
      </w:r>
      <w:r w:rsidR="00616A40">
        <w:t>children</w:t>
      </w:r>
      <w:r w:rsidR="003C038A">
        <w:t xml:space="preserve"> of the parents were born between</w:t>
      </w:r>
      <w:r w:rsidR="00B44FD3">
        <w:t xml:space="preserve"> </w:t>
      </w:r>
      <w:r w:rsidR="003C038A">
        <w:t xml:space="preserve">1997 and 2000. This makes almost all of the participant </w:t>
      </w:r>
      <w:r w:rsidR="00616A40">
        <w:t>children</w:t>
      </w:r>
      <w:r w:rsidR="003C038A">
        <w:t xml:space="preserve"> part of the 97er generation</w:t>
      </w:r>
      <w:r w:rsidR="00171B8D">
        <w:t xml:space="preserve"> [19]</w:t>
      </w:r>
      <w:r w:rsidR="003C038A">
        <w:t xml:space="preserve">, who are digital natives and </w:t>
      </w:r>
      <w:r w:rsidR="006A7F5C">
        <w:t>who are aware of</w:t>
      </w:r>
      <w:r w:rsidR="003C038A">
        <w:t xml:space="preserve"> social med</w:t>
      </w:r>
      <w:r w:rsidR="00775987">
        <w:t>ia from their youngest age</w:t>
      </w:r>
      <w:r w:rsidR="003C038A">
        <w:t xml:space="preserve">. </w:t>
      </w:r>
      <w:r w:rsidR="006A7F5C">
        <w:t xml:space="preserve">These are digital natives, who grew up after Windows 95 was released and after the </w:t>
      </w:r>
      <w:r w:rsidR="00442402">
        <w:t xml:space="preserve">Internet and the </w:t>
      </w:r>
      <w:r w:rsidR="006A7F5C">
        <w:t>Web became mainstream.</w:t>
      </w:r>
    </w:p>
    <w:p w14:paraId="4647A9CF" w14:textId="61091692" w:rsidR="00BE3584" w:rsidRDefault="00BE3584">
      <w:pPr>
        <w:pStyle w:val="BodyTextIndent"/>
        <w:spacing w:after="120"/>
        <w:ind w:firstLine="0"/>
      </w:pPr>
      <w:r>
        <w:t>Less than half of the participants had coding/design friends before taking part in a</w:t>
      </w:r>
      <w:r w:rsidR="00221F87">
        <w:t>n</w:t>
      </w:r>
      <w:r>
        <w:t xml:space="preserve"> YRS event. 50% </w:t>
      </w:r>
      <w:r w:rsidR="00A26057">
        <w:t>of</w:t>
      </w:r>
      <w:r>
        <w:t xml:space="preserve"> the </w:t>
      </w:r>
      <w:r w:rsidR="00616A40">
        <w:t>children</w:t>
      </w:r>
      <w:r>
        <w:t xml:space="preserve">, and 6 of 11 parents’ </w:t>
      </w:r>
      <w:r w:rsidR="00616A40">
        <w:t>children</w:t>
      </w:r>
      <w:r>
        <w:t xml:space="preserve"> had no coding/design friends before attending.</w:t>
      </w:r>
    </w:p>
    <w:p w14:paraId="7902E0FB" w14:textId="0470DFEA" w:rsidR="00BE3584" w:rsidRDefault="00BE3584">
      <w:pPr>
        <w:pStyle w:val="BodyTextIndent"/>
        <w:spacing w:after="120"/>
        <w:ind w:firstLine="0"/>
      </w:pPr>
      <w:r>
        <w:t xml:space="preserve">Most people told others about the YRS events after they found out about them. 8 of </w:t>
      </w:r>
      <w:r w:rsidR="005B07E7">
        <w:t xml:space="preserve">the </w:t>
      </w:r>
      <w:r>
        <w:t xml:space="preserve">10 </w:t>
      </w:r>
      <w:r w:rsidR="00616A40">
        <w:t>children</w:t>
      </w:r>
      <w:r>
        <w:t xml:space="preserve">, and 10 of </w:t>
      </w:r>
      <w:r w:rsidR="005B07E7">
        <w:t xml:space="preserve">the </w:t>
      </w:r>
      <w:r>
        <w:t>11 parents did this.</w:t>
      </w:r>
    </w:p>
    <w:p w14:paraId="4FE85DA5" w14:textId="124388E6" w:rsidR="00BE3584" w:rsidRDefault="00BE3584">
      <w:pPr>
        <w:pStyle w:val="BodyTextIndent"/>
        <w:spacing w:after="120"/>
        <w:ind w:firstLine="0"/>
      </w:pPr>
      <w:r>
        <w:t>Almost all people went to the weekend event afte</w:t>
      </w:r>
      <w:r w:rsidR="00B034E9">
        <w:t>r attending the weeklong event. This ends up being due to prior family arrangements, and the location of the weekend event</w:t>
      </w:r>
      <w:r w:rsidR="00F03BC2">
        <w:t>.</w:t>
      </w:r>
    </w:p>
    <w:p w14:paraId="1A37E9AB" w14:textId="37E52ADD" w:rsidR="00D82AD0" w:rsidRDefault="006B3A1C">
      <w:pPr>
        <w:pStyle w:val="BodyTextIndent"/>
        <w:spacing w:after="120"/>
        <w:ind w:firstLine="0"/>
      </w:pPr>
      <w:r>
        <w:t>Survey participants</w:t>
      </w:r>
      <w:r w:rsidR="00625708">
        <w:t xml:space="preserve"> came from across the UK</w:t>
      </w:r>
      <w:r>
        <w:t>.</w:t>
      </w:r>
    </w:p>
    <w:p w14:paraId="19436824" w14:textId="168FBB3F" w:rsidR="00625708" w:rsidRPr="002D6BE2" w:rsidRDefault="00625708">
      <w:pPr>
        <w:pStyle w:val="BodyTextIndent"/>
        <w:spacing w:after="120"/>
        <w:ind w:firstLine="0"/>
        <w:rPr>
          <w:b/>
        </w:rPr>
      </w:pPr>
      <w:r w:rsidRPr="002D6BE2">
        <w:rPr>
          <w:b/>
        </w:rPr>
        <w:t>Table 1. Participant’s home locations</w:t>
      </w:r>
    </w:p>
    <w:tbl>
      <w:tblPr>
        <w:tblW w:w="0" w:type="auto"/>
        <w:tblInd w:w="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57"/>
        <w:gridCol w:w="1134"/>
        <w:gridCol w:w="951"/>
      </w:tblGrid>
      <w:tr w:rsidR="00797B0B" w14:paraId="7D5AE26B" w14:textId="77777777" w:rsidTr="00877ABB">
        <w:trPr>
          <w:trHeight w:val="281"/>
        </w:trPr>
        <w:tc>
          <w:tcPr>
            <w:tcW w:w="2157" w:type="dxa"/>
            <w:vAlign w:val="center"/>
          </w:tcPr>
          <w:p w14:paraId="1485BDA9" w14:textId="0CCE9EB2" w:rsidR="00797B0B" w:rsidRPr="00625708" w:rsidRDefault="00797B0B" w:rsidP="00797B0B">
            <w:pPr>
              <w:widowControl w:val="0"/>
              <w:autoSpaceDE w:val="0"/>
              <w:autoSpaceDN w:val="0"/>
              <w:adjustRightInd w:val="0"/>
              <w:spacing w:after="0"/>
              <w:jc w:val="left"/>
              <w:rPr>
                <w:b/>
                <w:color w:val="000000"/>
                <w:szCs w:val="18"/>
              </w:rPr>
            </w:pPr>
            <w:r w:rsidRPr="00625708">
              <w:rPr>
                <w:b/>
                <w:color w:val="000000"/>
                <w:szCs w:val="18"/>
              </w:rPr>
              <w:t>Home</w:t>
            </w:r>
          </w:p>
        </w:tc>
        <w:tc>
          <w:tcPr>
            <w:tcW w:w="1134" w:type="dxa"/>
          </w:tcPr>
          <w:p w14:paraId="75587B58" w14:textId="43EDEB2D" w:rsidR="00797B0B" w:rsidRDefault="00797B0B" w:rsidP="00877ABB">
            <w:pPr>
              <w:widowControl w:val="0"/>
              <w:autoSpaceDE w:val="0"/>
              <w:autoSpaceDN w:val="0"/>
              <w:adjustRightInd w:val="0"/>
              <w:spacing w:after="0"/>
              <w:jc w:val="center"/>
              <w:rPr>
                <w:b/>
                <w:color w:val="000000"/>
                <w:szCs w:val="18"/>
              </w:rPr>
            </w:pPr>
            <w:r>
              <w:rPr>
                <w:b/>
                <w:color w:val="000000"/>
                <w:szCs w:val="18"/>
              </w:rPr>
              <w:t xml:space="preserve">Parent’s </w:t>
            </w:r>
          </w:p>
        </w:tc>
        <w:tc>
          <w:tcPr>
            <w:tcW w:w="951" w:type="dxa"/>
          </w:tcPr>
          <w:p w14:paraId="69C9CA18" w14:textId="5EE9B9D8" w:rsidR="00797B0B" w:rsidRPr="00625708" w:rsidRDefault="00616A40" w:rsidP="002D6BE2">
            <w:pPr>
              <w:widowControl w:val="0"/>
              <w:autoSpaceDE w:val="0"/>
              <w:autoSpaceDN w:val="0"/>
              <w:adjustRightInd w:val="0"/>
              <w:spacing w:after="0"/>
              <w:jc w:val="center"/>
              <w:rPr>
                <w:b/>
                <w:color w:val="000000"/>
                <w:szCs w:val="18"/>
              </w:rPr>
            </w:pPr>
            <w:r>
              <w:rPr>
                <w:b/>
                <w:color w:val="000000"/>
                <w:szCs w:val="18"/>
              </w:rPr>
              <w:t>Children</w:t>
            </w:r>
          </w:p>
        </w:tc>
      </w:tr>
      <w:tr w:rsidR="00797B0B" w14:paraId="7CE36D98" w14:textId="77777777" w:rsidTr="00877ABB">
        <w:trPr>
          <w:trHeight w:val="281"/>
        </w:trPr>
        <w:tc>
          <w:tcPr>
            <w:tcW w:w="2157" w:type="dxa"/>
            <w:vAlign w:val="center"/>
          </w:tcPr>
          <w:p w14:paraId="63A689FF" w14:textId="694551E9" w:rsidR="00797B0B" w:rsidRPr="00625708" w:rsidRDefault="00797B0B" w:rsidP="00797B0B">
            <w:pPr>
              <w:widowControl w:val="0"/>
              <w:autoSpaceDE w:val="0"/>
              <w:autoSpaceDN w:val="0"/>
              <w:adjustRightInd w:val="0"/>
              <w:spacing w:after="0"/>
              <w:jc w:val="left"/>
              <w:rPr>
                <w:color w:val="000000"/>
                <w:szCs w:val="18"/>
              </w:rPr>
            </w:pPr>
            <w:r w:rsidRPr="00625708">
              <w:rPr>
                <w:color w:val="000000"/>
                <w:szCs w:val="18"/>
              </w:rPr>
              <w:t>London</w:t>
            </w:r>
          </w:p>
        </w:tc>
        <w:tc>
          <w:tcPr>
            <w:tcW w:w="1134" w:type="dxa"/>
          </w:tcPr>
          <w:p w14:paraId="10B6900B" w14:textId="1A7FD7BC" w:rsidR="00797B0B" w:rsidRPr="00625708" w:rsidRDefault="00797B0B" w:rsidP="002D6BE2">
            <w:pPr>
              <w:widowControl w:val="0"/>
              <w:autoSpaceDE w:val="0"/>
              <w:autoSpaceDN w:val="0"/>
              <w:adjustRightInd w:val="0"/>
              <w:spacing w:after="0"/>
              <w:jc w:val="center"/>
              <w:rPr>
                <w:color w:val="000000"/>
                <w:szCs w:val="18"/>
              </w:rPr>
            </w:pPr>
            <w:r>
              <w:rPr>
                <w:color w:val="000000"/>
                <w:szCs w:val="18"/>
              </w:rPr>
              <w:t>4</w:t>
            </w:r>
          </w:p>
        </w:tc>
        <w:tc>
          <w:tcPr>
            <w:tcW w:w="951" w:type="dxa"/>
          </w:tcPr>
          <w:p w14:paraId="0708EFC8" w14:textId="5E80DD4C" w:rsidR="00797B0B" w:rsidRPr="00625708" w:rsidRDefault="00797B0B" w:rsidP="002D6BE2">
            <w:pPr>
              <w:widowControl w:val="0"/>
              <w:autoSpaceDE w:val="0"/>
              <w:autoSpaceDN w:val="0"/>
              <w:adjustRightInd w:val="0"/>
              <w:spacing w:after="0"/>
              <w:jc w:val="center"/>
              <w:rPr>
                <w:color w:val="000000"/>
                <w:szCs w:val="18"/>
              </w:rPr>
            </w:pPr>
            <w:r w:rsidRPr="00625708">
              <w:rPr>
                <w:color w:val="000000"/>
                <w:szCs w:val="18"/>
              </w:rPr>
              <w:t>1</w:t>
            </w:r>
          </w:p>
        </w:tc>
      </w:tr>
      <w:tr w:rsidR="00625708" w14:paraId="3470EB1D" w14:textId="77777777" w:rsidTr="00877ABB">
        <w:trPr>
          <w:trHeight w:val="281"/>
        </w:trPr>
        <w:tc>
          <w:tcPr>
            <w:tcW w:w="2157" w:type="dxa"/>
          </w:tcPr>
          <w:p w14:paraId="3BF06B49" w14:textId="77777777" w:rsidR="00625708" w:rsidRPr="00625708" w:rsidRDefault="00625708">
            <w:pPr>
              <w:widowControl w:val="0"/>
              <w:autoSpaceDE w:val="0"/>
              <w:autoSpaceDN w:val="0"/>
              <w:adjustRightInd w:val="0"/>
              <w:spacing w:after="0"/>
              <w:jc w:val="left"/>
              <w:rPr>
                <w:color w:val="000000"/>
                <w:szCs w:val="18"/>
              </w:rPr>
            </w:pPr>
            <w:r w:rsidRPr="00625708">
              <w:rPr>
                <w:color w:val="000000"/>
                <w:szCs w:val="18"/>
              </w:rPr>
              <w:t>South East England</w:t>
            </w:r>
          </w:p>
        </w:tc>
        <w:tc>
          <w:tcPr>
            <w:tcW w:w="1134" w:type="dxa"/>
          </w:tcPr>
          <w:p w14:paraId="6868F62B" w14:textId="35840B7C" w:rsidR="00625708" w:rsidRPr="00625708" w:rsidRDefault="002D6BE2" w:rsidP="002D6BE2">
            <w:pPr>
              <w:widowControl w:val="0"/>
              <w:autoSpaceDE w:val="0"/>
              <w:autoSpaceDN w:val="0"/>
              <w:adjustRightInd w:val="0"/>
              <w:spacing w:after="0"/>
              <w:jc w:val="center"/>
              <w:rPr>
                <w:color w:val="000000"/>
                <w:szCs w:val="18"/>
              </w:rPr>
            </w:pPr>
            <w:r>
              <w:rPr>
                <w:color w:val="000000"/>
                <w:szCs w:val="18"/>
              </w:rPr>
              <w:t>1</w:t>
            </w:r>
          </w:p>
        </w:tc>
        <w:tc>
          <w:tcPr>
            <w:tcW w:w="951" w:type="dxa"/>
          </w:tcPr>
          <w:p w14:paraId="5F35F7D1" w14:textId="46C0AAE5" w:rsidR="00625708" w:rsidRPr="00625708" w:rsidRDefault="00625708" w:rsidP="002D6BE2">
            <w:pPr>
              <w:widowControl w:val="0"/>
              <w:autoSpaceDE w:val="0"/>
              <w:autoSpaceDN w:val="0"/>
              <w:adjustRightInd w:val="0"/>
              <w:spacing w:after="0"/>
              <w:jc w:val="center"/>
              <w:rPr>
                <w:color w:val="000000"/>
                <w:szCs w:val="18"/>
              </w:rPr>
            </w:pPr>
            <w:r w:rsidRPr="00625708">
              <w:rPr>
                <w:color w:val="000000"/>
                <w:szCs w:val="18"/>
              </w:rPr>
              <w:t>2</w:t>
            </w:r>
          </w:p>
        </w:tc>
      </w:tr>
      <w:tr w:rsidR="00625708" w14:paraId="784D3BFC" w14:textId="77777777" w:rsidTr="00877ABB">
        <w:trPr>
          <w:trHeight w:val="281"/>
        </w:trPr>
        <w:tc>
          <w:tcPr>
            <w:tcW w:w="2157" w:type="dxa"/>
          </w:tcPr>
          <w:p w14:paraId="6AF8775F" w14:textId="77777777" w:rsidR="00625708" w:rsidRPr="00625708" w:rsidRDefault="00625708">
            <w:pPr>
              <w:widowControl w:val="0"/>
              <w:autoSpaceDE w:val="0"/>
              <w:autoSpaceDN w:val="0"/>
              <w:adjustRightInd w:val="0"/>
              <w:spacing w:after="0"/>
              <w:jc w:val="left"/>
              <w:rPr>
                <w:color w:val="000000"/>
                <w:szCs w:val="18"/>
              </w:rPr>
            </w:pPr>
            <w:r w:rsidRPr="00625708">
              <w:rPr>
                <w:color w:val="000000"/>
                <w:szCs w:val="18"/>
              </w:rPr>
              <w:t>South West England</w:t>
            </w:r>
          </w:p>
        </w:tc>
        <w:tc>
          <w:tcPr>
            <w:tcW w:w="1134" w:type="dxa"/>
          </w:tcPr>
          <w:p w14:paraId="55BC06D1" w14:textId="25B952C4" w:rsidR="00625708" w:rsidRPr="00625708" w:rsidRDefault="002D6BE2" w:rsidP="002D6BE2">
            <w:pPr>
              <w:widowControl w:val="0"/>
              <w:autoSpaceDE w:val="0"/>
              <w:autoSpaceDN w:val="0"/>
              <w:adjustRightInd w:val="0"/>
              <w:spacing w:after="0"/>
              <w:jc w:val="center"/>
              <w:rPr>
                <w:color w:val="000000"/>
                <w:szCs w:val="18"/>
              </w:rPr>
            </w:pPr>
            <w:r>
              <w:rPr>
                <w:color w:val="000000"/>
                <w:szCs w:val="18"/>
              </w:rPr>
              <w:t>0</w:t>
            </w:r>
          </w:p>
        </w:tc>
        <w:tc>
          <w:tcPr>
            <w:tcW w:w="951" w:type="dxa"/>
          </w:tcPr>
          <w:p w14:paraId="33810944" w14:textId="1DB8CDCE" w:rsidR="00625708" w:rsidRPr="00625708" w:rsidRDefault="00625708" w:rsidP="002D6BE2">
            <w:pPr>
              <w:widowControl w:val="0"/>
              <w:autoSpaceDE w:val="0"/>
              <w:autoSpaceDN w:val="0"/>
              <w:adjustRightInd w:val="0"/>
              <w:spacing w:after="0"/>
              <w:jc w:val="center"/>
              <w:rPr>
                <w:color w:val="000000"/>
                <w:szCs w:val="18"/>
              </w:rPr>
            </w:pPr>
            <w:r w:rsidRPr="00625708">
              <w:rPr>
                <w:color w:val="000000"/>
                <w:szCs w:val="18"/>
              </w:rPr>
              <w:t>4</w:t>
            </w:r>
          </w:p>
        </w:tc>
      </w:tr>
      <w:tr w:rsidR="00625708" w14:paraId="5D9E02C3" w14:textId="77777777" w:rsidTr="00877ABB">
        <w:trPr>
          <w:trHeight w:val="281"/>
        </w:trPr>
        <w:tc>
          <w:tcPr>
            <w:tcW w:w="2157" w:type="dxa"/>
          </w:tcPr>
          <w:p w14:paraId="46031AEC" w14:textId="77777777" w:rsidR="00625708" w:rsidRPr="00625708" w:rsidRDefault="00625708">
            <w:pPr>
              <w:widowControl w:val="0"/>
              <w:autoSpaceDE w:val="0"/>
              <w:autoSpaceDN w:val="0"/>
              <w:adjustRightInd w:val="0"/>
              <w:spacing w:after="0"/>
              <w:jc w:val="left"/>
              <w:rPr>
                <w:color w:val="000000"/>
                <w:szCs w:val="18"/>
              </w:rPr>
            </w:pPr>
            <w:r w:rsidRPr="00625708">
              <w:rPr>
                <w:color w:val="000000"/>
                <w:szCs w:val="18"/>
              </w:rPr>
              <w:t>East of England</w:t>
            </w:r>
          </w:p>
        </w:tc>
        <w:tc>
          <w:tcPr>
            <w:tcW w:w="1134" w:type="dxa"/>
          </w:tcPr>
          <w:p w14:paraId="2302AD40" w14:textId="51A8DDF4" w:rsidR="00625708" w:rsidRPr="00625708" w:rsidRDefault="002D6BE2" w:rsidP="002D6BE2">
            <w:pPr>
              <w:widowControl w:val="0"/>
              <w:autoSpaceDE w:val="0"/>
              <w:autoSpaceDN w:val="0"/>
              <w:adjustRightInd w:val="0"/>
              <w:spacing w:after="0"/>
              <w:jc w:val="center"/>
              <w:rPr>
                <w:color w:val="000000"/>
                <w:szCs w:val="18"/>
              </w:rPr>
            </w:pPr>
            <w:r>
              <w:rPr>
                <w:color w:val="000000"/>
                <w:szCs w:val="18"/>
              </w:rPr>
              <w:t>1</w:t>
            </w:r>
          </w:p>
        </w:tc>
        <w:tc>
          <w:tcPr>
            <w:tcW w:w="951" w:type="dxa"/>
          </w:tcPr>
          <w:p w14:paraId="4C9A7C43" w14:textId="295E557F" w:rsidR="00625708" w:rsidRPr="00625708" w:rsidRDefault="00625708" w:rsidP="002D6BE2">
            <w:pPr>
              <w:widowControl w:val="0"/>
              <w:autoSpaceDE w:val="0"/>
              <w:autoSpaceDN w:val="0"/>
              <w:adjustRightInd w:val="0"/>
              <w:spacing w:after="0"/>
              <w:jc w:val="center"/>
              <w:rPr>
                <w:color w:val="000000"/>
                <w:szCs w:val="18"/>
              </w:rPr>
            </w:pPr>
            <w:r w:rsidRPr="00625708">
              <w:rPr>
                <w:color w:val="000000"/>
                <w:szCs w:val="18"/>
              </w:rPr>
              <w:t>2</w:t>
            </w:r>
          </w:p>
        </w:tc>
      </w:tr>
      <w:tr w:rsidR="002D6BE2" w14:paraId="603E7152" w14:textId="77777777" w:rsidTr="00877ABB">
        <w:trPr>
          <w:trHeight w:val="281"/>
        </w:trPr>
        <w:tc>
          <w:tcPr>
            <w:tcW w:w="2157" w:type="dxa"/>
          </w:tcPr>
          <w:p w14:paraId="1827350F" w14:textId="18E960E3" w:rsidR="002D6BE2" w:rsidRPr="00625708" w:rsidRDefault="00476CFA">
            <w:pPr>
              <w:widowControl w:val="0"/>
              <w:autoSpaceDE w:val="0"/>
              <w:autoSpaceDN w:val="0"/>
              <w:adjustRightInd w:val="0"/>
              <w:spacing w:after="0"/>
              <w:jc w:val="left"/>
              <w:rPr>
                <w:color w:val="000000"/>
                <w:szCs w:val="18"/>
              </w:rPr>
            </w:pPr>
            <w:r w:rsidRPr="00476CFA">
              <w:rPr>
                <w:color w:val="000000"/>
                <w:szCs w:val="18"/>
                <w:lang w:val="en-GB"/>
              </w:rPr>
              <w:t>Northwest England</w:t>
            </w:r>
          </w:p>
        </w:tc>
        <w:tc>
          <w:tcPr>
            <w:tcW w:w="1134" w:type="dxa"/>
          </w:tcPr>
          <w:p w14:paraId="332B3EA4" w14:textId="5657AEAF" w:rsidR="002D6BE2" w:rsidRPr="00625708" w:rsidRDefault="002D6BE2" w:rsidP="002D6BE2">
            <w:pPr>
              <w:widowControl w:val="0"/>
              <w:autoSpaceDE w:val="0"/>
              <w:autoSpaceDN w:val="0"/>
              <w:adjustRightInd w:val="0"/>
              <w:spacing w:after="0"/>
              <w:jc w:val="center"/>
              <w:rPr>
                <w:color w:val="000000"/>
                <w:szCs w:val="18"/>
              </w:rPr>
            </w:pPr>
            <w:r>
              <w:rPr>
                <w:color w:val="000000"/>
                <w:szCs w:val="18"/>
              </w:rPr>
              <w:t>1</w:t>
            </w:r>
          </w:p>
        </w:tc>
        <w:tc>
          <w:tcPr>
            <w:tcW w:w="951" w:type="dxa"/>
          </w:tcPr>
          <w:p w14:paraId="1D0EEA47" w14:textId="590A9083" w:rsidR="002D6BE2" w:rsidRPr="00625708" w:rsidRDefault="00476CFA" w:rsidP="002D6BE2">
            <w:pPr>
              <w:widowControl w:val="0"/>
              <w:autoSpaceDE w:val="0"/>
              <w:autoSpaceDN w:val="0"/>
              <w:adjustRightInd w:val="0"/>
              <w:spacing w:after="0"/>
              <w:jc w:val="center"/>
              <w:rPr>
                <w:color w:val="000000"/>
                <w:szCs w:val="18"/>
              </w:rPr>
            </w:pPr>
            <w:r>
              <w:rPr>
                <w:color w:val="000000"/>
                <w:szCs w:val="18"/>
              </w:rPr>
              <w:t>2</w:t>
            </w:r>
          </w:p>
        </w:tc>
      </w:tr>
      <w:tr w:rsidR="002D6BE2" w14:paraId="4AC19F62" w14:textId="77777777" w:rsidTr="00877ABB">
        <w:trPr>
          <w:trHeight w:val="281"/>
        </w:trPr>
        <w:tc>
          <w:tcPr>
            <w:tcW w:w="2157" w:type="dxa"/>
          </w:tcPr>
          <w:p w14:paraId="5BF4007A" w14:textId="4EE627D8" w:rsidR="002D6BE2" w:rsidRPr="00625708" w:rsidRDefault="002D6BE2">
            <w:pPr>
              <w:widowControl w:val="0"/>
              <w:autoSpaceDE w:val="0"/>
              <w:autoSpaceDN w:val="0"/>
              <w:adjustRightInd w:val="0"/>
              <w:spacing w:after="0"/>
              <w:jc w:val="left"/>
              <w:rPr>
                <w:color w:val="000000"/>
                <w:szCs w:val="18"/>
              </w:rPr>
            </w:pPr>
            <w:r>
              <w:rPr>
                <w:color w:val="000000"/>
                <w:szCs w:val="18"/>
              </w:rPr>
              <w:t>West Midlands</w:t>
            </w:r>
          </w:p>
        </w:tc>
        <w:tc>
          <w:tcPr>
            <w:tcW w:w="1134" w:type="dxa"/>
          </w:tcPr>
          <w:p w14:paraId="3AC32ADA" w14:textId="7CD54FA1" w:rsidR="002D6BE2" w:rsidRPr="00625708" w:rsidRDefault="002D6BE2" w:rsidP="002D6BE2">
            <w:pPr>
              <w:widowControl w:val="0"/>
              <w:autoSpaceDE w:val="0"/>
              <w:autoSpaceDN w:val="0"/>
              <w:adjustRightInd w:val="0"/>
              <w:spacing w:after="0"/>
              <w:jc w:val="center"/>
              <w:rPr>
                <w:color w:val="000000"/>
                <w:szCs w:val="18"/>
              </w:rPr>
            </w:pPr>
            <w:r>
              <w:rPr>
                <w:color w:val="000000"/>
                <w:szCs w:val="18"/>
              </w:rPr>
              <w:t>2</w:t>
            </w:r>
          </w:p>
        </w:tc>
        <w:tc>
          <w:tcPr>
            <w:tcW w:w="951" w:type="dxa"/>
          </w:tcPr>
          <w:p w14:paraId="6C4FC190" w14:textId="1E5CCE73" w:rsidR="002D6BE2" w:rsidRPr="00625708" w:rsidRDefault="002D6BE2" w:rsidP="002D6BE2">
            <w:pPr>
              <w:widowControl w:val="0"/>
              <w:autoSpaceDE w:val="0"/>
              <w:autoSpaceDN w:val="0"/>
              <w:adjustRightInd w:val="0"/>
              <w:spacing w:after="0"/>
              <w:jc w:val="center"/>
              <w:rPr>
                <w:color w:val="000000"/>
                <w:szCs w:val="18"/>
              </w:rPr>
            </w:pPr>
            <w:r>
              <w:rPr>
                <w:color w:val="000000"/>
                <w:szCs w:val="18"/>
              </w:rPr>
              <w:t>0</w:t>
            </w:r>
          </w:p>
        </w:tc>
      </w:tr>
      <w:tr w:rsidR="002D6BE2" w14:paraId="64647078" w14:textId="77777777" w:rsidTr="00877ABB">
        <w:trPr>
          <w:trHeight w:val="281"/>
        </w:trPr>
        <w:tc>
          <w:tcPr>
            <w:tcW w:w="2157" w:type="dxa"/>
          </w:tcPr>
          <w:p w14:paraId="78270986" w14:textId="66BFF3B9" w:rsidR="002D6BE2" w:rsidRDefault="002D6BE2">
            <w:pPr>
              <w:widowControl w:val="0"/>
              <w:autoSpaceDE w:val="0"/>
              <w:autoSpaceDN w:val="0"/>
              <w:adjustRightInd w:val="0"/>
              <w:spacing w:after="0"/>
              <w:jc w:val="left"/>
              <w:rPr>
                <w:color w:val="000000"/>
                <w:szCs w:val="18"/>
              </w:rPr>
            </w:pPr>
            <w:r w:rsidRPr="002D6BE2">
              <w:rPr>
                <w:color w:val="000000"/>
                <w:szCs w:val="18"/>
                <w:lang w:val="en-GB"/>
              </w:rPr>
              <w:t>Yorkshire and the Humber</w:t>
            </w:r>
          </w:p>
        </w:tc>
        <w:tc>
          <w:tcPr>
            <w:tcW w:w="1134" w:type="dxa"/>
          </w:tcPr>
          <w:p w14:paraId="0CA557A3" w14:textId="3449B004" w:rsidR="002D6BE2" w:rsidRDefault="002D6BE2" w:rsidP="002D6BE2">
            <w:pPr>
              <w:widowControl w:val="0"/>
              <w:autoSpaceDE w:val="0"/>
              <w:autoSpaceDN w:val="0"/>
              <w:adjustRightInd w:val="0"/>
              <w:spacing w:after="0"/>
              <w:jc w:val="center"/>
              <w:rPr>
                <w:color w:val="000000"/>
                <w:szCs w:val="18"/>
              </w:rPr>
            </w:pPr>
            <w:r>
              <w:rPr>
                <w:color w:val="000000"/>
                <w:szCs w:val="18"/>
              </w:rPr>
              <w:t>1</w:t>
            </w:r>
          </w:p>
        </w:tc>
        <w:tc>
          <w:tcPr>
            <w:tcW w:w="951" w:type="dxa"/>
          </w:tcPr>
          <w:p w14:paraId="3E1FC8BB" w14:textId="09F25C41" w:rsidR="002D6BE2" w:rsidRDefault="002D6BE2" w:rsidP="002D6BE2">
            <w:pPr>
              <w:widowControl w:val="0"/>
              <w:autoSpaceDE w:val="0"/>
              <w:autoSpaceDN w:val="0"/>
              <w:adjustRightInd w:val="0"/>
              <w:spacing w:after="0"/>
              <w:jc w:val="center"/>
              <w:rPr>
                <w:color w:val="000000"/>
                <w:szCs w:val="18"/>
              </w:rPr>
            </w:pPr>
            <w:r>
              <w:rPr>
                <w:color w:val="000000"/>
                <w:szCs w:val="18"/>
              </w:rPr>
              <w:t>0</w:t>
            </w:r>
          </w:p>
        </w:tc>
      </w:tr>
    </w:tbl>
    <w:p w14:paraId="2D9D10A0" w14:textId="77777777" w:rsidR="00512E42" w:rsidRDefault="00512E42">
      <w:pPr>
        <w:pStyle w:val="BodyTextIndent"/>
        <w:spacing w:after="120"/>
        <w:ind w:firstLine="0"/>
      </w:pPr>
    </w:p>
    <w:p w14:paraId="683930F9" w14:textId="32133E13" w:rsidR="008B197E" w:rsidRDefault="004309CF" w:rsidP="00831C93">
      <w:pPr>
        <w:pStyle w:val="BodyTextIndent"/>
        <w:spacing w:after="120"/>
        <w:ind w:firstLine="0"/>
      </w:pPr>
      <w:r>
        <w:t xml:space="preserve">Table 1 shows that </w:t>
      </w:r>
      <w:r w:rsidR="006B3A1C">
        <w:t>survey responses</w:t>
      </w:r>
      <w:r>
        <w:t xml:space="preserve"> were from a</w:t>
      </w:r>
      <w:r w:rsidR="005B07E7">
        <w:t>cross a range of locations</w:t>
      </w:r>
      <w:r>
        <w:t>.</w:t>
      </w:r>
    </w:p>
    <w:p w14:paraId="3E83BBCB" w14:textId="22158B8E" w:rsidR="00512E42" w:rsidRDefault="00512E42" w:rsidP="00512E42">
      <w:pPr>
        <w:pStyle w:val="BodyTextIndent"/>
        <w:spacing w:after="120"/>
        <w:ind w:firstLine="0"/>
      </w:pPr>
      <w:r>
        <w:t xml:space="preserve">The importance of parental support for out-of-school group coding activity as provided by the YRS Festival of Code week is highlighted by the distances travelled by </w:t>
      </w:r>
      <w:r w:rsidR="002F55D5">
        <w:t>participants as shown in Table 2</w:t>
      </w:r>
      <w:r>
        <w:t>. More than half of them travel at least 10-20 miles to arrive at their weekly hosting centre.</w:t>
      </w:r>
    </w:p>
    <w:p w14:paraId="7148ECC7" w14:textId="77777777" w:rsidR="00B75C9E" w:rsidRDefault="00B75C9E">
      <w:pPr>
        <w:pStyle w:val="BodyTextIndent"/>
        <w:ind w:firstLine="0"/>
      </w:pPr>
    </w:p>
    <w:p w14:paraId="72DC3C35" w14:textId="4BFD7B37" w:rsidR="00512E42" w:rsidRDefault="002F55D5">
      <w:pPr>
        <w:pStyle w:val="BodyTextIndent"/>
        <w:ind w:firstLine="0"/>
      </w:pPr>
      <w:r>
        <w:rPr>
          <w:b/>
        </w:rPr>
        <w:t>Table 2</w:t>
      </w:r>
      <w:r w:rsidR="00512E42" w:rsidRPr="00A05D09">
        <w:rPr>
          <w:b/>
        </w:rPr>
        <w:t>. Distance to the YRS host centre</w:t>
      </w:r>
    </w:p>
    <w:p w14:paraId="566CC731" w14:textId="77777777" w:rsidR="00B75C9E" w:rsidRDefault="00B75C9E">
      <w:pPr>
        <w:pStyle w:val="BodyTextIndent"/>
        <w:ind w:firstLine="0"/>
      </w:pPr>
    </w:p>
    <w:p w14:paraId="05FEB358" w14:textId="77777777" w:rsidR="00512E42" w:rsidRDefault="00512E42">
      <w:pPr>
        <w:pStyle w:val="BodyTextIndent"/>
        <w:ind w:firstLine="0"/>
      </w:pPr>
    </w:p>
    <w:tbl>
      <w:tblPr>
        <w:tblStyle w:val="TableGrid"/>
        <w:tblpPr w:leftFromText="180" w:rightFromText="180" w:vertAnchor="text" w:horzAnchor="page" w:tblpX="6562" w:tblpY="-163"/>
        <w:tblW w:w="0" w:type="auto"/>
        <w:tblCellMar>
          <w:left w:w="0" w:type="dxa"/>
          <w:right w:w="0" w:type="dxa"/>
        </w:tblCellMar>
        <w:tblLook w:val="04A0" w:firstRow="1" w:lastRow="0" w:firstColumn="1" w:lastColumn="0" w:noHBand="0" w:noVBand="1"/>
      </w:tblPr>
      <w:tblGrid>
        <w:gridCol w:w="1540"/>
        <w:gridCol w:w="1300"/>
        <w:gridCol w:w="1300"/>
      </w:tblGrid>
      <w:tr w:rsidR="00B75C9E" w:rsidRPr="00726705" w14:paraId="31D10822" w14:textId="77777777" w:rsidTr="00B75C9E">
        <w:trPr>
          <w:trHeight w:val="280"/>
        </w:trPr>
        <w:tc>
          <w:tcPr>
            <w:tcW w:w="1540" w:type="dxa"/>
            <w:noWrap/>
          </w:tcPr>
          <w:p w14:paraId="4E737F93" w14:textId="77777777" w:rsidR="00B75C9E" w:rsidRPr="00683915" w:rsidRDefault="00B75C9E" w:rsidP="00B75C9E">
            <w:pPr>
              <w:pStyle w:val="BodyTextIndent"/>
              <w:spacing w:after="120"/>
              <w:ind w:firstLine="0"/>
              <w:jc w:val="center"/>
              <w:rPr>
                <w:b/>
              </w:rPr>
            </w:pPr>
            <w:r w:rsidRPr="00683915">
              <w:rPr>
                <w:b/>
              </w:rPr>
              <w:t>Distance</w:t>
            </w:r>
          </w:p>
        </w:tc>
        <w:tc>
          <w:tcPr>
            <w:tcW w:w="1300" w:type="dxa"/>
            <w:noWrap/>
          </w:tcPr>
          <w:p w14:paraId="3FF20537" w14:textId="77777777" w:rsidR="00B75C9E" w:rsidRPr="00683915" w:rsidRDefault="00B75C9E" w:rsidP="00B75C9E">
            <w:pPr>
              <w:pStyle w:val="BodyTextIndent"/>
              <w:spacing w:after="120"/>
              <w:ind w:firstLine="0"/>
              <w:jc w:val="center"/>
              <w:rPr>
                <w:b/>
              </w:rPr>
            </w:pPr>
            <w:r>
              <w:rPr>
                <w:b/>
              </w:rPr>
              <w:t xml:space="preserve">Parents’ </w:t>
            </w:r>
          </w:p>
        </w:tc>
        <w:tc>
          <w:tcPr>
            <w:tcW w:w="1300" w:type="dxa"/>
          </w:tcPr>
          <w:p w14:paraId="42BEEE84" w14:textId="77777777" w:rsidR="00B75C9E" w:rsidRDefault="00B75C9E" w:rsidP="00B75C9E">
            <w:pPr>
              <w:pStyle w:val="BodyTextIndent"/>
              <w:spacing w:after="120"/>
              <w:ind w:firstLine="0"/>
              <w:jc w:val="center"/>
              <w:rPr>
                <w:b/>
              </w:rPr>
            </w:pPr>
            <w:r>
              <w:rPr>
                <w:b/>
              </w:rPr>
              <w:t>Children</w:t>
            </w:r>
          </w:p>
        </w:tc>
      </w:tr>
      <w:tr w:rsidR="00B75C9E" w:rsidRPr="00726705" w14:paraId="6A2B944F" w14:textId="77777777" w:rsidTr="00B75C9E">
        <w:trPr>
          <w:trHeight w:val="280"/>
        </w:trPr>
        <w:tc>
          <w:tcPr>
            <w:tcW w:w="1540" w:type="dxa"/>
            <w:noWrap/>
            <w:hideMark/>
          </w:tcPr>
          <w:p w14:paraId="3B31D373" w14:textId="77777777" w:rsidR="00B75C9E" w:rsidRPr="00726705" w:rsidRDefault="00B75C9E" w:rsidP="00B75C9E">
            <w:pPr>
              <w:pStyle w:val="BodyTextIndent"/>
              <w:spacing w:after="120"/>
              <w:ind w:firstLine="0"/>
              <w:jc w:val="center"/>
            </w:pPr>
            <w:r w:rsidRPr="00726705">
              <w:t>&lt; 5 miles</w:t>
            </w:r>
          </w:p>
        </w:tc>
        <w:tc>
          <w:tcPr>
            <w:tcW w:w="1300" w:type="dxa"/>
            <w:noWrap/>
            <w:hideMark/>
          </w:tcPr>
          <w:p w14:paraId="0189A71E" w14:textId="77777777" w:rsidR="00B75C9E" w:rsidRPr="00726705" w:rsidRDefault="00B75C9E" w:rsidP="00B75C9E">
            <w:pPr>
              <w:pStyle w:val="BodyTextIndent"/>
              <w:spacing w:after="120"/>
              <w:ind w:firstLine="0"/>
              <w:jc w:val="center"/>
            </w:pPr>
            <w:r w:rsidRPr="00726705">
              <w:t>1</w:t>
            </w:r>
          </w:p>
        </w:tc>
        <w:tc>
          <w:tcPr>
            <w:tcW w:w="1300" w:type="dxa"/>
          </w:tcPr>
          <w:p w14:paraId="18DCD031" w14:textId="77777777" w:rsidR="00B75C9E" w:rsidRPr="00726705" w:rsidRDefault="00B75C9E" w:rsidP="00B75C9E">
            <w:pPr>
              <w:pStyle w:val="BodyTextIndent"/>
              <w:spacing w:after="120"/>
              <w:ind w:firstLine="0"/>
              <w:jc w:val="center"/>
            </w:pPr>
            <w:r>
              <w:t>2</w:t>
            </w:r>
          </w:p>
        </w:tc>
      </w:tr>
      <w:tr w:rsidR="00B75C9E" w:rsidRPr="00726705" w14:paraId="16BEB36B" w14:textId="77777777" w:rsidTr="00B75C9E">
        <w:trPr>
          <w:trHeight w:val="280"/>
        </w:trPr>
        <w:tc>
          <w:tcPr>
            <w:tcW w:w="1540" w:type="dxa"/>
            <w:noWrap/>
            <w:hideMark/>
          </w:tcPr>
          <w:p w14:paraId="24E57BFF" w14:textId="77777777" w:rsidR="00B75C9E" w:rsidRPr="00726705" w:rsidRDefault="00B75C9E" w:rsidP="00B75C9E">
            <w:pPr>
              <w:pStyle w:val="BodyTextIndent"/>
              <w:spacing w:after="120"/>
              <w:ind w:firstLine="0"/>
              <w:jc w:val="center"/>
            </w:pPr>
            <w:r w:rsidRPr="00726705">
              <w:t>5-10 miles</w:t>
            </w:r>
          </w:p>
        </w:tc>
        <w:tc>
          <w:tcPr>
            <w:tcW w:w="1300" w:type="dxa"/>
            <w:noWrap/>
            <w:hideMark/>
          </w:tcPr>
          <w:p w14:paraId="12D2A6FA" w14:textId="77777777" w:rsidR="00B75C9E" w:rsidRPr="00726705" w:rsidRDefault="00B75C9E" w:rsidP="00B75C9E">
            <w:pPr>
              <w:pStyle w:val="BodyTextIndent"/>
              <w:spacing w:after="120"/>
              <w:ind w:firstLine="0"/>
              <w:jc w:val="center"/>
            </w:pPr>
            <w:r w:rsidRPr="00726705">
              <w:t>3</w:t>
            </w:r>
          </w:p>
        </w:tc>
        <w:tc>
          <w:tcPr>
            <w:tcW w:w="1300" w:type="dxa"/>
          </w:tcPr>
          <w:p w14:paraId="365C8748" w14:textId="77777777" w:rsidR="00B75C9E" w:rsidRPr="00726705" w:rsidRDefault="00B75C9E" w:rsidP="00B75C9E">
            <w:pPr>
              <w:pStyle w:val="BodyTextIndent"/>
              <w:spacing w:after="120"/>
              <w:ind w:firstLine="0"/>
              <w:jc w:val="center"/>
            </w:pPr>
            <w:r>
              <w:t>2</w:t>
            </w:r>
          </w:p>
        </w:tc>
      </w:tr>
      <w:tr w:rsidR="00B75C9E" w:rsidRPr="00726705" w14:paraId="38DB68BA" w14:textId="77777777" w:rsidTr="00B75C9E">
        <w:trPr>
          <w:trHeight w:val="280"/>
        </w:trPr>
        <w:tc>
          <w:tcPr>
            <w:tcW w:w="1540" w:type="dxa"/>
            <w:noWrap/>
            <w:hideMark/>
          </w:tcPr>
          <w:p w14:paraId="2CF5D6AE" w14:textId="77777777" w:rsidR="00B75C9E" w:rsidRPr="00726705" w:rsidRDefault="00B75C9E" w:rsidP="00B75C9E">
            <w:pPr>
              <w:pStyle w:val="BodyTextIndent"/>
              <w:spacing w:after="120"/>
              <w:ind w:firstLine="0"/>
              <w:jc w:val="center"/>
            </w:pPr>
            <w:r w:rsidRPr="00726705">
              <w:t>10-20 miles</w:t>
            </w:r>
          </w:p>
        </w:tc>
        <w:tc>
          <w:tcPr>
            <w:tcW w:w="1300" w:type="dxa"/>
            <w:noWrap/>
            <w:hideMark/>
          </w:tcPr>
          <w:p w14:paraId="6E399DA3" w14:textId="77777777" w:rsidR="00B75C9E" w:rsidRPr="00726705" w:rsidRDefault="00B75C9E" w:rsidP="00B75C9E">
            <w:pPr>
              <w:pStyle w:val="BodyTextIndent"/>
              <w:spacing w:after="120"/>
              <w:ind w:firstLine="0"/>
              <w:jc w:val="center"/>
            </w:pPr>
            <w:r w:rsidRPr="00726705">
              <w:t>1</w:t>
            </w:r>
          </w:p>
        </w:tc>
        <w:tc>
          <w:tcPr>
            <w:tcW w:w="1300" w:type="dxa"/>
          </w:tcPr>
          <w:p w14:paraId="33615A8C" w14:textId="77777777" w:rsidR="00B75C9E" w:rsidRPr="00726705" w:rsidRDefault="00B75C9E" w:rsidP="00B75C9E">
            <w:pPr>
              <w:pStyle w:val="BodyTextIndent"/>
              <w:spacing w:after="120"/>
              <w:ind w:firstLine="0"/>
              <w:jc w:val="center"/>
            </w:pPr>
            <w:r>
              <w:t>4</w:t>
            </w:r>
          </w:p>
        </w:tc>
      </w:tr>
      <w:tr w:rsidR="00B75C9E" w:rsidRPr="00726705" w14:paraId="7B4EC83C" w14:textId="77777777" w:rsidTr="00B75C9E">
        <w:trPr>
          <w:trHeight w:val="280"/>
        </w:trPr>
        <w:tc>
          <w:tcPr>
            <w:tcW w:w="1540" w:type="dxa"/>
            <w:noWrap/>
            <w:hideMark/>
          </w:tcPr>
          <w:p w14:paraId="544D866E" w14:textId="77777777" w:rsidR="00B75C9E" w:rsidRPr="00726705" w:rsidRDefault="00B75C9E" w:rsidP="00B75C9E">
            <w:pPr>
              <w:pStyle w:val="BodyTextIndent"/>
              <w:spacing w:after="120"/>
              <w:ind w:firstLine="0"/>
              <w:jc w:val="center"/>
            </w:pPr>
            <w:r w:rsidRPr="00726705">
              <w:t>20-40 miles</w:t>
            </w:r>
          </w:p>
        </w:tc>
        <w:tc>
          <w:tcPr>
            <w:tcW w:w="1300" w:type="dxa"/>
            <w:noWrap/>
            <w:hideMark/>
          </w:tcPr>
          <w:p w14:paraId="3D2B0227" w14:textId="77777777" w:rsidR="00B75C9E" w:rsidRPr="00726705" w:rsidRDefault="00B75C9E" w:rsidP="00B75C9E">
            <w:pPr>
              <w:pStyle w:val="BodyTextIndent"/>
              <w:spacing w:after="120"/>
              <w:ind w:firstLine="0"/>
              <w:jc w:val="center"/>
            </w:pPr>
            <w:r w:rsidRPr="00726705">
              <w:t>2</w:t>
            </w:r>
          </w:p>
        </w:tc>
        <w:tc>
          <w:tcPr>
            <w:tcW w:w="1300" w:type="dxa"/>
          </w:tcPr>
          <w:p w14:paraId="35FE63FE" w14:textId="77777777" w:rsidR="00B75C9E" w:rsidRPr="00726705" w:rsidRDefault="00B75C9E" w:rsidP="00B75C9E">
            <w:pPr>
              <w:pStyle w:val="BodyTextIndent"/>
              <w:spacing w:after="120"/>
              <w:ind w:firstLine="0"/>
              <w:jc w:val="center"/>
            </w:pPr>
            <w:r>
              <w:t>1</w:t>
            </w:r>
          </w:p>
        </w:tc>
      </w:tr>
      <w:tr w:rsidR="00B75C9E" w:rsidRPr="00726705" w14:paraId="366247A6" w14:textId="77777777" w:rsidTr="00B75C9E">
        <w:trPr>
          <w:trHeight w:val="280"/>
        </w:trPr>
        <w:tc>
          <w:tcPr>
            <w:tcW w:w="1540" w:type="dxa"/>
            <w:noWrap/>
            <w:hideMark/>
          </w:tcPr>
          <w:p w14:paraId="18649225" w14:textId="77777777" w:rsidR="00B75C9E" w:rsidRPr="00726705" w:rsidRDefault="00B75C9E" w:rsidP="00B75C9E">
            <w:pPr>
              <w:pStyle w:val="BodyTextIndent"/>
              <w:spacing w:after="120"/>
              <w:ind w:firstLine="0"/>
              <w:jc w:val="center"/>
            </w:pPr>
            <w:r w:rsidRPr="00726705">
              <w:t>&gt; 40</w:t>
            </w:r>
          </w:p>
        </w:tc>
        <w:tc>
          <w:tcPr>
            <w:tcW w:w="1300" w:type="dxa"/>
            <w:noWrap/>
            <w:hideMark/>
          </w:tcPr>
          <w:p w14:paraId="65476217" w14:textId="77777777" w:rsidR="00B75C9E" w:rsidRPr="00726705" w:rsidRDefault="00B75C9E" w:rsidP="00B75C9E">
            <w:pPr>
              <w:pStyle w:val="BodyTextIndent"/>
              <w:spacing w:after="120"/>
              <w:ind w:firstLine="0"/>
              <w:jc w:val="center"/>
            </w:pPr>
            <w:r w:rsidRPr="00726705">
              <w:t>4</w:t>
            </w:r>
          </w:p>
        </w:tc>
        <w:tc>
          <w:tcPr>
            <w:tcW w:w="1300" w:type="dxa"/>
          </w:tcPr>
          <w:p w14:paraId="7E8B0596" w14:textId="77777777" w:rsidR="00B75C9E" w:rsidRPr="00726705" w:rsidRDefault="00B75C9E" w:rsidP="00B75C9E">
            <w:pPr>
              <w:pStyle w:val="BodyTextIndent"/>
              <w:spacing w:after="120"/>
              <w:ind w:firstLine="0"/>
              <w:jc w:val="center"/>
            </w:pPr>
            <w:r>
              <w:t>1</w:t>
            </w:r>
          </w:p>
        </w:tc>
      </w:tr>
    </w:tbl>
    <w:p w14:paraId="2BBE43AE" w14:textId="26229751" w:rsidR="00B75C9E" w:rsidRDefault="00512E42" w:rsidP="00512E42">
      <w:pPr>
        <w:pStyle w:val="BodyTextIndent"/>
        <w:spacing w:after="120"/>
        <w:ind w:firstLine="0"/>
      </w:pPr>
      <w:r>
        <w:t>The children and parents make an effort to attend the event because of a long-standing interest in the area for most children, which suggests that they hoped to find it a special event. This is also why they almost all told someone about it too.</w:t>
      </w:r>
    </w:p>
    <w:p w14:paraId="24D935F6" w14:textId="42BC173C" w:rsidR="00350EBA" w:rsidRDefault="006F43B9" w:rsidP="00512E42">
      <w:pPr>
        <w:pStyle w:val="BodyTextIndent"/>
        <w:spacing w:after="120"/>
        <w:ind w:firstLine="0"/>
      </w:pPr>
      <w:r>
        <w:t>P</w:t>
      </w:r>
      <w:r w:rsidR="00350EBA">
        <w:t>articipants like to repeatedly</w:t>
      </w:r>
      <w:r>
        <w:t xml:space="preserve"> attend YRS events as shown in T</w:t>
      </w:r>
      <w:r w:rsidR="00350EBA">
        <w:t>able 3.</w:t>
      </w:r>
      <w:r w:rsidR="006417CD">
        <w:t xml:space="preserve"> None of ou</w:t>
      </w:r>
      <w:r>
        <w:t>r participants were born in 2001</w:t>
      </w:r>
      <w:r w:rsidR="006417CD">
        <w:t>, which leaves that year empty. Table 3 combines all of the participants across both the children and parents surveys.</w:t>
      </w:r>
    </w:p>
    <w:p w14:paraId="5552C805" w14:textId="7223AC3C" w:rsidR="006417CD" w:rsidRPr="006417CD" w:rsidRDefault="006417CD" w:rsidP="00512E42">
      <w:pPr>
        <w:pStyle w:val="BodyTextIndent"/>
        <w:spacing w:after="120"/>
        <w:ind w:firstLine="0"/>
        <w:rPr>
          <w:b/>
        </w:rPr>
      </w:pPr>
      <w:r w:rsidRPr="006417CD">
        <w:rPr>
          <w:b/>
        </w:rPr>
        <w:t>Table 3. Survey participant attendance at YRS events</w:t>
      </w:r>
    </w:p>
    <w:tbl>
      <w:tblPr>
        <w:tblStyle w:val="TableGrid"/>
        <w:tblW w:w="0" w:type="auto"/>
        <w:jc w:val="center"/>
        <w:tblCellMar>
          <w:left w:w="0" w:type="dxa"/>
          <w:right w:w="0" w:type="dxa"/>
        </w:tblCellMar>
        <w:tblLook w:val="04A0" w:firstRow="1" w:lastRow="0" w:firstColumn="1" w:lastColumn="0" w:noHBand="0" w:noVBand="1"/>
      </w:tblPr>
      <w:tblGrid>
        <w:gridCol w:w="950"/>
        <w:gridCol w:w="729"/>
        <w:gridCol w:w="708"/>
        <w:gridCol w:w="709"/>
        <w:gridCol w:w="567"/>
        <w:gridCol w:w="583"/>
      </w:tblGrid>
      <w:tr w:rsidR="00350EBA" w:rsidRPr="00350EBA" w14:paraId="7D43AB42" w14:textId="77777777" w:rsidTr="006417CD">
        <w:trPr>
          <w:trHeight w:val="280"/>
          <w:jc w:val="center"/>
        </w:trPr>
        <w:tc>
          <w:tcPr>
            <w:tcW w:w="797" w:type="dxa"/>
            <w:noWrap/>
            <w:hideMark/>
          </w:tcPr>
          <w:p w14:paraId="0873A2A2" w14:textId="77777777" w:rsidR="00350EBA" w:rsidRPr="00350EBA" w:rsidRDefault="00350EBA" w:rsidP="00350EBA">
            <w:pPr>
              <w:pStyle w:val="BodyTextIndent"/>
              <w:spacing w:after="120"/>
              <w:ind w:firstLine="0"/>
              <w:jc w:val="center"/>
              <w:rPr>
                <w:b/>
                <w:szCs w:val="18"/>
              </w:rPr>
            </w:pPr>
          </w:p>
        </w:tc>
        <w:tc>
          <w:tcPr>
            <w:tcW w:w="729" w:type="dxa"/>
            <w:noWrap/>
            <w:hideMark/>
          </w:tcPr>
          <w:p w14:paraId="5732D0BB" w14:textId="77777777" w:rsidR="00350EBA" w:rsidRPr="00350EBA" w:rsidRDefault="00350EBA" w:rsidP="00350EBA">
            <w:pPr>
              <w:pStyle w:val="BodyTextIndent"/>
              <w:spacing w:after="120"/>
              <w:ind w:firstLine="0"/>
              <w:jc w:val="center"/>
              <w:rPr>
                <w:b/>
                <w:szCs w:val="18"/>
              </w:rPr>
            </w:pPr>
          </w:p>
        </w:tc>
        <w:tc>
          <w:tcPr>
            <w:tcW w:w="2567" w:type="dxa"/>
            <w:gridSpan w:val="4"/>
            <w:noWrap/>
            <w:hideMark/>
          </w:tcPr>
          <w:p w14:paraId="1A991191" w14:textId="6BE92CB4" w:rsidR="00350EBA" w:rsidRPr="00350EBA" w:rsidRDefault="00350EBA" w:rsidP="00350EBA">
            <w:pPr>
              <w:pStyle w:val="BodyTextIndent"/>
              <w:spacing w:after="120"/>
              <w:ind w:firstLine="0"/>
              <w:jc w:val="center"/>
              <w:rPr>
                <w:b/>
                <w:szCs w:val="18"/>
              </w:rPr>
            </w:pPr>
            <w:r w:rsidRPr="00350EBA">
              <w:rPr>
                <w:b/>
                <w:szCs w:val="18"/>
              </w:rPr>
              <w:t>YRS events</w:t>
            </w:r>
          </w:p>
        </w:tc>
      </w:tr>
      <w:tr w:rsidR="00350EBA" w:rsidRPr="00350EBA" w14:paraId="226D6DFB" w14:textId="77777777" w:rsidTr="006417CD">
        <w:trPr>
          <w:trHeight w:val="280"/>
          <w:jc w:val="center"/>
        </w:trPr>
        <w:tc>
          <w:tcPr>
            <w:tcW w:w="797" w:type="dxa"/>
            <w:noWrap/>
            <w:hideMark/>
          </w:tcPr>
          <w:p w14:paraId="280DFD09" w14:textId="57FA677A" w:rsidR="00350EBA" w:rsidRPr="00350EBA" w:rsidRDefault="006417CD" w:rsidP="00350EBA">
            <w:pPr>
              <w:pStyle w:val="BodyTextIndent"/>
              <w:spacing w:after="120"/>
              <w:ind w:firstLine="0"/>
              <w:jc w:val="center"/>
              <w:rPr>
                <w:b/>
                <w:szCs w:val="18"/>
              </w:rPr>
            </w:pPr>
            <w:r>
              <w:rPr>
                <w:b/>
                <w:szCs w:val="18"/>
              </w:rPr>
              <w:t>Participants</w:t>
            </w:r>
          </w:p>
        </w:tc>
        <w:tc>
          <w:tcPr>
            <w:tcW w:w="729" w:type="dxa"/>
            <w:noWrap/>
            <w:hideMark/>
          </w:tcPr>
          <w:p w14:paraId="3BB11810" w14:textId="77777777" w:rsidR="00350EBA" w:rsidRPr="00350EBA" w:rsidRDefault="00350EBA" w:rsidP="00350EBA">
            <w:pPr>
              <w:pStyle w:val="BodyTextIndent"/>
              <w:spacing w:after="120"/>
              <w:ind w:firstLine="0"/>
              <w:jc w:val="center"/>
              <w:rPr>
                <w:b/>
                <w:szCs w:val="18"/>
              </w:rPr>
            </w:pPr>
            <w:r w:rsidRPr="00350EBA">
              <w:rPr>
                <w:b/>
                <w:szCs w:val="18"/>
              </w:rPr>
              <w:t>Born</w:t>
            </w:r>
          </w:p>
        </w:tc>
        <w:tc>
          <w:tcPr>
            <w:tcW w:w="708" w:type="dxa"/>
            <w:noWrap/>
            <w:hideMark/>
          </w:tcPr>
          <w:p w14:paraId="13F4F6D5" w14:textId="77777777" w:rsidR="00350EBA" w:rsidRPr="00350EBA" w:rsidRDefault="00350EBA" w:rsidP="00350EBA">
            <w:pPr>
              <w:pStyle w:val="BodyTextIndent"/>
              <w:spacing w:after="120"/>
              <w:ind w:firstLine="0"/>
              <w:jc w:val="center"/>
              <w:rPr>
                <w:b/>
                <w:szCs w:val="18"/>
              </w:rPr>
            </w:pPr>
            <w:r w:rsidRPr="00350EBA">
              <w:rPr>
                <w:b/>
                <w:szCs w:val="18"/>
              </w:rPr>
              <w:t>2011</w:t>
            </w:r>
          </w:p>
        </w:tc>
        <w:tc>
          <w:tcPr>
            <w:tcW w:w="709" w:type="dxa"/>
            <w:noWrap/>
            <w:hideMark/>
          </w:tcPr>
          <w:p w14:paraId="37ADF4C3" w14:textId="77777777" w:rsidR="00350EBA" w:rsidRPr="00350EBA" w:rsidRDefault="00350EBA" w:rsidP="00350EBA">
            <w:pPr>
              <w:pStyle w:val="BodyTextIndent"/>
              <w:spacing w:after="120"/>
              <w:ind w:firstLine="0"/>
              <w:jc w:val="center"/>
              <w:rPr>
                <w:b/>
                <w:szCs w:val="18"/>
              </w:rPr>
            </w:pPr>
            <w:r w:rsidRPr="00350EBA">
              <w:rPr>
                <w:b/>
                <w:szCs w:val="18"/>
              </w:rPr>
              <w:t>2012</w:t>
            </w:r>
          </w:p>
        </w:tc>
        <w:tc>
          <w:tcPr>
            <w:tcW w:w="567" w:type="dxa"/>
            <w:noWrap/>
            <w:hideMark/>
          </w:tcPr>
          <w:p w14:paraId="2793BD33" w14:textId="77777777" w:rsidR="00350EBA" w:rsidRPr="00350EBA" w:rsidRDefault="00350EBA" w:rsidP="00350EBA">
            <w:pPr>
              <w:pStyle w:val="BodyTextIndent"/>
              <w:spacing w:after="120"/>
              <w:ind w:firstLine="0"/>
              <w:jc w:val="center"/>
              <w:rPr>
                <w:b/>
                <w:szCs w:val="18"/>
              </w:rPr>
            </w:pPr>
            <w:r w:rsidRPr="00350EBA">
              <w:rPr>
                <w:b/>
                <w:szCs w:val="18"/>
              </w:rPr>
              <w:t>2013</w:t>
            </w:r>
          </w:p>
        </w:tc>
        <w:tc>
          <w:tcPr>
            <w:tcW w:w="583" w:type="dxa"/>
            <w:noWrap/>
            <w:hideMark/>
          </w:tcPr>
          <w:p w14:paraId="69CE17A1" w14:textId="77777777" w:rsidR="00350EBA" w:rsidRPr="00350EBA" w:rsidRDefault="00350EBA" w:rsidP="00350EBA">
            <w:pPr>
              <w:pStyle w:val="BodyTextIndent"/>
              <w:spacing w:after="120"/>
              <w:ind w:firstLine="0"/>
              <w:jc w:val="center"/>
              <w:rPr>
                <w:b/>
                <w:szCs w:val="18"/>
              </w:rPr>
            </w:pPr>
            <w:r w:rsidRPr="00350EBA">
              <w:rPr>
                <w:b/>
                <w:szCs w:val="18"/>
              </w:rPr>
              <w:t>2014</w:t>
            </w:r>
          </w:p>
        </w:tc>
      </w:tr>
      <w:tr w:rsidR="00350EBA" w:rsidRPr="00350EBA" w14:paraId="7F6534DD" w14:textId="77777777" w:rsidTr="006417CD">
        <w:trPr>
          <w:trHeight w:val="280"/>
          <w:jc w:val="center"/>
        </w:trPr>
        <w:tc>
          <w:tcPr>
            <w:tcW w:w="797" w:type="dxa"/>
            <w:noWrap/>
            <w:hideMark/>
          </w:tcPr>
          <w:p w14:paraId="5B20FEA3" w14:textId="77777777" w:rsidR="00350EBA" w:rsidRPr="00350EBA" w:rsidRDefault="00350EBA" w:rsidP="00350EBA">
            <w:pPr>
              <w:pStyle w:val="BodyTextIndent"/>
              <w:spacing w:after="120"/>
              <w:ind w:firstLine="0"/>
              <w:jc w:val="center"/>
              <w:rPr>
                <w:szCs w:val="18"/>
              </w:rPr>
            </w:pPr>
            <w:r w:rsidRPr="00350EBA">
              <w:rPr>
                <w:szCs w:val="18"/>
              </w:rPr>
              <w:t>2</w:t>
            </w:r>
          </w:p>
        </w:tc>
        <w:tc>
          <w:tcPr>
            <w:tcW w:w="729" w:type="dxa"/>
            <w:noWrap/>
            <w:hideMark/>
          </w:tcPr>
          <w:p w14:paraId="1BD5A5DC" w14:textId="77777777" w:rsidR="00350EBA" w:rsidRPr="00350EBA" w:rsidRDefault="00350EBA" w:rsidP="00350EBA">
            <w:pPr>
              <w:pStyle w:val="BodyTextIndent"/>
              <w:spacing w:after="120"/>
              <w:ind w:firstLine="0"/>
              <w:jc w:val="center"/>
              <w:rPr>
                <w:szCs w:val="18"/>
              </w:rPr>
            </w:pPr>
            <w:r w:rsidRPr="00350EBA">
              <w:rPr>
                <w:szCs w:val="18"/>
              </w:rPr>
              <w:t>1994</w:t>
            </w:r>
          </w:p>
        </w:tc>
        <w:tc>
          <w:tcPr>
            <w:tcW w:w="708" w:type="dxa"/>
            <w:noWrap/>
            <w:hideMark/>
          </w:tcPr>
          <w:p w14:paraId="6E4898F3" w14:textId="77777777" w:rsidR="00350EBA" w:rsidRPr="00350EBA" w:rsidRDefault="00350EBA" w:rsidP="00350EBA">
            <w:pPr>
              <w:pStyle w:val="BodyTextIndent"/>
              <w:spacing w:after="120"/>
              <w:ind w:firstLine="0"/>
              <w:jc w:val="center"/>
              <w:rPr>
                <w:szCs w:val="18"/>
              </w:rPr>
            </w:pPr>
          </w:p>
        </w:tc>
        <w:tc>
          <w:tcPr>
            <w:tcW w:w="709" w:type="dxa"/>
            <w:noWrap/>
            <w:hideMark/>
          </w:tcPr>
          <w:p w14:paraId="72208CAC" w14:textId="77777777" w:rsidR="00350EBA" w:rsidRPr="00350EBA" w:rsidRDefault="00350EBA" w:rsidP="00350EBA">
            <w:pPr>
              <w:pStyle w:val="BodyTextIndent"/>
              <w:spacing w:after="120"/>
              <w:ind w:firstLine="0"/>
              <w:jc w:val="center"/>
              <w:rPr>
                <w:szCs w:val="18"/>
              </w:rPr>
            </w:pPr>
            <w:r w:rsidRPr="00350EBA">
              <w:rPr>
                <w:szCs w:val="18"/>
              </w:rPr>
              <w:t>2</w:t>
            </w:r>
          </w:p>
        </w:tc>
        <w:tc>
          <w:tcPr>
            <w:tcW w:w="567" w:type="dxa"/>
            <w:noWrap/>
            <w:hideMark/>
          </w:tcPr>
          <w:p w14:paraId="65C19FFD" w14:textId="77777777" w:rsidR="00350EBA" w:rsidRPr="00350EBA" w:rsidRDefault="00350EBA" w:rsidP="00350EBA">
            <w:pPr>
              <w:pStyle w:val="BodyTextIndent"/>
              <w:spacing w:after="120"/>
              <w:ind w:firstLine="0"/>
              <w:jc w:val="center"/>
              <w:rPr>
                <w:szCs w:val="18"/>
              </w:rPr>
            </w:pPr>
          </w:p>
        </w:tc>
        <w:tc>
          <w:tcPr>
            <w:tcW w:w="583" w:type="dxa"/>
            <w:noWrap/>
            <w:hideMark/>
          </w:tcPr>
          <w:p w14:paraId="50239057" w14:textId="77777777" w:rsidR="00350EBA" w:rsidRPr="00350EBA" w:rsidRDefault="00350EBA" w:rsidP="00350EBA">
            <w:pPr>
              <w:pStyle w:val="BodyTextIndent"/>
              <w:spacing w:after="120"/>
              <w:ind w:firstLine="0"/>
              <w:jc w:val="center"/>
              <w:rPr>
                <w:szCs w:val="18"/>
              </w:rPr>
            </w:pPr>
          </w:p>
        </w:tc>
      </w:tr>
      <w:tr w:rsidR="00350EBA" w:rsidRPr="00350EBA" w14:paraId="5DADAC47" w14:textId="77777777" w:rsidTr="006417CD">
        <w:trPr>
          <w:trHeight w:val="280"/>
          <w:jc w:val="center"/>
        </w:trPr>
        <w:tc>
          <w:tcPr>
            <w:tcW w:w="797" w:type="dxa"/>
            <w:noWrap/>
            <w:hideMark/>
          </w:tcPr>
          <w:p w14:paraId="68AA0BA0" w14:textId="77777777" w:rsidR="00350EBA" w:rsidRPr="00350EBA" w:rsidRDefault="00350EBA" w:rsidP="00350EBA">
            <w:pPr>
              <w:pStyle w:val="BodyTextIndent"/>
              <w:spacing w:after="120"/>
              <w:ind w:firstLine="0"/>
              <w:jc w:val="center"/>
              <w:rPr>
                <w:szCs w:val="18"/>
              </w:rPr>
            </w:pPr>
            <w:r w:rsidRPr="00350EBA">
              <w:rPr>
                <w:szCs w:val="18"/>
              </w:rPr>
              <w:t>3</w:t>
            </w:r>
          </w:p>
        </w:tc>
        <w:tc>
          <w:tcPr>
            <w:tcW w:w="729" w:type="dxa"/>
            <w:noWrap/>
            <w:hideMark/>
          </w:tcPr>
          <w:p w14:paraId="5E8CF761" w14:textId="77777777" w:rsidR="00350EBA" w:rsidRPr="00350EBA" w:rsidRDefault="00350EBA" w:rsidP="00350EBA">
            <w:pPr>
              <w:pStyle w:val="BodyTextIndent"/>
              <w:spacing w:after="120"/>
              <w:ind w:firstLine="0"/>
              <w:jc w:val="center"/>
              <w:rPr>
                <w:szCs w:val="18"/>
              </w:rPr>
            </w:pPr>
            <w:r w:rsidRPr="00350EBA">
              <w:rPr>
                <w:szCs w:val="18"/>
              </w:rPr>
              <w:t>1995</w:t>
            </w:r>
          </w:p>
        </w:tc>
        <w:tc>
          <w:tcPr>
            <w:tcW w:w="708" w:type="dxa"/>
            <w:noWrap/>
            <w:hideMark/>
          </w:tcPr>
          <w:p w14:paraId="60FB208C" w14:textId="77777777" w:rsidR="00350EBA" w:rsidRPr="00350EBA" w:rsidRDefault="00350EBA" w:rsidP="00350EBA">
            <w:pPr>
              <w:pStyle w:val="BodyTextIndent"/>
              <w:spacing w:after="120"/>
              <w:ind w:firstLine="0"/>
              <w:jc w:val="center"/>
              <w:rPr>
                <w:szCs w:val="18"/>
              </w:rPr>
            </w:pPr>
          </w:p>
        </w:tc>
        <w:tc>
          <w:tcPr>
            <w:tcW w:w="709" w:type="dxa"/>
            <w:noWrap/>
            <w:hideMark/>
          </w:tcPr>
          <w:p w14:paraId="1D1C92AC" w14:textId="77777777" w:rsidR="00350EBA" w:rsidRPr="00350EBA" w:rsidRDefault="00350EBA" w:rsidP="00350EBA">
            <w:pPr>
              <w:pStyle w:val="BodyTextIndent"/>
              <w:spacing w:after="120"/>
              <w:ind w:firstLine="0"/>
              <w:jc w:val="center"/>
              <w:rPr>
                <w:szCs w:val="18"/>
              </w:rPr>
            </w:pPr>
            <w:r w:rsidRPr="00350EBA">
              <w:rPr>
                <w:szCs w:val="18"/>
              </w:rPr>
              <w:t>1</w:t>
            </w:r>
          </w:p>
        </w:tc>
        <w:tc>
          <w:tcPr>
            <w:tcW w:w="567" w:type="dxa"/>
            <w:noWrap/>
            <w:hideMark/>
          </w:tcPr>
          <w:p w14:paraId="6C3394F7" w14:textId="77777777" w:rsidR="00350EBA" w:rsidRPr="00350EBA" w:rsidRDefault="00350EBA" w:rsidP="00350EBA">
            <w:pPr>
              <w:pStyle w:val="BodyTextIndent"/>
              <w:spacing w:after="120"/>
              <w:ind w:firstLine="0"/>
              <w:jc w:val="center"/>
              <w:rPr>
                <w:szCs w:val="18"/>
              </w:rPr>
            </w:pPr>
            <w:r w:rsidRPr="00350EBA">
              <w:rPr>
                <w:szCs w:val="18"/>
              </w:rPr>
              <w:t>2</w:t>
            </w:r>
          </w:p>
        </w:tc>
        <w:tc>
          <w:tcPr>
            <w:tcW w:w="583" w:type="dxa"/>
            <w:noWrap/>
            <w:hideMark/>
          </w:tcPr>
          <w:p w14:paraId="11E6C8AF" w14:textId="77777777" w:rsidR="00350EBA" w:rsidRPr="00350EBA" w:rsidRDefault="00350EBA" w:rsidP="00350EBA">
            <w:pPr>
              <w:pStyle w:val="BodyTextIndent"/>
              <w:spacing w:after="120"/>
              <w:ind w:firstLine="0"/>
              <w:jc w:val="center"/>
              <w:rPr>
                <w:szCs w:val="18"/>
              </w:rPr>
            </w:pPr>
            <w:r w:rsidRPr="00350EBA">
              <w:rPr>
                <w:szCs w:val="18"/>
              </w:rPr>
              <w:t>1</w:t>
            </w:r>
          </w:p>
        </w:tc>
      </w:tr>
      <w:tr w:rsidR="00350EBA" w:rsidRPr="00350EBA" w14:paraId="1AA7D0A3" w14:textId="77777777" w:rsidTr="006417CD">
        <w:trPr>
          <w:trHeight w:val="280"/>
          <w:jc w:val="center"/>
        </w:trPr>
        <w:tc>
          <w:tcPr>
            <w:tcW w:w="797" w:type="dxa"/>
            <w:noWrap/>
            <w:hideMark/>
          </w:tcPr>
          <w:p w14:paraId="6AB6FD4D" w14:textId="77777777" w:rsidR="00350EBA" w:rsidRPr="00350EBA" w:rsidRDefault="00350EBA" w:rsidP="00350EBA">
            <w:pPr>
              <w:pStyle w:val="BodyTextIndent"/>
              <w:spacing w:after="120"/>
              <w:ind w:firstLine="0"/>
              <w:jc w:val="center"/>
              <w:rPr>
                <w:szCs w:val="18"/>
              </w:rPr>
            </w:pPr>
            <w:r w:rsidRPr="00350EBA">
              <w:rPr>
                <w:szCs w:val="18"/>
              </w:rPr>
              <w:t>4</w:t>
            </w:r>
          </w:p>
        </w:tc>
        <w:tc>
          <w:tcPr>
            <w:tcW w:w="729" w:type="dxa"/>
            <w:noWrap/>
            <w:hideMark/>
          </w:tcPr>
          <w:p w14:paraId="09206731" w14:textId="77777777" w:rsidR="00350EBA" w:rsidRPr="00350EBA" w:rsidRDefault="00350EBA" w:rsidP="00350EBA">
            <w:pPr>
              <w:pStyle w:val="BodyTextIndent"/>
              <w:spacing w:after="120"/>
              <w:ind w:firstLine="0"/>
              <w:jc w:val="center"/>
              <w:rPr>
                <w:szCs w:val="18"/>
              </w:rPr>
            </w:pPr>
            <w:r w:rsidRPr="00350EBA">
              <w:rPr>
                <w:szCs w:val="18"/>
              </w:rPr>
              <w:t>1996</w:t>
            </w:r>
          </w:p>
        </w:tc>
        <w:tc>
          <w:tcPr>
            <w:tcW w:w="708" w:type="dxa"/>
            <w:noWrap/>
            <w:hideMark/>
          </w:tcPr>
          <w:p w14:paraId="3B236BB6" w14:textId="77777777" w:rsidR="00350EBA" w:rsidRPr="00350EBA" w:rsidRDefault="00350EBA" w:rsidP="00350EBA">
            <w:pPr>
              <w:pStyle w:val="BodyTextIndent"/>
              <w:spacing w:after="120"/>
              <w:ind w:firstLine="0"/>
              <w:jc w:val="center"/>
              <w:rPr>
                <w:szCs w:val="18"/>
              </w:rPr>
            </w:pPr>
            <w:r w:rsidRPr="00350EBA">
              <w:rPr>
                <w:szCs w:val="18"/>
              </w:rPr>
              <w:t>1</w:t>
            </w:r>
          </w:p>
        </w:tc>
        <w:tc>
          <w:tcPr>
            <w:tcW w:w="709" w:type="dxa"/>
            <w:noWrap/>
            <w:hideMark/>
          </w:tcPr>
          <w:p w14:paraId="58E805B3" w14:textId="77777777" w:rsidR="00350EBA" w:rsidRPr="00350EBA" w:rsidRDefault="00350EBA" w:rsidP="00350EBA">
            <w:pPr>
              <w:pStyle w:val="BodyTextIndent"/>
              <w:spacing w:after="120"/>
              <w:ind w:firstLine="0"/>
              <w:jc w:val="center"/>
              <w:rPr>
                <w:szCs w:val="18"/>
              </w:rPr>
            </w:pPr>
          </w:p>
        </w:tc>
        <w:tc>
          <w:tcPr>
            <w:tcW w:w="567" w:type="dxa"/>
            <w:noWrap/>
            <w:hideMark/>
          </w:tcPr>
          <w:p w14:paraId="582F8309" w14:textId="77777777" w:rsidR="00350EBA" w:rsidRPr="00350EBA" w:rsidRDefault="00350EBA" w:rsidP="00350EBA">
            <w:pPr>
              <w:pStyle w:val="BodyTextIndent"/>
              <w:spacing w:after="120"/>
              <w:ind w:firstLine="0"/>
              <w:jc w:val="center"/>
              <w:rPr>
                <w:szCs w:val="18"/>
              </w:rPr>
            </w:pPr>
          </w:p>
        </w:tc>
        <w:tc>
          <w:tcPr>
            <w:tcW w:w="583" w:type="dxa"/>
            <w:noWrap/>
            <w:hideMark/>
          </w:tcPr>
          <w:p w14:paraId="31C2D666" w14:textId="77777777" w:rsidR="00350EBA" w:rsidRPr="00350EBA" w:rsidRDefault="00350EBA" w:rsidP="00350EBA">
            <w:pPr>
              <w:pStyle w:val="BodyTextIndent"/>
              <w:spacing w:after="120"/>
              <w:ind w:firstLine="0"/>
              <w:jc w:val="center"/>
              <w:rPr>
                <w:szCs w:val="18"/>
              </w:rPr>
            </w:pPr>
            <w:r w:rsidRPr="00350EBA">
              <w:rPr>
                <w:szCs w:val="18"/>
              </w:rPr>
              <w:t>3</w:t>
            </w:r>
          </w:p>
        </w:tc>
      </w:tr>
      <w:tr w:rsidR="00350EBA" w:rsidRPr="00350EBA" w14:paraId="5A9F0727" w14:textId="77777777" w:rsidTr="006417CD">
        <w:trPr>
          <w:trHeight w:val="280"/>
          <w:jc w:val="center"/>
        </w:trPr>
        <w:tc>
          <w:tcPr>
            <w:tcW w:w="797" w:type="dxa"/>
            <w:noWrap/>
            <w:hideMark/>
          </w:tcPr>
          <w:p w14:paraId="32FBBEEE" w14:textId="77777777" w:rsidR="00350EBA" w:rsidRPr="00350EBA" w:rsidRDefault="00350EBA" w:rsidP="00350EBA">
            <w:pPr>
              <w:pStyle w:val="BodyTextIndent"/>
              <w:spacing w:after="120"/>
              <w:ind w:firstLine="0"/>
              <w:jc w:val="center"/>
              <w:rPr>
                <w:szCs w:val="18"/>
              </w:rPr>
            </w:pPr>
            <w:r w:rsidRPr="00350EBA">
              <w:rPr>
                <w:szCs w:val="18"/>
              </w:rPr>
              <w:t>3</w:t>
            </w:r>
          </w:p>
        </w:tc>
        <w:tc>
          <w:tcPr>
            <w:tcW w:w="729" w:type="dxa"/>
            <w:noWrap/>
            <w:hideMark/>
          </w:tcPr>
          <w:p w14:paraId="7ED86F66" w14:textId="77777777" w:rsidR="00350EBA" w:rsidRPr="00350EBA" w:rsidRDefault="00350EBA" w:rsidP="00350EBA">
            <w:pPr>
              <w:pStyle w:val="BodyTextIndent"/>
              <w:spacing w:after="120"/>
              <w:ind w:firstLine="0"/>
              <w:jc w:val="center"/>
              <w:rPr>
                <w:szCs w:val="18"/>
              </w:rPr>
            </w:pPr>
            <w:r w:rsidRPr="00350EBA">
              <w:rPr>
                <w:szCs w:val="18"/>
              </w:rPr>
              <w:t>1997</w:t>
            </w:r>
          </w:p>
        </w:tc>
        <w:tc>
          <w:tcPr>
            <w:tcW w:w="708" w:type="dxa"/>
            <w:noWrap/>
            <w:hideMark/>
          </w:tcPr>
          <w:p w14:paraId="50368C12" w14:textId="77777777" w:rsidR="00350EBA" w:rsidRPr="00350EBA" w:rsidRDefault="00350EBA" w:rsidP="00350EBA">
            <w:pPr>
              <w:pStyle w:val="BodyTextIndent"/>
              <w:spacing w:after="120"/>
              <w:ind w:firstLine="0"/>
              <w:jc w:val="center"/>
              <w:rPr>
                <w:szCs w:val="18"/>
              </w:rPr>
            </w:pPr>
            <w:r w:rsidRPr="00350EBA">
              <w:rPr>
                <w:szCs w:val="18"/>
              </w:rPr>
              <w:t>1</w:t>
            </w:r>
          </w:p>
        </w:tc>
        <w:tc>
          <w:tcPr>
            <w:tcW w:w="709" w:type="dxa"/>
            <w:noWrap/>
            <w:hideMark/>
          </w:tcPr>
          <w:p w14:paraId="57A87DA8" w14:textId="77777777" w:rsidR="00350EBA" w:rsidRPr="00350EBA" w:rsidRDefault="00350EBA" w:rsidP="00350EBA">
            <w:pPr>
              <w:pStyle w:val="BodyTextIndent"/>
              <w:spacing w:after="120"/>
              <w:ind w:firstLine="0"/>
              <w:jc w:val="center"/>
              <w:rPr>
                <w:szCs w:val="18"/>
              </w:rPr>
            </w:pPr>
            <w:r w:rsidRPr="00350EBA">
              <w:rPr>
                <w:szCs w:val="18"/>
              </w:rPr>
              <w:t>2</w:t>
            </w:r>
          </w:p>
        </w:tc>
        <w:tc>
          <w:tcPr>
            <w:tcW w:w="567" w:type="dxa"/>
            <w:noWrap/>
            <w:hideMark/>
          </w:tcPr>
          <w:p w14:paraId="75E97E2E" w14:textId="77777777" w:rsidR="00350EBA" w:rsidRPr="00350EBA" w:rsidRDefault="00350EBA" w:rsidP="00350EBA">
            <w:pPr>
              <w:pStyle w:val="BodyTextIndent"/>
              <w:spacing w:after="120"/>
              <w:ind w:firstLine="0"/>
              <w:jc w:val="center"/>
              <w:rPr>
                <w:szCs w:val="18"/>
              </w:rPr>
            </w:pPr>
            <w:r w:rsidRPr="00350EBA">
              <w:rPr>
                <w:szCs w:val="18"/>
              </w:rPr>
              <w:t>1</w:t>
            </w:r>
          </w:p>
        </w:tc>
        <w:tc>
          <w:tcPr>
            <w:tcW w:w="583" w:type="dxa"/>
            <w:noWrap/>
            <w:hideMark/>
          </w:tcPr>
          <w:p w14:paraId="199A96FC" w14:textId="77777777" w:rsidR="00350EBA" w:rsidRPr="00350EBA" w:rsidRDefault="00350EBA" w:rsidP="00350EBA">
            <w:pPr>
              <w:pStyle w:val="BodyTextIndent"/>
              <w:spacing w:after="120"/>
              <w:ind w:firstLine="0"/>
              <w:jc w:val="center"/>
              <w:rPr>
                <w:szCs w:val="18"/>
              </w:rPr>
            </w:pPr>
            <w:r w:rsidRPr="00350EBA">
              <w:rPr>
                <w:szCs w:val="18"/>
              </w:rPr>
              <w:t>2</w:t>
            </w:r>
          </w:p>
        </w:tc>
      </w:tr>
      <w:tr w:rsidR="00350EBA" w:rsidRPr="00350EBA" w14:paraId="4468985D" w14:textId="77777777" w:rsidTr="006417CD">
        <w:trPr>
          <w:trHeight w:val="280"/>
          <w:jc w:val="center"/>
        </w:trPr>
        <w:tc>
          <w:tcPr>
            <w:tcW w:w="797" w:type="dxa"/>
            <w:noWrap/>
            <w:hideMark/>
          </w:tcPr>
          <w:p w14:paraId="21E2598F" w14:textId="77777777" w:rsidR="00350EBA" w:rsidRPr="00350EBA" w:rsidRDefault="00350EBA" w:rsidP="00350EBA">
            <w:pPr>
              <w:pStyle w:val="BodyTextIndent"/>
              <w:spacing w:after="120"/>
              <w:ind w:firstLine="0"/>
              <w:jc w:val="center"/>
              <w:rPr>
                <w:szCs w:val="18"/>
              </w:rPr>
            </w:pPr>
            <w:r w:rsidRPr="00350EBA">
              <w:rPr>
                <w:szCs w:val="18"/>
              </w:rPr>
              <w:t>3</w:t>
            </w:r>
          </w:p>
        </w:tc>
        <w:tc>
          <w:tcPr>
            <w:tcW w:w="729" w:type="dxa"/>
            <w:noWrap/>
            <w:hideMark/>
          </w:tcPr>
          <w:p w14:paraId="03927621" w14:textId="77777777" w:rsidR="00350EBA" w:rsidRPr="00350EBA" w:rsidRDefault="00350EBA" w:rsidP="00350EBA">
            <w:pPr>
              <w:pStyle w:val="BodyTextIndent"/>
              <w:spacing w:after="120"/>
              <w:ind w:firstLine="0"/>
              <w:jc w:val="center"/>
              <w:rPr>
                <w:szCs w:val="18"/>
              </w:rPr>
            </w:pPr>
            <w:r w:rsidRPr="00350EBA">
              <w:rPr>
                <w:szCs w:val="18"/>
              </w:rPr>
              <w:t>1998</w:t>
            </w:r>
          </w:p>
        </w:tc>
        <w:tc>
          <w:tcPr>
            <w:tcW w:w="708" w:type="dxa"/>
            <w:noWrap/>
            <w:hideMark/>
          </w:tcPr>
          <w:p w14:paraId="24CA85CA" w14:textId="77777777" w:rsidR="00350EBA" w:rsidRPr="00350EBA" w:rsidRDefault="00350EBA" w:rsidP="00350EBA">
            <w:pPr>
              <w:pStyle w:val="BodyTextIndent"/>
              <w:spacing w:after="120"/>
              <w:ind w:firstLine="0"/>
              <w:jc w:val="center"/>
              <w:rPr>
                <w:szCs w:val="18"/>
              </w:rPr>
            </w:pPr>
            <w:r w:rsidRPr="00350EBA">
              <w:rPr>
                <w:szCs w:val="18"/>
              </w:rPr>
              <w:t>1</w:t>
            </w:r>
          </w:p>
        </w:tc>
        <w:tc>
          <w:tcPr>
            <w:tcW w:w="709" w:type="dxa"/>
            <w:noWrap/>
            <w:hideMark/>
          </w:tcPr>
          <w:p w14:paraId="087B59E6" w14:textId="77777777" w:rsidR="00350EBA" w:rsidRPr="00350EBA" w:rsidRDefault="00350EBA" w:rsidP="00350EBA">
            <w:pPr>
              <w:pStyle w:val="BodyTextIndent"/>
              <w:spacing w:after="120"/>
              <w:ind w:firstLine="0"/>
              <w:jc w:val="center"/>
              <w:rPr>
                <w:szCs w:val="18"/>
              </w:rPr>
            </w:pPr>
            <w:r w:rsidRPr="00350EBA">
              <w:rPr>
                <w:szCs w:val="18"/>
              </w:rPr>
              <w:t>1</w:t>
            </w:r>
          </w:p>
        </w:tc>
        <w:tc>
          <w:tcPr>
            <w:tcW w:w="567" w:type="dxa"/>
            <w:noWrap/>
            <w:hideMark/>
          </w:tcPr>
          <w:p w14:paraId="7F3472EA" w14:textId="77777777" w:rsidR="00350EBA" w:rsidRPr="00350EBA" w:rsidRDefault="00350EBA" w:rsidP="00350EBA">
            <w:pPr>
              <w:pStyle w:val="BodyTextIndent"/>
              <w:spacing w:after="120"/>
              <w:ind w:firstLine="0"/>
              <w:jc w:val="center"/>
              <w:rPr>
                <w:szCs w:val="18"/>
              </w:rPr>
            </w:pPr>
            <w:r w:rsidRPr="00350EBA">
              <w:rPr>
                <w:szCs w:val="18"/>
              </w:rPr>
              <w:t>3</w:t>
            </w:r>
          </w:p>
        </w:tc>
        <w:tc>
          <w:tcPr>
            <w:tcW w:w="583" w:type="dxa"/>
            <w:noWrap/>
            <w:hideMark/>
          </w:tcPr>
          <w:p w14:paraId="1A297B36" w14:textId="77777777" w:rsidR="00350EBA" w:rsidRPr="00350EBA" w:rsidRDefault="00350EBA" w:rsidP="00350EBA">
            <w:pPr>
              <w:pStyle w:val="BodyTextIndent"/>
              <w:spacing w:after="120"/>
              <w:ind w:firstLine="0"/>
              <w:jc w:val="center"/>
              <w:rPr>
                <w:szCs w:val="18"/>
              </w:rPr>
            </w:pPr>
            <w:r w:rsidRPr="00350EBA">
              <w:rPr>
                <w:szCs w:val="18"/>
              </w:rPr>
              <w:t>3</w:t>
            </w:r>
          </w:p>
        </w:tc>
      </w:tr>
      <w:tr w:rsidR="00350EBA" w:rsidRPr="00350EBA" w14:paraId="138D55AE" w14:textId="77777777" w:rsidTr="006417CD">
        <w:trPr>
          <w:trHeight w:val="280"/>
          <w:jc w:val="center"/>
        </w:trPr>
        <w:tc>
          <w:tcPr>
            <w:tcW w:w="797" w:type="dxa"/>
            <w:noWrap/>
            <w:hideMark/>
          </w:tcPr>
          <w:p w14:paraId="7BAA0824" w14:textId="77777777" w:rsidR="00350EBA" w:rsidRPr="00350EBA" w:rsidRDefault="00350EBA" w:rsidP="00350EBA">
            <w:pPr>
              <w:pStyle w:val="BodyTextIndent"/>
              <w:spacing w:after="120"/>
              <w:ind w:firstLine="0"/>
              <w:jc w:val="center"/>
              <w:rPr>
                <w:szCs w:val="18"/>
              </w:rPr>
            </w:pPr>
            <w:r w:rsidRPr="00350EBA">
              <w:rPr>
                <w:szCs w:val="18"/>
              </w:rPr>
              <w:t>2</w:t>
            </w:r>
          </w:p>
        </w:tc>
        <w:tc>
          <w:tcPr>
            <w:tcW w:w="729" w:type="dxa"/>
            <w:noWrap/>
            <w:hideMark/>
          </w:tcPr>
          <w:p w14:paraId="45073D8C" w14:textId="77777777" w:rsidR="00350EBA" w:rsidRPr="00350EBA" w:rsidRDefault="00350EBA" w:rsidP="00350EBA">
            <w:pPr>
              <w:pStyle w:val="BodyTextIndent"/>
              <w:spacing w:after="120"/>
              <w:ind w:firstLine="0"/>
              <w:jc w:val="center"/>
              <w:rPr>
                <w:szCs w:val="18"/>
              </w:rPr>
            </w:pPr>
            <w:r w:rsidRPr="00350EBA">
              <w:rPr>
                <w:szCs w:val="18"/>
              </w:rPr>
              <w:t>1999</w:t>
            </w:r>
          </w:p>
        </w:tc>
        <w:tc>
          <w:tcPr>
            <w:tcW w:w="708" w:type="dxa"/>
            <w:noWrap/>
            <w:hideMark/>
          </w:tcPr>
          <w:p w14:paraId="41D0F010" w14:textId="77777777" w:rsidR="00350EBA" w:rsidRPr="00350EBA" w:rsidRDefault="00350EBA" w:rsidP="00350EBA">
            <w:pPr>
              <w:pStyle w:val="BodyTextIndent"/>
              <w:spacing w:after="120"/>
              <w:ind w:firstLine="0"/>
              <w:jc w:val="center"/>
              <w:rPr>
                <w:szCs w:val="18"/>
              </w:rPr>
            </w:pPr>
          </w:p>
        </w:tc>
        <w:tc>
          <w:tcPr>
            <w:tcW w:w="709" w:type="dxa"/>
            <w:noWrap/>
            <w:hideMark/>
          </w:tcPr>
          <w:p w14:paraId="0796653E" w14:textId="77777777" w:rsidR="00350EBA" w:rsidRPr="00350EBA" w:rsidRDefault="00350EBA" w:rsidP="00350EBA">
            <w:pPr>
              <w:pStyle w:val="BodyTextIndent"/>
              <w:spacing w:after="120"/>
              <w:ind w:firstLine="0"/>
              <w:jc w:val="center"/>
              <w:rPr>
                <w:szCs w:val="18"/>
              </w:rPr>
            </w:pPr>
          </w:p>
        </w:tc>
        <w:tc>
          <w:tcPr>
            <w:tcW w:w="567" w:type="dxa"/>
            <w:noWrap/>
            <w:hideMark/>
          </w:tcPr>
          <w:p w14:paraId="2FB69D51" w14:textId="77777777" w:rsidR="00350EBA" w:rsidRPr="00350EBA" w:rsidRDefault="00350EBA" w:rsidP="00350EBA">
            <w:pPr>
              <w:pStyle w:val="BodyTextIndent"/>
              <w:spacing w:after="120"/>
              <w:ind w:firstLine="0"/>
              <w:jc w:val="center"/>
              <w:rPr>
                <w:szCs w:val="18"/>
              </w:rPr>
            </w:pPr>
            <w:r w:rsidRPr="00350EBA">
              <w:rPr>
                <w:szCs w:val="18"/>
              </w:rPr>
              <w:t>1</w:t>
            </w:r>
          </w:p>
        </w:tc>
        <w:tc>
          <w:tcPr>
            <w:tcW w:w="583" w:type="dxa"/>
            <w:noWrap/>
            <w:hideMark/>
          </w:tcPr>
          <w:p w14:paraId="0BBE0332" w14:textId="77777777" w:rsidR="00350EBA" w:rsidRPr="00350EBA" w:rsidRDefault="00350EBA" w:rsidP="00350EBA">
            <w:pPr>
              <w:pStyle w:val="BodyTextIndent"/>
              <w:spacing w:after="120"/>
              <w:ind w:firstLine="0"/>
              <w:jc w:val="center"/>
              <w:rPr>
                <w:szCs w:val="18"/>
              </w:rPr>
            </w:pPr>
            <w:r w:rsidRPr="00350EBA">
              <w:rPr>
                <w:szCs w:val="18"/>
              </w:rPr>
              <w:t>2</w:t>
            </w:r>
          </w:p>
        </w:tc>
      </w:tr>
      <w:tr w:rsidR="00350EBA" w:rsidRPr="00350EBA" w14:paraId="2899478E" w14:textId="77777777" w:rsidTr="006417CD">
        <w:trPr>
          <w:trHeight w:val="280"/>
          <w:jc w:val="center"/>
        </w:trPr>
        <w:tc>
          <w:tcPr>
            <w:tcW w:w="797" w:type="dxa"/>
            <w:noWrap/>
            <w:hideMark/>
          </w:tcPr>
          <w:p w14:paraId="301CB6C0" w14:textId="77777777" w:rsidR="00350EBA" w:rsidRPr="00350EBA" w:rsidRDefault="00350EBA" w:rsidP="00350EBA">
            <w:pPr>
              <w:pStyle w:val="BodyTextIndent"/>
              <w:spacing w:after="120"/>
              <w:ind w:firstLine="0"/>
              <w:jc w:val="center"/>
              <w:rPr>
                <w:szCs w:val="18"/>
              </w:rPr>
            </w:pPr>
            <w:r w:rsidRPr="00350EBA">
              <w:rPr>
                <w:szCs w:val="18"/>
              </w:rPr>
              <w:t>2</w:t>
            </w:r>
          </w:p>
        </w:tc>
        <w:tc>
          <w:tcPr>
            <w:tcW w:w="729" w:type="dxa"/>
            <w:noWrap/>
            <w:hideMark/>
          </w:tcPr>
          <w:p w14:paraId="589BA29D" w14:textId="77777777" w:rsidR="00350EBA" w:rsidRPr="00350EBA" w:rsidRDefault="00350EBA" w:rsidP="00350EBA">
            <w:pPr>
              <w:pStyle w:val="BodyTextIndent"/>
              <w:spacing w:after="120"/>
              <w:ind w:firstLine="0"/>
              <w:jc w:val="center"/>
              <w:rPr>
                <w:szCs w:val="18"/>
              </w:rPr>
            </w:pPr>
            <w:r w:rsidRPr="00350EBA">
              <w:rPr>
                <w:szCs w:val="18"/>
              </w:rPr>
              <w:t>2000</w:t>
            </w:r>
          </w:p>
        </w:tc>
        <w:tc>
          <w:tcPr>
            <w:tcW w:w="708" w:type="dxa"/>
            <w:noWrap/>
            <w:hideMark/>
          </w:tcPr>
          <w:p w14:paraId="65BA4A15" w14:textId="77777777" w:rsidR="00350EBA" w:rsidRPr="00350EBA" w:rsidRDefault="00350EBA" w:rsidP="00350EBA">
            <w:pPr>
              <w:pStyle w:val="BodyTextIndent"/>
              <w:spacing w:after="120"/>
              <w:ind w:firstLine="0"/>
              <w:jc w:val="center"/>
              <w:rPr>
                <w:szCs w:val="18"/>
              </w:rPr>
            </w:pPr>
          </w:p>
        </w:tc>
        <w:tc>
          <w:tcPr>
            <w:tcW w:w="709" w:type="dxa"/>
            <w:noWrap/>
            <w:hideMark/>
          </w:tcPr>
          <w:p w14:paraId="36B8FACB" w14:textId="77777777" w:rsidR="00350EBA" w:rsidRPr="00350EBA" w:rsidRDefault="00350EBA" w:rsidP="00350EBA">
            <w:pPr>
              <w:pStyle w:val="BodyTextIndent"/>
              <w:spacing w:after="120"/>
              <w:ind w:firstLine="0"/>
              <w:jc w:val="center"/>
              <w:rPr>
                <w:szCs w:val="18"/>
              </w:rPr>
            </w:pPr>
          </w:p>
        </w:tc>
        <w:tc>
          <w:tcPr>
            <w:tcW w:w="567" w:type="dxa"/>
            <w:noWrap/>
            <w:hideMark/>
          </w:tcPr>
          <w:p w14:paraId="717A1E8D" w14:textId="77777777" w:rsidR="00350EBA" w:rsidRPr="00350EBA" w:rsidRDefault="00350EBA" w:rsidP="00350EBA">
            <w:pPr>
              <w:pStyle w:val="BodyTextIndent"/>
              <w:spacing w:after="120"/>
              <w:ind w:firstLine="0"/>
              <w:jc w:val="center"/>
              <w:rPr>
                <w:szCs w:val="18"/>
              </w:rPr>
            </w:pPr>
            <w:r w:rsidRPr="00350EBA">
              <w:rPr>
                <w:szCs w:val="18"/>
              </w:rPr>
              <w:t>1</w:t>
            </w:r>
          </w:p>
        </w:tc>
        <w:tc>
          <w:tcPr>
            <w:tcW w:w="583" w:type="dxa"/>
            <w:noWrap/>
            <w:hideMark/>
          </w:tcPr>
          <w:p w14:paraId="74F2FB22" w14:textId="77777777" w:rsidR="00350EBA" w:rsidRPr="00350EBA" w:rsidRDefault="00350EBA" w:rsidP="00350EBA">
            <w:pPr>
              <w:pStyle w:val="BodyTextIndent"/>
              <w:spacing w:after="120"/>
              <w:ind w:firstLine="0"/>
              <w:jc w:val="center"/>
              <w:rPr>
                <w:szCs w:val="18"/>
              </w:rPr>
            </w:pPr>
            <w:r w:rsidRPr="00350EBA">
              <w:rPr>
                <w:szCs w:val="18"/>
              </w:rPr>
              <w:t>1</w:t>
            </w:r>
          </w:p>
        </w:tc>
      </w:tr>
      <w:tr w:rsidR="00350EBA" w:rsidRPr="00350EBA" w14:paraId="7BAF7E13" w14:textId="77777777" w:rsidTr="006417CD">
        <w:trPr>
          <w:trHeight w:val="280"/>
          <w:jc w:val="center"/>
        </w:trPr>
        <w:tc>
          <w:tcPr>
            <w:tcW w:w="797" w:type="dxa"/>
            <w:noWrap/>
            <w:hideMark/>
          </w:tcPr>
          <w:p w14:paraId="1B5AE456" w14:textId="77777777" w:rsidR="00350EBA" w:rsidRPr="00350EBA" w:rsidRDefault="00350EBA" w:rsidP="00350EBA">
            <w:pPr>
              <w:pStyle w:val="BodyTextIndent"/>
              <w:spacing w:after="120"/>
              <w:ind w:firstLine="0"/>
              <w:jc w:val="center"/>
              <w:rPr>
                <w:szCs w:val="18"/>
              </w:rPr>
            </w:pPr>
            <w:r w:rsidRPr="00350EBA">
              <w:rPr>
                <w:szCs w:val="18"/>
              </w:rPr>
              <w:t>0</w:t>
            </w:r>
          </w:p>
        </w:tc>
        <w:tc>
          <w:tcPr>
            <w:tcW w:w="729" w:type="dxa"/>
            <w:noWrap/>
            <w:hideMark/>
          </w:tcPr>
          <w:p w14:paraId="08F6713E" w14:textId="77777777" w:rsidR="00350EBA" w:rsidRPr="00350EBA" w:rsidRDefault="00350EBA" w:rsidP="00350EBA">
            <w:pPr>
              <w:pStyle w:val="BodyTextIndent"/>
              <w:spacing w:after="120"/>
              <w:ind w:firstLine="0"/>
              <w:jc w:val="center"/>
              <w:rPr>
                <w:szCs w:val="18"/>
              </w:rPr>
            </w:pPr>
            <w:r w:rsidRPr="00350EBA">
              <w:rPr>
                <w:szCs w:val="18"/>
              </w:rPr>
              <w:t>2001</w:t>
            </w:r>
          </w:p>
        </w:tc>
        <w:tc>
          <w:tcPr>
            <w:tcW w:w="708" w:type="dxa"/>
            <w:noWrap/>
            <w:hideMark/>
          </w:tcPr>
          <w:p w14:paraId="7162FB43" w14:textId="77777777" w:rsidR="00350EBA" w:rsidRPr="00350EBA" w:rsidRDefault="00350EBA" w:rsidP="00350EBA">
            <w:pPr>
              <w:pStyle w:val="BodyTextIndent"/>
              <w:spacing w:after="120"/>
              <w:ind w:firstLine="0"/>
              <w:jc w:val="center"/>
              <w:rPr>
                <w:szCs w:val="18"/>
              </w:rPr>
            </w:pPr>
          </w:p>
        </w:tc>
        <w:tc>
          <w:tcPr>
            <w:tcW w:w="709" w:type="dxa"/>
            <w:noWrap/>
            <w:hideMark/>
          </w:tcPr>
          <w:p w14:paraId="7D4E2BD4" w14:textId="77777777" w:rsidR="00350EBA" w:rsidRPr="00350EBA" w:rsidRDefault="00350EBA" w:rsidP="00350EBA">
            <w:pPr>
              <w:pStyle w:val="BodyTextIndent"/>
              <w:spacing w:after="120"/>
              <w:ind w:firstLine="0"/>
              <w:jc w:val="center"/>
              <w:rPr>
                <w:szCs w:val="18"/>
              </w:rPr>
            </w:pPr>
          </w:p>
        </w:tc>
        <w:tc>
          <w:tcPr>
            <w:tcW w:w="567" w:type="dxa"/>
            <w:noWrap/>
            <w:hideMark/>
          </w:tcPr>
          <w:p w14:paraId="3AF452D6" w14:textId="77777777" w:rsidR="00350EBA" w:rsidRPr="00350EBA" w:rsidRDefault="00350EBA" w:rsidP="00350EBA">
            <w:pPr>
              <w:pStyle w:val="BodyTextIndent"/>
              <w:spacing w:after="120"/>
              <w:ind w:firstLine="0"/>
              <w:jc w:val="center"/>
              <w:rPr>
                <w:szCs w:val="18"/>
              </w:rPr>
            </w:pPr>
          </w:p>
        </w:tc>
        <w:tc>
          <w:tcPr>
            <w:tcW w:w="583" w:type="dxa"/>
            <w:noWrap/>
            <w:hideMark/>
          </w:tcPr>
          <w:p w14:paraId="4A1AA818" w14:textId="77777777" w:rsidR="00350EBA" w:rsidRPr="00350EBA" w:rsidRDefault="00350EBA" w:rsidP="00350EBA">
            <w:pPr>
              <w:pStyle w:val="BodyTextIndent"/>
              <w:spacing w:after="120"/>
              <w:ind w:firstLine="0"/>
              <w:jc w:val="center"/>
              <w:rPr>
                <w:szCs w:val="18"/>
              </w:rPr>
            </w:pPr>
          </w:p>
        </w:tc>
      </w:tr>
      <w:tr w:rsidR="00350EBA" w:rsidRPr="00350EBA" w14:paraId="64EE5E6D" w14:textId="77777777" w:rsidTr="006417CD">
        <w:trPr>
          <w:trHeight w:val="280"/>
          <w:jc w:val="center"/>
        </w:trPr>
        <w:tc>
          <w:tcPr>
            <w:tcW w:w="797" w:type="dxa"/>
            <w:noWrap/>
            <w:hideMark/>
          </w:tcPr>
          <w:p w14:paraId="1684AB8C" w14:textId="77777777" w:rsidR="00350EBA" w:rsidRPr="00350EBA" w:rsidRDefault="00350EBA" w:rsidP="00350EBA">
            <w:pPr>
              <w:pStyle w:val="BodyTextIndent"/>
              <w:spacing w:after="120"/>
              <w:ind w:firstLine="0"/>
              <w:jc w:val="center"/>
              <w:rPr>
                <w:szCs w:val="18"/>
              </w:rPr>
            </w:pPr>
            <w:r w:rsidRPr="00350EBA">
              <w:rPr>
                <w:szCs w:val="18"/>
              </w:rPr>
              <w:t>1</w:t>
            </w:r>
          </w:p>
        </w:tc>
        <w:tc>
          <w:tcPr>
            <w:tcW w:w="729" w:type="dxa"/>
            <w:noWrap/>
            <w:hideMark/>
          </w:tcPr>
          <w:p w14:paraId="7AB5CB16" w14:textId="77777777" w:rsidR="00350EBA" w:rsidRPr="00350EBA" w:rsidRDefault="00350EBA" w:rsidP="00350EBA">
            <w:pPr>
              <w:pStyle w:val="BodyTextIndent"/>
              <w:spacing w:after="120"/>
              <w:ind w:firstLine="0"/>
              <w:jc w:val="center"/>
              <w:rPr>
                <w:szCs w:val="18"/>
              </w:rPr>
            </w:pPr>
            <w:r w:rsidRPr="00350EBA">
              <w:rPr>
                <w:szCs w:val="18"/>
              </w:rPr>
              <w:t>2002</w:t>
            </w:r>
          </w:p>
        </w:tc>
        <w:tc>
          <w:tcPr>
            <w:tcW w:w="708" w:type="dxa"/>
            <w:noWrap/>
            <w:hideMark/>
          </w:tcPr>
          <w:p w14:paraId="2B3CF1CC" w14:textId="77777777" w:rsidR="00350EBA" w:rsidRPr="00350EBA" w:rsidRDefault="00350EBA" w:rsidP="00350EBA">
            <w:pPr>
              <w:pStyle w:val="BodyTextIndent"/>
              <w:spacing w:after="120"/>
              <w:ind w:firstLine="0"/>
              <w:jc w:val="center"/>
              <w:rPr>
                <w:szCs w:val="18"/>
              </w:rPr>
            </w:pPr>
          </w:p>
        </w:tc>
        <w:tc>
          <w:tcPr>
            <w:tcW w:w="709" w:type="dxa"/>
            <w:noWrap/>
            <w:hideMark/>
          </w:tcPr>
          <w:p w14:paraId="5C14DAAD" w14:textId="77777777" w:rsidR="00350EBA" w:rsidRPr="00350EBA" w:rsidRDefault="00350EBA" w:rsidP="00350EBA">
            <w:pPr>
              <w:pStyle w:val="BodyTextIndent"/>
              <w:spacing w:after="120"/>
              <w:ind w:firstLine="0"/>
              <w:jc w:val="center"/>
              <w:rPr>
                <w:szCs w:val="18"/>
              </w:rPr>
            </w:pPr>
            <w:r w:rsidRPr="00350EBA">
              <w:rPr>
                <w:szCs w:val="18"/>
              </w:rPr>
              <w:t>1</w:t>
            </w:r>
          </w:p>
        </w:tc>
        <w:tc>
          <w:tcPr>
            <w:tcW w:w="567" w:type="dxa"/>
            <w:noWrap/>
            <w:hideMark/>
          </w:tcPr>
          <w:p w14:paraId="27160833" w14:textId="77777777" w:rsidR="00350EBA" w:rsidRPr="00350EBA" w:rsidRDefault="00350EBA" w:rsidP="00350EBA">
            <w:pPr>
              <w:pStyle w:val="BodyTextIndent"/>
              <w:spacing w:after="120"/>
              <w:ind w:firstLine="0"/>
              <w:jc w:val="center"/>
              <w:rPr>
                <w:szCs w:val="18"/>
              </w:rPr>
            </w:pPr>
            <w:r w:rsidRPr="00350EBA">
              <w:rPr>
                <w:szCs w:val="18"/>
              </w:rPr>
              <w:t>1</w:t>
            </w:r>
          </w:p>
        </w:tc>
        <w:tc>
          <w:tcPr>
            <w:tcW w:w="583" w:type="dxa"/>
            <w:noWrap/>
            <w:hideMark/>
          </w:tcPr>
          <w:p w14:paraId="13454ED8" w14:textId="77777777" w:rsidR="00350EBA" w:rsidRPr="00350EBA" w:rsidRDefault="00350EBA" w:rsidP="00350EBA">
            <w:pPr>
              <w:pStyle w:val="BodyTextIndent"/>
              <w:spacing w:after="120"/>
              <w:ind w:firstLine="0"/>
              <w:jc w:val="center"/>
              <w:rPr>
                <w:szCs w:val="18"/>
              </w:rPr>
            </w:pPr>
            <w:r w:rsidRPr="00350EBA">
              <w:rPr>
                <w:szCs w:val="18"/>
              </w:rPr>
              <w:t>1</w:t>
            </w:r>
          </w:p>
        </w:tc>
      </w:tr>
      <w:tr w:rsidR="00350EBA" w:rsidRPr="00350EBA" w14:paraId="31CB9906" w14:textId="77777777" w:rsidTr="006417CD">
        <w:trPr>
          <w:trHeight w:val="280"/>
          <w:jc w:val="center"/>
        </w:trPr>
        <w:tc>
          <w:tcPr>
            <w:tcW w:w="797" w:type="dxa"/>
            <w:noWrap/>
            <w:hideMark/>
          </w:tcPr>
          <w:p w14:paraId="27A97103" w14:textId="77777777" w:rsidR="00350EBA" w:rsidRPr="00350EBA" w:rsidRDefault="00350EBA" w:rsidP="00350EBA">
            <w:pPr>
              <w:pStyle w:val="BodyTextIndent"/>
              <w:spacing w:after="120"/>
              <w:ind w:firstLine="0"/>
              <w:jc w:val="center"/>
              <w:rPr>
                <w:szCs w:val="18"/>
              </w:rPr>
            </w:pPr>
            <w:r w:rsidRPr="00350EBA">
              <w:rPr>
                <w:szCs w:val="18"/>
              </w:rPr>
              <w:t>1</w:t>
            </w:r>
          </w:p>
        </w:tc>
        <w:tc>
          <w:tcPr>
            <w:tcW w:w="729" w:type="dxa"/>
            <w:noWrap/>
            <w:hideMark/>
          </w:tcPr>
          <w:p w14:paraId="2A614BC5" w14:textId="77777777" w:rsidR="00350EBA" w:rsidRPr="00350EBA" w:rsidRDefault="00350EBA" w:rsidP="00350EBA">
            <w:pPr>
              <w:pStyle w:val="BodyTextIndent"/>
              <w:spacing w:after="120"/>
              <w:ind w:firstLine="0"/>
              <w:jc w:val="center"/>
              <w:rPr>
                <w:szCs w:val="18"/>
              </w:rPr>
            </w:pPr>
            <w:r w:rsidRPr="00350EBA">
              <w:rPr>
                <w:szCs w:val="18"/>
              </w:rPr>
              <w:t>2003</w:t>
            </w:r>
          </w:p>
        </w:tc>
        <w:tc>
          <w:tcPr>
            <w:tcW w:w="708" w:type="dxa"/>
            <w:noWrap/>
            <w:hideMark/>
          </w:tcPr>
          <w:p w14:paraId="71A48993" w14:textId="77777777" w:rsidR="00350EBA" w:rsidRPr="00350EBA" w:rsidRDefault="00350EBA" w:rsidP="00350EBA">
            <w:pPr>
              <w:pStyle w:val="BodyTextIndent"/>
              <w:spacing w:after="120"/>
              <w:ind w:firstLine="0"/>
              <w:jc w:val="center"/>
              <w:rPr>
                <w:szCs w:val="18"/>
              </w:rPr>
            </w:pPr>
          </w:p>
        </w:tc>
        <w:tc>
          <w:tcPr>
            <w:tcW w:w="709" w:type="dxa"/>
            <w:noWrap/>
            <w:hideMark/>
          </w:tcPr>
          <w:p w14:paraId="503EB168" w14:textId="77777777" w:rsidR="00350EBA" w:rsidRPr="00350EBA" w:rsidRDefault="00350EBA" w:rsidP="00350EBA">
            <w:pPr>
              <w:pStyle w:val="BodyTextIndent"/>
              <w:spacing w:after="120"/>
              <w:ind w:firstLine="0"/>
              <w:jc w:val="center"/>
              <w:rPr>
                <w:szCs w:val="18"/>
              </w:rPr>
            </w:pPr>
          </w:p>
        </w:tc>
        <w:tc>
          <w:tcPr>
            <w:tcW w:w="567" w:type="dxa"/>
            <w:noWrap/>
            <w:hideMark/>
          </w:tcPr>
          <w:p w14:paraId="1028B6EE" w14:textId="77777777" w:rsidR="00350EBA" w:rsidRPr="00350EBA" w:rsidRDefault="00350EBA" w:rsidP="00350EBA">
            <w:pPr>
              <w:pStyle w:val="BodyTextIndent"/>
              <w:spacing w:after="120"/>
              <w:ind w:firstLine="0"/>
              <w:jc w:val="center"/>
              <w:rPr>
                <w:szCs w:val="18"/>
              </w:rPr>
            </w:pPr>
            <w:r w:rsidRPr="00350EBA">
              <w:rPr>
                <w:szCs w:val="18"/>
              </w:rPr>
              <w:t>1</w:t>
            </w:r>
          </w:p>
        </w:tc>
        <w:tc>
          <w:tcPr>
            <w:tcW w:w="583" w:type="dxa"/>
            <w:noWrap/>
            <w:hideMark/>
          </w:tcPr>
          <w:p w14:paraId="04FE7B44" w14:textId="77777777" w:rsidR="00350EBA" w:rsidRPr="00350EBA" w:rsidRDefault="00350EBA" w:rsidP="00350EBA">
            <w:pPr>
              <w:pStyle w:val="BodyTextIndent"/>
              <w:spacing w:after="120"/>
              <w:ind w:firstLine="0"/>
              <w:jc w:val="center"/>
              <w:rPr>
                <w:szCs w:val="18"/>
              </w:rPr>
            </w:pPr>
          </w:p>
        </w:tc>
      </w:tr>
    </w:tbl>
    <w:p w14:paraId="45524106" w14:textId="77777777" w:rsidR="006417CD" w:rsidRDefault="006417CD">
      <w:pPr>
        <w:pStyle w:val="BodyTextIndent"/>
        <w:ind w:firstLine="0"/>
      </w:pPr>
    </w:p>
    <w:p w14:paraId="661696DB" w14:textId="7A1E8D63" w:rsidR="00877ABB" w:rsidRDefault="004309CF">
      <w:pPr>
        <w:pStyle w:val="BodyTextIndent"/>
        <w:ind w:firstLine="0"/>
      </w:pPr>
      <w:r>
        <w:t xml:space="preserve">The </w:t>
      </w:r>
      <w:r w:rsidR="00616A40">
        <w:t>children</w:t>
      </w:r>
      <w:r>
        <w:t xml:space="preserve"> also showed a wide range of skills across both coding and design as s</w:t>
      </w:r>
      <w:r w:rsidR="006417CD">
        <w:t>een in Table 4</w:t>
      </w:r>
      <w:r>
        <w:t>.</w:t>
      </w:r>
      <w:r w:rsidR="00FC7B9C">
        <w:t xml:space="preserve"> ‘Other’ here includes Haskell, Perl and bash scripting as well as Visual Basic.</w:t>
      </w:r>
    </w:p>
    <w:p w14:paraId="63CD5957" w14:textId="77777777" w:rsidR="002F55D5" w:rsidRDefault="002F55D5">
      <w:pPr>
        <w:pStyle w:val="BodyTextIndent"/>
        <w:ind w:firstLine="0"/>
      </w:pPr>
    </w:p>
    <w:p w14:paraId="1780A202" w14:textId="37A82633" w:rsidR="000535A1" w:rsidRPr="000535A1" w:rsidRDefault="006417CD">
      <w:pPr>
        <w:pStyle w:val="BodyTextIndent"/>
        <w:ind w:firstLine="0"/>
        <w:rPr>
          <w:b/>
        </w:rPr>
      </w:pPr>
      <w:r>
        <w:rPr>
          <w:b/>
        </w:rPr>
        <w:t>Table 4</w:t>
      </w:r>
      <w:r w:rsidR="000535A1" w:rsidRPr="000535A1">
        <w:rPr>
          <w:b/>
        </w:rPr>
        <w:t xml:space="preserve">. </w:t>
      </w:r>
      <w:r w:rsidR="000535A1">
        <w:rPr>
          <w:b/>
        </w:rPr>
        <w:t>Language and Skills</w:t>
      </w:r>
      <w:r w:rsidR="000535A1" w:rsidRPr="000535A1">
        <w:rPr>
          <w:b/>
        </w:rPr>
        <w:t xml:space="preserve"> </w:t>
      </w:r>
      <w:r w:rsidR="000535A1">
        <w:rPr>
          <w:b/>
        </w:rPr>
        <w:t>Abilities</w:t>
      </w:r>
    </w:p>
    <w:p w14:paraId="7A4B718B" w14:textId="77777777" w:rsidR="00693E9E" w:rsidRDefault="00693E9E">
      <w:pPr>
        <w:pStyle w:val="BodyTextIndent"/>
        <w:ind w:firstLine="0"/>
      </w:pPr>
    </w:p>
    <w:tbl>
      <w:tblPr>
        <w:tblStyle w:val="TableGrid"/>
        <w:tblW w:w="0" w:type="auto"/>
        <w:tblInd w:w="79" w:type="dxa"/>
        <w:tblLayout w:type="fixed"/>
        <w:tblCellMar>
          <w:left w:w="28" w:type="dxa"/>
        </w:tblCellMar>
        <w:tblLook w:val="04A0" w:firstRow="1" w:lastRow="0" w:firstColumn="1" w:lastColumn="0" w:noHBand="0" w:noVBand="1"/>
      </w:tblPr>
      <w:tblGrid>
        <w:gridCol w:w="1809"/>
        <w:gridCol w:w="1196"/>
      </w:tblGrid>
      <w:tr w:rsidR="00877ABB" w:rsidRPr="00693E9E" w14:paraId="079D70E9" w14:textId="77777777" w:rsidTr="009C5E93">
        <w:trPr>
          <w:trHeight w:val="280"/>
        </w:trPr>
        <w:tc>
          <w:tcPr>
            <w:tcW w:w="1809" w:type="dxa"/>
            <w:noWrap/>
          </w:tcPr>
          <w:p w14:paraId="4BC242B4" w14:textId="42245498" w:rsidR="00877ABB" w:rsidRPr="00877ABB" w:rsidRDefault="000535A1" w:rsidP="00877ABB">
            <w:pPr>
              <w:pStyle w:val="BodyTextIndent"/>
              <w:ind w:firstLine="0"/>
              <w:jc w:val="center"/>
              <w:rPr>
                <w:b/>
              </w:rPr>
            </w:pPr>
            <w:r>
              <w:rPr>
                <w:b/>
              </w:rPr>
              <w:t>Language/Skills</w:t>
            </w:r>
          </w:p>
        </w:tc>
        <w:tc>
          <w:tcPr>
            <w:tcW w:w="1196" w:type="dxa"/>
            <w:noWrap/>
          </w:tcPr>
          <w:p w14:paraId="7685D731" w14:textId="5169E097" w:rsidR="00877ABB" w:rsidRPr="00877ABB" w:rsidRDefault="00877ABB" w:rsidP="00877ABB">
            <w:pPr>
              <w:pStyle w:val="BodyTextIndent"/>
              <w:ind w:firstLine="0"/>
              <w:jc w:val="center"/>
              <w:rPr>
                <w:b/>
              </w:rPr>
            </w:pPr>
            <w:r w:rsidRPr="00877ABB">
              <w:rPr>
                <w:b/>
              </w:rPr>
              <w:t>Number</w:t>
            </w:r>
          </w:p>
        </w:tc>
      </w:tr>
      <w:tr w:rsidR="00693E9E" w:rsidRPr="00693E9E" w14:paraId="5420675F" w14:textId="77777777" w:rsidTr="009C5E93">
        <w:trPr>
          <w:trHeight w:val="280"/>
        </w:trPr>
        <w:tc>
          <w:tcPr>
            <w:tcW w:w="1809" w:type="dxa"/>
            <w:noWrap/>
            <w:hideMark/>
          </w:tcPr>
          <w:p w14:paraId="1E56F0AF" w14:textId="1C6FDC8C" w:rsidR="00693E9E" w:rsidRPr="00693E9E" w:rsidRDefault="00693E9E" w:rsidP="00693E9E">
            <w:pPr>
              <w:pStyle w:val="BodyTextIndent"/>
            </w:pPr>
            <w:r w:rsidRPr="00693E9E">
              <w:t>HTML/CSS</w:t>
            </w:r>
          </w:p>
        </w:tc>
        <w:tc>
          <w:tcPr>
            <w:tcW w:w="1196" w:type="dxa"/>
            <w:noWrap/>
            <w:hideMark/>
          </w:tcPr>
          <w:p w14:paraId="085C3315" w14:textId="77777777" w:rsidR="00693E9E" w:rsidRPr="00693E9E" w:rsidRDefault="00693E9E" w:rsidP="00693E9E">
            <w:pPr>
              <w:pStyle w:val="BodyTextIndent"/>
            </w:pPr>
            <w:r w:rsidRPr="00693E9E">
              <w:t>9</w:t>
            </w:r>
          </w:p>
        </w:tc>
      </w:tr>
      <w:tr w:rsidR="00693E9E" w:rsidRPr="00693E9E" w14:paraId="000F97F3" w14:textId="77777777" w:rsidTr="009C5E93">
        <w:trPr>
          <w:trHeight w:val="280"/>
        </w:trPr>
        <w:tc>
          <w:tcPr>
            <w:tcW w:w="1809" w:type="dxa"/>
            <w:noWrap/>
            <w:hideMark/>
          </w:tcPr>
          <w:p w14:paraId="7A2A90EF" w14:textId="77777777" w:rsidR="00693E9E" w:rsidRPr="00693E9E" w:rsidRDefault="00693E9E" w:rsidP="00693E9E">
            <w:pPr>
              <w:pStyle w:val="BodyTextIndent"/>
            </w:pPr>
            <w:r w:rsidRPr="00693E9E">
              <w:t>Javascipt/Jquery</w:t>
            </w:r>
          </w:p>
        </w:tc>
        <w:tc>
          <w:tcPr>
            <w:tcW w:w="1196" w:type="dxa"/>
            <w:noWrap/>
            <w:hideMark/>
          </w:tcPr>
          <w:p w14:paraId="4E071078" w14:textId="77777777" w:rsidR="00693E9E" w:rsidRPr="00693E9E" w:rsidRDefault="00693E9E" w:rsidP="00693E9E">
            <w:pPr>
              <w:pStyle w:val="BodyTextIndent"/>
            </w:pPr>
            <w:r w:rsidRPr="00693E9E">
              <w:t>6</w:t>
            </w:r>
          </w:p>
        </w:tc>
      </w:tr>
      <w:tr w:rsidR="00693E9E" w:rsidRPr="00693E9E" w14:paraId="1F00A14F" w14:textId="77777777" w:rsidTr="009C5E93">
        <w:trPr>
          <w:trHeight w:val="280"/>
        </w:trPr>
        <w:tc>
          <w:tcPr>
            <w:tcW w:w="1809" w:type="dxa"/>
            <w:noWrap/>
            <w:hideMark/>
          </w:tcPr>
          <w:p w14:paraId="7E8EEFB4" w14:textId="2F4176D3" w:rsidR="00693E9E" w:rsidRPr="00693E9E" w:rsidRDefault="00693E9E" w:rsidP="00693E9E">
            <w:pPr>
              <w:pStyle w:val="BodyTextIndent"/>
            </w:pPr>
            <w:r w:rsidRPr="00693E9E">
              <w:t>Ruby</w:t>
            </w:r>
          </w:p>
        </w:tc>
        <w:tc>
          <w:tcPr>
            <w:tcW w:w="1196" w:type="dxa"/>
            <w:noWrap/>
            <w:hideMark/>
          </w:tcPr>
          <w:p w14:paraId="4C8ED7FB" w14:textId="77777777" w:rsidR="00693E9E" w:rsidRPr="00693E9E" w:rsidRDefault="00693E9E" w:rsidP="00693E9E">
            <w:pPr>
              <w:pStyle w:val="BodyTextIndent"/>
            </w:pPr>
            <w:r w:rsidRPr="00693E9E">
              <w:t>2</w:t>
            </w:r>
          </w:p>
        </w:tc>
      </w:tr>
      <w:tr w:rsidR="00693E9E" w:rsidRPr="00693E9E" w14:paraId="467A6EBE" w14:textId="77777777" w:rsidTr="009C5E93">
        <w:trPr>
          <w:trHeight w:val="280"/>
        </w:trPr>
        <w:tc>
          <w:tcPr>
            <w:tcW w:w="1809" w:type="dxa"/>
            <w:noWrap/>
            <w:hideMark/>
          </w:tcPr>
          <w:p w14:paraId="09AC0349" w14:textId="7FF809F6" w:rsidR="00693E9E" w:rsidRPr="00693E9E" w:rsidRDefault="00693E9E" w:rsidP="00693E9E">
            <w:pPr>
              <w:pStyle w:val="BodyTextIndent"/>
            </w:pPr>
            <w:r w:rsidRPr="00693E9E">
              <w:t>Python</w:t>
            </w:r>
          </w:p>
        </w:tc>
        <w:tc>
          <w:tcPr>
            <w:tcW w:w="1196" w:type="dxa"/>
            <w:noWrap/>
            <w:hideMark/>
          </w:tcPr>
          <w:p w14:paraId="2706AF29" w14:textId="77777777" w:rsidR="00693E9E" w:rsidRPr="00693E9E" w:rsidRDefault="00693E9E" w:rsidP="00693E9E">
            <w:pPr>
              <w:pStyle w:val="BodyTextIndent"/>
            </w:pPr>
            <w:r w:rsidRPr="00693E9E">
              <w:t>4</w:t>
            </w:r>
          </w:p>
        </w:tc>
      </w:tr>
      <w:tr w:rsidR="00693E9E" w:rsidRPr="00693E9E" w14:paraId="191F0BDD" w14:textId="77777777" w:rsidTr="009C5E93">
        <w:trPr>
          <w:trHeight w:val="280"/>
        </w:trPr>
        <w:tc>
          <w:tcPr>
            <w:tcW w:w="1809" w:type="dxa"/>
            <w:noWrap/>
            <w:hideMark/>
          </w:tcPr>
          <w:p w14:paraId="66799A8B" w14:textId="3EF194CA" w:rsidR="00693E9E" w:rsidRPr="00693E9E" w:rsidRDefault="00693E9E" w:rsidP="00693E9E">
            <w:pPr>
              <w:pStyle w:val="BodyTextIndent"/>
            </w:pPr>
            <w:r w:rsidRPr="00693E9E">
              <w:t>Java</w:t>
            </w:r>
          </w:p>
        </w:tc>
        <w:tc>
          <w:tcPr>
            <w:tcW w:w="1196" w:type="dxa"/>
            <w:noWrap/>
            <w:hideMark/>
          </w:tcPr>
          <w:p w14:paraId="622AA594" w14:textId="77777777" w:rsidR="00693E9E" w:rsidRPr="00693E9E" w:rsidRDefault="00693E9E" w:rsidP="00693E9E">
            <w:pPr>
              <w:pStyle w:val="BodyTextIndent"/>
            </w:pPr>
            <w:r w:rsidRPr="00693E9E">
              <w:t>3</w:t>
            </w:r>
          </w:p>
        </w:tc>
      </w:tr>
      <w:tr w:rsidR="00693E9E" w:rsidRPr="00693E9E" w14:paraId="28FBD813" w14:textId="77777777" w:rsidTr="009C5E93">
        <w:trPr>
          <w:trHeight w:val="280"/>
        </w:trPr>
        <w:tc>
          <w:tcPr>
            <w:tcW w:w="1809" w:type="dxa"/>
            <w:noWrap/>
            <w:hideMark/>
          </w:tcPr>
          <w:p w14:paraId="24057B7A" w14:textId="306CF890" w:rsidR="00693E9E" w:rsidRPr="00693E9E" w:rsidRDefault="00693E9E" w:rsidP="00693E9E">
            <w:pPr>
              <w:pStyle w:val="BodyTextIndent"/>
            </w:pPr>
            <w:r w:rsidRPr="00693E9E">
              <w:t>C#</w:t>
            </w:r>
          </w:p>
        </w:tc>
        <w:tc>
          <w:tcPr>
            <w:tcW w:w="1196" w:type="dxa"/>
            <w:noWrap/>
            <w:hideMark/>
          </w:tcPr>
          <w:p w14:paraId="015EB2BE" w14:textId="77777777" w:rsidR="00693E9E" w:rsidRPr="00693E9E" w:rsidRDefault="00693E9E" w:rsidP="00693E9E">
            <w:pPr>
              <w:pStyle w:val="BodyTextIndent"/>
            </w:pPr>
            <w:r w:rsidRPr="00693E9E">
              <w:t>2</w:t>
            </w:r>
          </w:p>
        </w:tc>
      </w:tr>
      <w:tr w:rsidR="00693E9E" w:rsidRPr="00693E9E" w14:paraId="5F07365A" w14:textId="77777777" w:rsidTr="009C5E93">
        <w:trPr>
          <w:trHeight w:val="280"/>
        </w:trPr>
        <w:tc>
          <w:tcPr>
            <w:tcW w:w="1809" w:type="dxa"/>
            <w:noWrap/>
            <w:hideMark/>
          </w:tcPr>
          <w:p w14:paraId="288351EE" w14:textId="77777777" w:rsidR="00693E9E" w:rsidRPr="00693E9E" w:rsidRDefault="00693E9E" w:rsidP="00693E9E">
            <w:pPr>
              <w:pStyle w:val="BodyTextIndent"/>
            </w:pPr>
            <w:r w:rsidRPr="00693E9E">
              <w:t>Photoshop</w:t>
            </w:r>
          </w:p>
        </w:tc>
        <w:tc>
          <w:tcPr>
            <w:tcW w:w="1196" w:type="dxa"/>
            <w:noWrap/>
            <w:hideMark/>
          </w:tcPr>
          <w:p w14:paraId="50EAE95B" w14:textId="77777777" w:rsidR="00693E9E" w:rsidRPr="00693E9E" w:rsidRDefault="00693E9E" w:rsidP="00693E9E">
            <w:pPr>
              <w:pStyle w:val="BodyTextIndent"/>
            </w:pPr>
            <w:r w:rsidRPr="00693E9E">
              <w:t>3</w:t>
            </w:r>
          </w:p>
        </w:tc>
      </w:tr>
      <w:tr w:rsidR="00693E9E" w:rsidRPr="00693E9E" w14:paraId="65103135" w14:textId="77777777" w:rsidTr="009C5E93">
        <w:trPr>
          <w:trHeight w:val="280"/>
        </w:trPr>
        <w:tc>
          <w:tcPr>
            <w:tcW w:w="1809" w:type="dxa"/>
            <w:noWrap/>
            <w:hideMark/>
          </w:tcPr>
          <w:p w14:paraId="1825E49D" w14:textId="66F78A19" w:rsidR="00693E9E" w:rsidRPr="00693E9E" w:rsidRDefault="00693E9E" w:rsidP="00693E9E">
            <w:pPr>
              <w:pStyle w:val="BodyTextIndent"/>
            </w:pPr>
            <w:r w:rsidRPr="00693E9E">
              <w:t>Other</w:t>
            </w:r>
          </w:p>
        </w:tc>
        <w:tc>
          <w:tcPr>
            <w:tcW w:w="1196" w:type="dxa"/>
            <w:noWrap/>
            <w:hideMark/>
          </w:tcPr>
          <w:p w14:paraId="00C01C74" w14:textId="77777777" w:rsidR="00693E9E" w:rsidRPr="00693E9E" w:rsidRDefault="00693E9E" w:rsidP="00693E9E">
            <w:pPr>
              <w:pStyle w:val="BodyTextIndent"/>
            </w:pPr>
            <w:r w:rsidRPr="00693E9E">
              <w:t>3</w:t>
            </w:r>
          </w:p>
        </w:tc>
      </w:tr>
    </w:tbl>
    <w:p w14:paraId="1963FFCE" w14:textId="77777777" w:rsidR="00877ABB" w:rsidRDefault="00877ABB" w:rsidP="005C01AB">
      <w:pPr>
        <w:pStyle w:val="BodyTextIndent"/>
        <w:spacing w:after="120"/>
        <w:ind w:firstLine="0"/>
      </w:pPr>
    </w:p>
    <w:p w14:paraId="5F7BDA19" w14:textId="7978F46E" w:rsidR="00E10D35" w:rsidRDefault="00E10D35" w:rsidP="005C01AB">
      <w:pPr>
        <w:pStyle w:val="BodyTextIndent"/>
        <w:spacing w:after="120"/>
        <w:ind w:firstLine="0"/>
      </w:pPr>
      <w:r>
        <w:t xml:space="preserve">Given the small numbers it is hard to draw any conclusions about the coding and design skills here other than to point out the preponderance of web skills, which also shows up in the types of hacks developed by the teams </w:t>
      </w:r>
      <w:r w:rsidR="00EE7FFC">
        <w:t xml:space="preserve">over the years </w:t>
      </w:r>
      <w:r w:rsidR="002C03B1">
        <w:t>[33</w:t>
      </w:r>
      <w:r>
        <w:t>].</w:t>
      </w:r>
      <w:r w:rsidR="005A7FE3">
        <w:t xml:space="preserve"> Beyond this we can speculate that web skills are an easy entry point for those wanting to learn to code, and that compiled languages are </w:t>
      </w:r>
      <w:r w:rsidR="00D44499">
        <w:t xml:space="preserve">probably </w:t>
      </w:r>
      <w:r w:rsidR="005A7FE3">
        <w:t xml:space="preserve">learned </w:t>
      </w:r>
      <w:r w:rsidR="00D44499">
        <w:t xml:space="preserve">in order </w:t>
      </w:r>
      <w:r w:rsidR="005A7FE3">
        <w:t>to do something specific like a</w:t>
      </w:r>
      <w:r w:rsidR="00D44499">
        <w:t xml:space="preserve"> Minecraft mod using Java, or to pursue a </w:t>
      </w:r>
      <w:r w:rsidR="005A7FE3">
        <w:t>game idea using the Unity game engine in C#.</w:t>
      </w:r>
      <w:r w:rsidR="00D44499">
        <w:t xml:space="preserve"> </w:t>
      </w:r>
    </w:p>
    <w:p w14:paraId="4378AF75" w14:textId="44CED7F0" w:rsidR="005C01AB" w:rsidRDefault="005C01AB" w:rsidP="005C01AB">
      <w:pPr>
        <w:pStyle w:val="BodyTextIndent"/>
        <w:spacing w:after="120"/>
        <w:ind w:firstLine="0"/>
      </w:pPr>
      <w:r>
        <w:t xml:space="preserve">These coding and design skills have developed </w:t>
      </w:r>
      <w:r w:rsidR="006417CD">
        <w:t>over time as seen in Table 5</w:t>
      </w:r>
      <w:r>
        <w:t>.</w:t>
      </w:r>
    </w:p>
    <w:p w14:paraId="0EF1E0F1" w14:textId="0321B799" w:rsidR="005C01AB" w:rsidRPr="005C01AB" w:rsidRDefault="002F55D5" w:rsidP="005C01AB">
      <w:pPr>
        <w:pStyle w:val="BodyTextIndent"/>
        <w:spacing w:after="120"/>
        <w:ind w:firstLine="0"/>
        <w:rPr>
          <w:b/>
        </w:rPr>
      </w:pPr>
      <w:r>
        <w:rPr>
          <w:b/>
        </w:rPr>
        <w:t>Tabl</w:t>
      </w:r>
      <w:r w:rsidR="006417CD">
        <w:rPr>
          <w:b/>
        </w:rPr>
        <w:t>e 5</w:t>
      </w:r>
      <w:r w:rsidR="005C01AB" w:rsidRPr="005C01AB">
        <w:rPr>
          <w:b/>
        </w:rPr>
        <w:t xml:space="preserve">. </w:t>
      </w:r>
      <w:r w:rsidR="00865202">
        <w:rPr>
          <w:b/>
        </w:rPr>
        <w:t>Time coding</w:t>
      </w:r>
      <w:r w:rsidR="005C01AB" w:rsidRPr="005C01AB">
        <w:rPr>
          <w:b/>
        </w:rPr>
        <w:t xml:space="preserve"> before atten</w:t>
      </w:r>
      <w:r w:rsidR="00A52635">
        <w:rPr>
          <w:b/>
        </w:rPr>
        <w:t>d</w:t>
      </w:r>
      <w:r w:rsidR="005C01AB" w:rsidRPr="005C01AB">
        <w:rPr>
          <w:b/>
        </w:rPr>
        <w:t>ing YRS</w:t>
      </w:r>
    </w:p>
    <w:tbl>
      <w:tblPr>
        <w:tblStyle w:val="TableGrid"/>
        <w:tblW w:w="0" w:type="auto"/>
        <w:tblInd w:w="79" w:type="dxa"/>
        <w:tblLayout w:type="fixed"/>
        <w:tblCellMar>
          <w:left w:w="0" w:type="dxa"/>
          <w:right w:w="0" w:type="dxa"/>
        </w:tblCellMar>
        <w:tblLook w:val="04A0" w:firstRow="1" w:lastRow="0" w:firstColumn="1" w:lastColumn="0" w:noHBand="0" w:noVBand="1"/>
      </w:tblPr>
      <w:tblGrid>
        <w:gridCol w:w="1526"/>
        <w:gridCol w:w="1456"/>
        <w:gridCol w:w="1258"/>
      </w:tblGrid>
      <w:tr w:rsidR="005C01AB" w:rsidRPr="005C01AB" w14:paraId="4F766B4D" w14:textId="77777777" w:rsidTr="00350EBA">
        <w:trPr>
          <w:trHeight w:val="280"/>
        </w:trPr>
        <w:tc>
          <w:tcPr>
            <w:tcW w:w="1526" w:type="dxa"/>
            <w:noWrap/>
          </w:tcPr>
          <w:p w14:paraId="053C0C04" w14:textId="0CFF50E7" w:rsidR="005C01AB" w:rsidRPr="005C01AB" w:rsidRDefault="005C01AB" w:rsidP="005C01AB">
            <w:pPr>
              <w:pStyle w:val="BodyTextIndent"/>
              <w:spacing w:after="120"/>
              <w:rPr>
                <w:b/>
              </w:rPr>
            </w:pPr>
            <w:r w:rsidRPr="005C01AB">
              <w:rPr>
                <w:b/>
              </w:rPr>
              <w:t>Time</w:t>
            </w:r>
          </w:p>
        </w:tc>
        <w:tc>
          <w:tcPr>
            <w:tcW w:w="1456" w:type="dxa"/>
          </w:tcPr>
          <w:p w14:paraId="3056AB99" w14:textId="0F77EF97" w:rsidR="005C01AB" w:rsidRPr="005C01AB" w:rsidRDefault="005C01AB" w:rsidP="00D0757D">
            <w:pPr>
              <w:pStyle w:val="BodyTextIndent"/>
              <w:spacing w:after="120"/>
              <w:ind w:firstLine="0"/>
              <w:jc w:val="center"/>
              <w:rPr>
                <w:b/>
              </w:rPr>
            </w:pPr>
            <w:r w:rsidRPr="005C01AB">
              <w:rPr>
                <w:b/>
              </w:rPr>
              <w:t xml:space="preserve">Parent’s </w:t>
            </w:r>
          </w:p>
        </w:tc>
        <w:tc>
          <w:tcPr>
            <w:tcW w:w="1258" w:type="dxa"/>
            <w:noWrap/>
          </w:tcPr>
          <w:p w14:paraId="6BA5B750" w14:textId="27063E9D" w:rsidR="005C01AB" w:rsidRPr="005C01AB" w:rsidRDefault="00616A40" w:rsidP="00A52635">
            <w:pPr>
              <w:pStyle w:val="BodyTextIndent"/>
              <w:spacing w:after="120"/>
              <w:ind w:firstLine="0"/>
              <w:jc w:val="center"/>
              <w:rPr>
                <w:b/>
              </w:rPr>
            </w:pPr>
            <w:r>
              <w:rPr>
                <w:b/>
              </w:rPr>
              <w:t>Children</w:t>
            </w:r>
          </w:p>
        </w:tc>
      </w:tr>
      <w:tr w:rsidR="00A52635" w:rsidRPr="005C01AB" w14:paraId="7D2795D9" w14:textId="77777777" w:rsidTr="00350EBA">
        <w:trPr>
          <w:trHeight w:val="280"/>
        </w:trPr>
        <w:tc>
          <w:tcPr>
            <w:tcW w:w="1526" w:type="dxa"/>
            <w:noWrap/>
            <w:hideMark/>
          </w:tcPr>
          <w:p w14:paraId="32F740EE" w14:textId="77777777" w:rsidR="00A52635" w:rsidRPr="005C01AB" w:rsidRDefault="00A52635" w:rsidP="005C01AB">
            <w:pPr>
              <w:pStyle w:val="BodyTextIndent"/>
              <w:spacing w:after="120"/>
            </w:pPr>
            <w:r w:rsidRPr="005C01AB">
              <w:t>1-6 months</w:t>
            </w:r>
          </w:p>
        </w:tc>
        <w:tc>
          <w:tcPr>
            <w:tcW w:w="1456" w:type="dxa"/>
            <w:vAlign w:val="bottom"/>
          </w:tcPr>
          <w:p w14:paraId="497C0B3A" w14:textId="66B94D60" w:rsidR="00A52635" w:rsidRPr="00A52635" w:rsidRDefault="00A52635" w:rsidP="00A52635">
            <w:pPr>
              <w:pStyle w:val="BodyTextIndent"/>
              <w:spacing w:after="120"/>
              <w:jc w:val="center"/>
              <w:rPr>
                <w:szCs w:val="18"/>
              </w:rPr>
            </w:pPr>
            <w:r w:rsidRPr="00A52635">
              <w:rPr>
                <w:szCs w:val="18"/>
              </w:rPr>
              <w:t>2</w:t>
            </w:r>
          </w:p>
        </w:tc>
        <w:tc>
          <w:tcPr>
            <w:tcW w:w="1258" w:type="dxa"/>
            <w:noWrap/>
            <w:hideMark/>
          </w:tcPr>
          <w:p w14:paraId="5282C0B4" w14:textId="0801D604" w:rsidR="00A52635" w:rsidRPr="005C01AB" w:rsidRDefault="00A52635" w:rsidP="00A52635">
            <w:pPr>
              <w:pStyle w:val="BodyTextIndent"/>
              <w:spacing w:after="120"/>
              <w:ind w:firstLine="0"/>
              <w:jc w:val="center"/>
            </w:pPr>
            <w:r w:rsidRPr="005C01AB">
              <w:t>2</w:t>
            </w:r>
          </w:p>
        </w:tc>
      </w:tr>
      <w:tr w:rsidR="00A52635" w:rsidRPr="005C01AB" w14:paraId="440C0ACC" w14:textId="77777777" w:rsidTr="00350EBA">
        <w:trPr>
          <w:trHeight w:val="280"/>
        </w:trPr>
        <w:tc>
          <w:tcPr>
            <w:tcW w:w="1526" w:type="dxa"/>
            <w:noWrap/>
            <w:hideMark/>
          </w:tcPr>
          <w:p w14:paraId="72ACAB94" w14:textId="77777777" w:rsidR="00A52635" w:rsidRPr="005C01AB" w:rsidRDefault="00A52635" w:rsidP="005C01AB">
            <w:pPr>
              <w:pStyle w:val="BodyTextIndent"/>
              <w:spacing w:after="120"/>
            </w:pPr>
            <w:r w:rsidRPr="005C01AB">
              <w:t>6-12 months</w:t>
            </w:r>
          </w:p>
        </w:tc>
        <w:tc>
          <w:tcPr>
            <w:tcW w:w="1456" w:type="dxa"/>
            <w:vAlign w:val="bottom"/>
          </w:tcPr>
          <w:p w14:paraId="22F67F4E" w14:textId="6DDA5555" w:rsidR="00A52635" w:rsidRPr="00A52635" w:rsidRDefault="00A52635" w:rsidP="00A52635">
            <w:pPr>
              <w:pStyle w:val="BodyTextIndent"/>
              <w:spacing w:after="120"/>
              <w:jc w:val="center"/>
              <w:rPr>
                <w:szCs w:val="18"/>
              </w:rPr>
            </w:pPr>
            <w:r w:rsidRPr="00A52635">
              <w:rPr>
                <w:szCs w:val="18"/>
              </w:rPr>
              <w:t>2</w:t>
            </w:r>
          </w:p>
        </w:tc>
        <w:tc>
          <w:tcPr>
            <w:tcW w:w="1258" w:type="dxa"/>
            <w:noWrap/>
            <w:hideMark/>
          </w:tcPr>
          <w:p w14:paraId="653F2F72" w14:textId="36C79D9E" w:rsidR="00A52635" w:rsidRPr="005C01AB" w:rsidRDefault="00A52635" w:rsidP="00A52635">
            <w:pPr>
              <w:pStyle w:val="BodyTextIndent"/>
              <w:spacing w:after="120"/>
              <w:ind w:firstLine="0"/>
              <w:jc w:val="center"/>
            </w:pPr>
            <w:r w:rsidRPr="005C01AB">
              <w:t>2</w:t>
            </w:r>
          </w:p>
        </w:tc>
      </w:tr>
      <w:tr w:rsidR="00A52635" w:rsidRPr="005C01AB" w14:paraId="6BBAC5FC" w14:textId="77777777" w:rsidTr="00350EBA">
        <w:trPr>
          <w:trHeight w:val="280"/>
        </w:trPr>
        <w:tc>
          <w:tcPr>
            <w:tcW w:w="1526" w:type="dxa"/>
            <w:noWrap/>
            <w:hideMark/>
          </w:tcPr>
          <w:p w14:paraId="1D06FA8B" w14:textId="6664FCF3" w:rsidR="00A52635" w:rsidRPr="005C01AB" w:rsidRDefault="00F8209F" w:rsidP="005C01AB">
            <w:pPr>
              <w:pStyle w:val="BodyTextIndent"/>
              <w:spacing w:after="120"/>
            </w:pPr>
            <w:r>
              <w:lastRenderedPageBreak/>
              <w:t>O</w:t>
            </w:r>
            <w:r w:rsidR="00A52635" w:rsidRPr="005C01AB">
              <w:t>ver a year</w:t>
            </w:r>
          </w:p>
        </w:tc>
        <w:tc>
          <w:tcPr>
            <w:tcW w:w="1456" w:type="dxa"/>
            <w:vAlign w:val="bottom"/>
          </w:tcPr>
          <w:p w14:paraId="46425A7A" w14:textId="6C088893" w:rsidR="00A52635" w:rsidRPr="00A52635" w:rsidRDefault="00A52635" w:rsidP="00A52635">
            <w:pPr>
              <w:pStyle w:val="BodyTextIndent"/>
              <w:spacing w:after="120"/>
              <w:jc w:val="center"/>
              <w:rPr>
                <w:szCs w:val="18"/>
              </w:rPr>
            </w:pPr>
            <w:r w:rsidRPr="00A52635">
              <w:rPr>
                <w:szCs w:val="18"/>
              </w:rPr>
              <w:t>1</w:t>
            </w:r>
          </w:p>
        </w:tc>
        <w:tc>
          <w:tcPr>
            <w:tcW w:w="1258" w:type="dxa"/>
            <w:noWrap/>
            <w:hideMark/>
          </w:tcPr>
          <w:p w14:paraId="2FC67672" w14:textId="657EA30F" w:rsidR="00A52635" w:rsidRPr="005C01AB" w:rsidRDefault="00A52635" w:rsidP="00A52635">
            <w:pPr>
              <w:pStyle w:val="BodyTextIndent"/>
              <w:spacing w:after="120"/>
              <w:ind w:firstLine="0"/>
              <w:jc w:val="center"/>
            </w:pPr>
            <w:r w:rsidRPr="005C01AB">
              <w:t>2</w:t>
            </w:r>
          </w:p>
        </w:tc>
      </w:tr>
      <w:tr w:rsidR="00A52635" w:rsidRPr="005C01AB" w14:paraId="59D98225" w14:textId="77777777" w:rsidTr="00350EBA">
        <w:trPr>
          <w:trHeight w:val="280"/>
        </w:trPr>
        <w:tc>
          <w:tcPr>
            <w:tcW w:w="1526" w:type="dxa"/>
            <w:noWrap/>
            <w:hideMark/>
          </w:tcPr>
          <w:p w14:paraId="774A34D4" w14:textId="479AD013" w:rsidR="00A52635" w:rsidRPr="005C01AB" w:rsidRDefault="00F8209F" w:rsidP="005C01AB">
            <w:pPr>
              <w:pStyle w:val="BodyTextIndent"/>
              <w:spacing w:after="120"/>
            </w:pPr>
            <w:r>
              <w:t>O</w:t>
            </w:r>
            <w:r w:rsidR="00A52635" w:rsidRPr="005C01AB">
              <w:t>ver 2 years</w:t>
            </w:r>
          </w:p>
        </w:tc>
        <w:tc>
          <w:tcPr>
            <w:tcW w:w="1456" w:type="dxa"/>
            <w:vAlign w:val="bottom"/>
          </w:tcPr>
          <w:p w14:paraId="63CA7A1B" w14:textId="1E6C626B" w:rsidR="00A52635" w:rsidRPr="00A52635" w:rsidRDefault="00A52635" w:rsidP="00A52635">
            <w:pPr>
              <w:pStyle w:val="BodyTextIndent"/>
              <w:spacing w:after="120"/>
              <w:jc w:val="center"/>
              <w:rPr>
                <w:szCs w:val="18"/>
              </w:rPr>
            </w:pPr>
            <w:r w:rsidRPr="00A52635">
              <w:rPr>
                <w:szCs w:val="18"/>
              </w:rPr>
              <w:t>4</w:t>
            </w:r>
          </w:p>
        </w:tc>
        <w:tc>
          <w:tcPr>
            <w:tcW w:w="1258" w:type="dxa"/>
            <w:noWrap/>
            <w:hideMark/>
          </w:tcPr>
          <w:p w14:paraId="74D99296" w14:textId="7A95E6F7" w:rsidR="00A52635" w:rsidRPr="005C01AB" w:rsidRDefault="00A52635" w:rsidP="00A52635">
            <w:pPr>
              <w:pStyle w:val="BodyTextIndent"/>
              <w:spacing w:after="120"/>
              <w:ind w:firstLine="0"/>
              <w:jc w:val="center"/>
            </w:pPr>
            <w:r w:rsidRPr="005C01AB">
              <w:t>0</w:t>
            </w:r>
          </w:p>
        </w:tc>
      </w:tr>
      <w:tr w:rsidR="00A52635" w:rsidRPr="005C01AB" w14:paraId="3BF1A613" w14:textId="77777777" w:rsidTr="00350EBA">
        <w:trPr>
          <w:trHeight w:val="280"/>
        </w:trPr>
        <w:tc>
          <w:tcPr>
            <w:tcW w:w="1526" w:type="dxa"/>
            <w:noWrap/>
            <w:hideMark/>
          </w:tcPr>
          <w:p w14:paraId="0862B6D0" w14:textId="77777777" w:rsidR="00A52635" w:rsidRPr="005C01AB" w:rsidRDefault="00A52635" w:rsidP="005C01AB">
            <w:pPr>
              <w:pStyle w:val="BodyTextIndent"/>
              <w:spacing w:after="120"/>
            </w:pPr>
            <w:r w:rsidRPr="005C01AB">
              <w:t>Longer</w:t>
            </w:r>
          </w:p>
        </w:tc>
        <w:tc>
          <w:tcPr>
            <w:tcW w:w="1456" w:type="dxa"/>
            <w:vAlign w:val="bottom"/>
          </w:tcPr>
          <w:p w14:paraId="4E7AEB2A" w14:textId="3F0875D1" w:rsidR="00A52635" w:rsidRPr="00A52635" w:rsidRDefault="00A52635" w:rsidP="00A52635">
            <w:pPr>
              <w:pStyle w:val="BodyTextIndent"/>
              <w:spacing w:after="120"/>
              <w:jc w:val="center"/>
              <w:rPr>
                <w:szCs w:val="18"/>
              </w:rPr>
            </w:pPr>
            <w:r w:rsidRPr="00A52635">
              <w:rPr>
                <w:szCs w:val="18"/>
              </w:rPr>
              <w:t>2</w:t>
            </w:r>
          </w:p>
        </w:tc>
        <w:tc>
          <w:tcPr>
            <w:tcW w:w="1258" w:type="dxa"/>
            <w:noWrap/>
            <w:hideMark/>
          </w:tcPr>
          <w:p w14:paraId="4E0BF638" w14:textId="69BB38B2" w:rsidR="00A52635" w:rsidRPr="005C01AB" w:rsidRDefault="00A52635" w:rsidP="00A52635">
            <w:pPr>
              <w:pStyle w:val="BodyTextIndent"/>
              <w:spacing w:after="120"/>
              <w:ind w:firstLine="0"/>
              <w:jc w:val="center"/>
            </w:pPr>
            <w:r w:rsidRPr="005C01AB">
              <w:t>2</w:t>
            </w:r>
          </w:p>
        </w:tc>
      </w:tr>
    </w:tbl>
    <w:p w14:paraId="4C7F7395" w14:textId="77777777" w:rsidR="005C01AB" w:rsidRDefault="005C01AB" w:rsidP="005C01AB">
      <w:pPr>
        <w:pStyle w:val="BodyTextIndent"/>
        <w:spacing w:after="120"/>
        <w:ind w:firstLine="0"/>
      </w:pPr>
    </w:p>
    <w:p w14:paraId="273A81C4" w14:textId="5F16C876" w:rsidR="005C01AB" w:rsidRDefault="00F8209F" w:rsidP="005C01AB">
      <w:pPr>
        <w:pStyle w:val="BodyTextIndent"/>
        <w:spacing w:after="120"/>
        <w:ind w:firstLine="0"/>
      </w:pPr>
      <w:r>
        <w:t xml:space="preserve">More than half of the </w:t>
      </w:r>
      <w:r w:rsidR="00616A40">
        <w:t>children</w:t>
      </w:r>
      <w:r>
        <w:t xml:space="preserve"> had been coding for more than a year before attending YRS and some for over two years. This implies </w:t>
      </w:r>
      <w:r w:rsidR="00C65523">
        <w:t xml:space="preserve">that the participating </w:t>
      </w:r>
      <w:r w:rsidR="00616A40">
        <w:t>children</w:t>
      </w:r>
      <w:r w:rsidR="00C65523">
        <w:t xml:space="preserve"> find coding</w:t>
      </w:r>
      <w:r>
        <w:t xml:space="preserve"> something more than a passing interest.</w:t>
      </w:r>
      <w:r w:rsidR="00AA32D5">
        <w:t xml:space="preserve"> </w:t>
      </w:r>
    </w:p>
    <w:p w14:paraId="5D8BC1B3" w14:textId="440FFF99" w:rsidR="00726705" w:rsidRDefault="002F55D5" w:rsidP="005C01AB">
      <w:pPr>
        <w:pStyle w:val="BodyTextIndent"/>
        <w:spacing w:after="120"/>
        <w:ind w:firstLine="0"/>
      </w:pPr>
      <w:r>
        <w:t xml:space="preserve">Correlating age of the child with how long they were programming before starting with YRS shows that 8 of 19 </w:t>
      </w:r>
      <w:r w:rsidR="002C4615">
        <w:t xml:space="preserve">children, who coded for </w:t>
      </w:r>
      <w:r>
        <w:t>two years</w:t>
      </w:r>
      <w:r w:rsidR="002C4615">
        <w:t xml:space="preserve"> or longer</w:t>
      </w:r>
      <w:r>
        <w:t xml:space="preserve"> were born </w:t>
      </w:r>
      <w:r w:rsidR="002C4615">
        <w:t>between 1996 and 2000.  This means there are a growing number of children, who are starting to code when they are</w:t>
      </w:r>
      <w:r w:rsidR="00CD3F38">
        <w:t xml:space="preserve"> aged</w:t>
      </w:r>
      <w:r w:rsidR="002C4615">
        <w:t xml:space="preserve"> around ten, which is usually well before they start any formal computing science in school. </w:t>
      </w:r>
      <w:r w:rsidR="00E178DA">
        <w:t>This is something</w:t>
      </w:r>
      <w:r w:rsidR="00CA22AF">
        <w:t>,</w:t>
      </w:r>
      <w:r w:rsidR="00E178DA">
        <w:t xml:space="preserve"> which needs to be explored further with a larger sample.</w:t>
      </w:r>
      <w:r w:rsidR="00851707">
        <w:t xml:space="preserve"> </w:t>
      </w:r>
    </w:p>
    <w:p w14:paraId="7C5687CA" w14:textId="2DBC9656" w:rsidR="000E6720" w:rsidRDefault="0088029B" w:rsidP="005C01AB">
      <w:pPr>
        <w:pStyle w:val="BodyTextIndent"/>
        <w:spacing w:after="120"/>
        <w:ind w:firstLine="0"/>
      </w:pPr>
      <w:r>
        <w:t>The open-</w:t>
      </w:r>
      <w:r w:rsidR="000E6720">
        <w:t>ended questions provided more insight into what the attendees gained from the event.</w:t>
      </w:r>
    </w:p>
    <w:p w14:paraId="515C0A5A" w14:textId="415E2ECF" w:rsidR="002C3EDE" w:rsidRDefault="00146B9A" w:rsidP="005C01AB">
      <w:pPr>
        <w:pStyle w:val="BodyTextIndent"/>
        <w:spacing w:after="120"/>
        <w:ind w:firstLine="0"/>
      </w:pPr>
      <w:r>
        <w:t xml:space="preserve">The </w:t>
      </w:r>
      <w:r w:rsidR="00616A40">
        <w:t>children</w:t>
      </w:r>
      <w:r>
        <w:t xml:space="preserve"> thought the best thing about YRS was: </w:t>
      </w:r>
      <w:r w:rsidR="002C3EDE">
        <w:t xml:space="preserve">Collaborating on a project for a week, where you get to meet like-minded people and make new friends and develop their interest. </w:t>
      </w:r>
    </w:p>
    <w:p w14:paraId="63B1A892" w14:textId="53061202" w:rsidR="00146B9A" w:rsidRDefault="002C3EDE" w:rsidP="005C01AB">
      <w:pPr>
        <w:pStyle w:val="BodyTextIndent"/>
        <w:spacing w:after="120"/>
        <w:ind w:firstLine="0"/>
      </w:pPr>
      <w:r>
        <w:t>The parents saw similar benefits: This was a free chance for them to help support their child’s interest with knowledgeable mentors in a way that would boost their social circle, and also build their self-confidence.</w:t>
      </w:r>
    </w:p>
    <w:p w14:paraId="07994E4A" w14:textId="0CE14B12" w:rsidR="002C3EDE" w:rsidRDefault="002C3EDE" w:rsidP="005C01AB">
      <w:pPr>
        <w:pStyle w:val="BodyTextIndent"/>
        <w:spacing w:after="120"/>
        <w:ind w:firstLine="0"/>
      </w:pPr>
      <w:r>
        <w:t xml:space="preserve">The problems the </w:t>
      </w:r>
      <w:r w:rsidR="00616A40">
        <w:t>children</w:t>
      </w:r>
      <w:r w:rsidR="008505EF">
        <w:t xml:space="preserve"> saw included</w:t>
      </w:r>
      <w:r>
        <w:t xml:space="preserve"> the judging </w:t>
      </w:r>
      <w:r w:rsidR="008505EF">
        <w:t>be</w:t>
      </w:r>
      <w:r>
        <w:t xml:space="preserve"> only partially </w:t>
      </w:r>
      <w:r w:rsidR="008505EF">
        <w:t xml:space="preserve">based </w:t>
      </w:r>
      <w:r>
        <w:t>on the technical ability</w:t>
      </w:r>
      <w:r w:rsidR="008505EF">
        <w:t>;</w:t>
      </w:r>
      <w:r>
        <w:t xml:space="preserve"> the groups </w:t>
      </w:r>
      <w:r w:rsidR="008505EF">
        <w:t>becoming</w:t>
      </w:r>
      <w:r>
        <w:t xml:space="preserve"> too big so each person contributed less, that the</w:t>
      </w:r>
      <w:r w:rsidR="008505EF">
        <w:t xml:space="preserve"> weekend might be too far away, </w:t>
      </w:r>
      <w:r>
        <w:t xml:space="preserve">when you did arrive, the vegetarian pizza might be all gone, and depending upon the venue, the wifi and sleeping arrangements for the weekend might be a problem. </w:t>
      </w:r>
    </w:p>
    <w:p w14:paraId="5873EED9" w14:textId="1D4350B1" w:rsidR="002C3EDE" w:rsidRDefault="002C3EDE" w:rsidP="005C01AB">
      <w:pPr>
        <w:pStyle w:val="BodyTextIndent"/>
        <w:spacing w:after="120"/>
        <w:ind w:firstLine="0"/>
      </w:pPr>
      <w:r>
        <w:t>The parents saw sim</w:t>
      </w:r>
      <w:r w:rsidR="000A5FC6">
        <w:t>ilar problems too</w:t>
      </w:r>
      <w:r w:rsidR="005F4D24">
        <w:t xml:space="preserve">. For parents the issues </w:t>
      </w:r>
      <w:r w:rsidR="008505EF">
        <w:t>revolve</w:t>
      </w:r>
      <w:r w:rsidR="005F4D24">
        <w:t xml:space="preserve"> around how they can support their children. The first</w:t>
      </w:r>
      <w:r w:rsidR="000A5FC6">
        <w:t xml:space="preserve"> issue might be what to do while their child is at YRS during the week and it is too far to head home. Then comes the consideration of whether the</w:t>
      </w:r>
      <w:r>
        <w:t xml:space="preserve"> weekend part </w:t>
      </w:r>
      <w:r w:rsidR="000A5FC6">
        <w:t>is</w:t>
      </w:r>
      <w:r>
        <w:t xml:space="preserve"> too far away</w:t>
      </w:r>
      <w:r w:rsidR="000A5FC6">
        <w:t xml:space="preserve">. The parents also find </w:t>
      </w:r>
      <w:r>
        <w:t xml:space="preserve">the </w:t>
      </w:r>
      <w:r w:rsidR="00BC45BB">
        <w:t>judging unclear</w:t>
      </w:r>
      <w:r w:rsidR="000A5FC6">
        <w:t>, and mostly wish</w:t>
      </w:r>
      <w:r w:rsidR="00BC45BB">
        <w:t xml:space="preserve"> they had heard about it two years sooner.</w:t>
      </w:r>
      <w:r w:rsidR="005F4D24">
        <w:t xml:space="preserve"> </w:t>
      </w:r>
    </w:p>
    <w:p w14:paraId="27052F94" w14:textId="2BE5B650" w:rsidR="003333D1" w:rsidRDefault="00082224" w:rsidP="005C01AB">
      <w:pPr>
        <w:pStyle w:val="BodyTextIndent"/>
        <w:spacing w:after="120"/>
        <w:ind w:firstLine="0"/>
      </w:pPr>
      <w:r>
        <w:t>The</w:t>
      </w:r>
      <w:r w:rsidR="003233AA">
        <w:t xml:space="preserve"> </w:t>
      </w:r>
      <w:r w:rsidR="003333D1">
        <w:t xml:space="preserve">YRS Festival of Code is not perfect, and everyone would change something if they could. The </w:t>
      </w:r>
      <w:r w:rsidR="00616A40">
        <w:t>children</w:t>
      </w:r>
      <w:r w:rsidR="003333D1">
        <w:t xml:space="preserve"> would change things this way: change the weekend location and increase publicity so more </w:t>
      </w:r>
      <w:r w:rsidR="00616A40">
        <w:t>children</w:t>
      </w:r>
      <w:r w:rsidR="008505EF">
        <w:t xml:space="preserve"> attend;</w:t>
      </w:r>
      <w:r w:rsidR="003333D1">
        <w:t xml:space="preserve"> make it</w:t>
      </w:r>
      <w:r w:rsidR="008505EF">
        <w:t xml:space="preserve"> more frequent than once a year;</w:t>
      </w:r>
      <w:r w:rsidR="003333D1">
        <w:t xml:space="preserve"> add</w:t>
      </w:r>
      <w:r w:rsidR="00754FB5">
        <w:t xml:space="preserve"> workshops to the weekend event;</w:t>
      </w:r>
      <w:r w:rsidR="003333D1">
        <w:t xml:space="preserve"> enforce the </w:t>
      </w:r>
      <w:r w:rsidR="00824FAD">
        <w:t xml:space="preserve">competition </w:t>
      </w:r>
      <w:r w:rsidR="003333D1">
        <w:t xml:space="preserve">rules </w:t>
      </w:r>
      <w:r w:rsidR="00754FB5">
        <w:t>more strictly; also allow</w:t>
      </w:r>
      <w:r w:rsidR="003333D1">
        <w:t xml:space="preserve"> those over 18 to attend. </w:t>
      </w:r>
    </w:p>
    <w:p w14:paraId="2DF2B657" w14:textId="0A31DBED" w:rsidR="003B2D51" w:rsidRDefault="003B2D51" w:rsidP="005C01AB">
      <w:pPr>
        <w:pStyle w:val="BodyTextIndent"/>
        <w:spacing w:after="120"/>
        <w:ind w:firstLine="0"/>
      </w:pPr>
      <w:r>
        <w:t xml:space="preserve">The parents would like to see </w:t>
      </w:r>
      <w:r w:rsidR="003076FD">
        <w:t xml:space="preserve">a central weekend location and </w:t>
      </w:r>
      <w:r>
        <w:t>clear</w:t>
      </w:r>
      <w:r w:rsidR="00824FAD">
        <w:t>er</w:t>
      </w:r>
      <w:r>
        <w:t xml:space="preserve"> c</w:t>
      </w:r>
      <w:r w:rsidR="003076FD">
        <w:t>ompetition and judging criteria</w:t>
      </w:r>
      <w:r>
        <w:t xml:space="preserve"> </w:t>
      </w:r>
      <w:r w:rsidR="003076FD">
        <w:t>while adding events and activities for those not presenting, or perhaps remove the competition aspects as not all children care about that aspect. Other parents would like to enable</w:t>
      </w:r>
      <w:r>
        <w:t xml:space="preserve"> more robotic kits and other hardware</w:t>
      </w:r>
      <w:r w:rsidR="003076FD">
        <w:t xml:space="preserve"> for the children to use</w:t>
      </w:r>
      <w:r>
        <w:t>, and to</w:t>
      </w:r>
      <w:r w:rsidR="00824FAD">
        <w:t xml:space="preserve"> have people</w:t>
      </w:r>
      <w:r>
        <w:t xml:space="preserve"> register for food to reduce the</w:t>
      </w:r>
      <w:r w:rsidR="003076FD">
        <w:t xml:space="preserve"> wastage at the event</w:t>
      </w:r>
      <w:r w:rsidR="00526E12">
        <w:t>.</w:t>
      </w:r>
    </w:p>
    <w:p w14:paraId="7C9DD2E2" w14:textId="5BE6C659" w:rsidR="00B96CEB" w:rsidRDefault="002C03B1" w:rsidP="0078150D">
      <w:pPr>
        <w:pStyle w:val="BodyTextIndent"/>
        <w:spacing w:after="120"/>
        <w:ind w:firstLine="0"/>
      </w:pPr>
      <w:r>
        <w:t>So far we ha</w:t>
      </w:r>
      <w:r w:rsidR="00A14204">
        <w:t xml:space="preserve">ve explored basic expectations of </w:t>
      </w:r>
      <w:r w:rsidR="00616A40">
        <w:t>children</w:t>
      </w:r>
      <w:r w:rsidR="00A14204">
        <w:t xml:space="preserve"> and parents about events. However, we also wanted to know about what happened next. </w:t>
      </w:r>
      <w:r w:rsidR="003233AA">
        <w:t>“</w:t>
      </w:r>
      <w:r w:rsidR="00A14204" w:rsidRPr="00A14204">
        <w:rPr>
          <w:lang w:val="en-GB"/>
        </w:rPr>
        <w:t xml:space="preserve">What did you feel </w:t>
      </w:r>
      <w:r w:rsidR="00A14204">
        <w:rPr>
          <w:lang w:val="en-GB"/>
        </w:rPr>
        <w:t>you learnt by attending the Festival of Code</w:t>
      </w:r>
      <w:r w:rsidR="00A14204">
        <w:t>?</w:t>
      </w:r>
      <w:r w:rsidR="003233AA">
        <w:t>”</w:t>
      </w:r>
      <w:r w:rsidR="00A14204">
        <w:t xml:space="preserve"> The </w:t>
      </w:r>
      <w:r w:rsidR="00616A40">
        <w:t>children</w:t>
      </w:r>
      <w:r w:rsidR="00A14204">
        <w:t xml:space="preserve"> felt they learned </w:t>
      </w:r>
      <w:r w:rsidR="0078150D">
        <w:t xml:space="preserve">a variety of direct computing things as well as transferable skills. They gained </w:t>
      </w:r>
      <w:r w:rsidR="00A14204">
        <w:t>new technical skills and gained some insigh</w:t>
      </w:r>
      <w:r w:rsidR="00487704">
        <w:t xml:space="preserve">t into career options, </w:t>
      </w:r>
      <w:r w:rsidR="0078150D">
        <w:t xml:space="preserve">and found ways to get involved with various companies. Some </w:t>
      </w:r>
      <w:r w:rsidR="00EE4BF3">
        <w:t xml:space="preserve">express </w:t>
      </w:r>
      <w:r w:rsidR="0078150D">
        <w:t>regret at not finding out about YRS sooner, because they found there are a lot of young coders out there.</w:t>
      </w:r>
      <w:r w:rsidR="00B96CEB">
        <w:t xml:space="preserve"> Some pushed their skills further by teaching and mentoring others in programming</w:t>
      </w:r>
    </w:p>
    <w:p w14:paraId="21856C87" w14:textId="126F53EE" w:rsidR="003E7628" w:rsidRDefault="001F7888" w:rsidP="0078150D">
      <w:pPr>
        <w:pStyle w:val="BodyTextIndent"/>
        <w:spacing w:after="120"/>
        <w:ind w:firstLine="0"/>
      </w:pPr>
      <w:r>
        <w:t>Under transferable skills the children</w:t>
      </w:r>
      <w:r w:rsidR="0078150D">
        <w:t xml:space="preserve"> gained </w:t>
      </w:r>
      <w:r w:rsidR="00487704">
        <w:t>presenta</w:t>
      </w:r>
      <w:r w:rsidR="00A14204">
        <w:t>tion skills</w:t>
      </w:r>
      <w:r w:rsidR="00487704">
        <w:t xml:space="preserve">, </w:t>
      </w:r>
      <w:r w:rsidR="00A14204">
        <w:t>an</w:t>
      </w:r>
      <w:r w:rsidR="00B96CEB">
        <w:t xml:space="preserve">d </w:t>
      </w:r>
      <w:r w:rsidR="00607F54">
        <w:t>teamwork</w:t>
      </w:r>
      <w:r w:rsidR="00B96CEB">
        <w:t xml:space="preserve"> and time management.</w:t>
      </w:r>
      <w:r w:rsidR="00A14204">
        <w:t xml:space="preserve"> </w:t>
      </w:r>
      <w:r w:rsidR="002F378A">
        <w:t>Others found that they are now better at working with others and have used this to help them with their school studies, and used this</w:t>
      </w:r>
      <w:r w:rsidR="00DE68AC">
        <w:t xml:space="preserve"> experience</w:t>
      </w:r>
      <w:r w:rsidR="002F378A">
        <w:t xml:space="preserve"> in their personal state</w:t>
      </w:r>
      <w:r w:rsidR="00B96CEB">
        <w:t>ments for university admissions</w:t>
      </w:r>
      <w:r w:rsidR="002F378A">
        <w:t>.</w:t>
      </w:r>
    </w:p>
    <w:p w14:paraId="2AD547F0" w14:textId="6451C2E9" w:rsidR="00487704" w:rsidRDefault="00487704" w:rsidP="005C01AB">
      <w:pPr>
        <w:pStyle w:val="BodyTextIndent"/>
        <w:spacing w:after="120"/>
        <w:ind w:firstLine="0"/>
      </w:pPr>
      <w:r>
        <w:t xml:space="preserve">And what happened next? Where did </w:t>
      </w:r>
      <w:r w:rsidR="00984599">
        <w:t>YRS participants</w:t>
      </w:r>
      <w:r>
        <w:t xml:space="preserve"> take this experience? The </w:t>
      </w:r>
      <w:r w:rsidR="00616A40">
        <w:t>children</w:t>
      </w:r>
      <w:r>
        <w:t xml:space="preserve"> said that they</w:t>
      </w:r>
      <w:r w:rsidR="001F7888">
        <w:t xml:space="preserve"> are doing many things. Some give back to the community by taking part in more hackathons, </w:t>
      </w:r>
      <w:r>
        <w:t>helping local code clubs</w:t>
      </w:r>
      <w:r w:rsidR="001F7888">
        <w:t xml:space="preserve">, and contributing to open source projects. Others continue learning by </w:t>
      </w:r>
      <w:r>
        <w:t xml:space="preserve">studying computing at higher levels in schools, </w:t>
      </w:r>
      <w:r w:rsidR="001F7888">
        <w:t>or</w:t>
      </w:r>
      <w:r>
        <w:t xml:space="preserve"> computing science/elect</w:t>
      </w:r>
      <w:r w:rsidR="001F7888">
        <w:t xml:space="preserve">rical engineering at university. Others have gone on to entrepreneurship and </w:t>
      </w:r>
      <w:r>
        <w:t xml:space="preserve">released an app with a friend, </w:t>
      </w:r>
      <w:r w:rsidR="00861BD3">
        <w:t>another is a</w:t>
      </w:r>
      <w:r>
        <w:t xml:space="preserve"> freelance software engineer, </w:t>
      </w:r>
      <w:r w:rsidR="00861BD3">
        <w:t xml:space="preserve">and some work for startups. Others moved into the corporate world and </w:t>
      </w:r>
      <w:r w:rsidR="001F7888">
        <w:t xml:space="preserve">participated in a company internship, </w:t>
      </w:r>
      <w:r w:rsidR="00861BD3">
        <w:t>or, work</w:t>
      </w:r>
      <w:r>
        <w:t xml:space="preserve"> for an ISP, and </w:t>
      </w:r>
      <w:r w:rsidR="00861BD3">
        <w:t xml:space="preserve">some work </w:t>
      </w:r>
      <w:r>
        <w:t>other organisations.</w:t>
      </w:r>
    </w:p>
    <w:p w14:paraId="24037D17" w14:textId="11DD093B" w:rsidR="00487704" w:rsidRDefault="00487704" w:rsidP="005C01AB">
      <w:pPr>
        <w:pStyle w:val="BodyTextIndent"/>
        <w:spacing w:after="120"/>
        <w:ind w:firstLine="0"/>
      </w:pPr>
      <w:r>
        <w:t xml:space="preserve">The parents said that their </w:t>
      </w:r>
      <w:r w:rsidR="00616A40">
        <w:t>children</w:t>
      </w:r>
      <w:r w:rsidR="00270C81">
        <w:t xml:space="preserve"> have changed. Their children have</w:t>
      </w:r>
      <w:r>
        <w:t xml:space="preserve"> grown in confidence</w:t>
      </w:r>
      <w:r w:rsidR="00270C81">
        <w:t xml:space="preserve"> and</w:t>
      </w:r>
      <w:r>
        <w:t xml:space="preserve"> started moving into hacking t</w:t>
      </w:r>
      <w:r w:rsidR="00270C81">
        <w:t>hings with coding skills, and are</w:t>
      </w:r>
      <w:r>
        <w:t xml:space="preserve"> keen to learn</w:t>
      </w:r>
      <w:r w:rsidR="00270C81">
        <w:t xml:space="preserve"> more. Some children have</w:t>
      </w:r>
      <w:r w:rsidR="002F378A">
        <w:t xml:space="preserve"> continued their YRS project further, and now </w:t>
      </w:r>
      <w:r w:rsidR="00270C81">
        <w:t>think in terms</w:t>
      </w:r>
      <w:r>
        <w:t xml:space="preserve"> of ‘projects’, </w:t>
      </w:r>
      <w:r w:rsidR="00270C81">
        <w:t>and continue going to other coding events. O</w:t>
      </w:r>
      <w:r>
        <w:t>ne parent has started</w:t>
      </w:r>
      <w:r w:rsidR="00270C81">
        <w:t xml:space="preserve"> a</w:t>
      </w:r>
      <w:r w:rsidR="004974D6">
        <w:t>n</w:t>
      </w:r>
      <w:r w:rsidR="00270C81">
        <w:t xml:space="preserve"> YRS hyperlocal centre so that children in their area can attend YRS events more</w:t>
      </w:r>
      <w:r w:rsidR="002F378A">
        <w:t xml:space="preserve"> frequently.</w:t>
      </w:r>
    </w:p>
    <w:p w14:paraId="4362DBB9" w14:textId="7624515B" w:rsidR="00984599" w:rsidRDefault="00150BC3" w:rsidP="005C01AB">
      <w:pPr>
        <w:pStyle w:val="BodyTextIndent"/>
        <w:spacing w:after="120"/>
        <w:ind w:firstLine="0"/>
      </w:pPr>
      <w:r>
        <w:t xml:space="preserve">The </w:t>
      </w:r>
      <w:r w:rsidR="00595007">
        <w:t>final</w:t>
      </w:r>
      <w:r>
        <w:t xml:space="preserve"> question was aimed at finding out what else there is of the YRS experience that we might have overlooked. We asked the </w:t>
      </w:r>
      <w:r w:rsidR="00616A40">
        <w:t>children</w:t>
      </w:r>
      <w:r>
        <w:t xml:space="preserve"> to complete the sentence “Attending the Festival of Code was like…” Here are the answers of those who completed the question: </w:t>
      </w:r>
    </w:p>
    <w:p w14:paraId="6F06498B" w14:textId="77777777" w:rsidR="00984599" w:rsidRDefault="00150BC3" w:rsidP="005C01AB">
      <w:pPr>
        <w:pStyle w:val="BodyTextIndent"/>
        <w:spacing w:after="120"/>
        <w:ind w:firstLine="0"/>
      </w:pPr>
      <w:r>
        <w:t>“Attending the Festiva</w:t>
      </w:r>
      <w:r w:rsidR="00984599">
        <w:t>l of Code was like… an escape.”</w:t>
      </w:r>
    </w:p>
    <w:p w14:paraId="3E4E8CC9" w14:textId="77777777" w:rsidR="00984599" w:rsidRDefault="00150BC3" w:rsidP="005C01AB">
      <w:pPr>
        <w:pStyle w:val="BodyTextIndent"/>
        <w:spacing w:after="120"/>
        <w:ind w:firstLine="0"/>
      </w:pPr>
      <w:r>
        <w:t xml:space="preserve">“Attending the Festival of Code was like… </w:t>
      </w:r>
      <w:r w:rsidRPr="00150BC3">
        <w:rPr>
          <w:lang w:val="en-GB"/>
        </w:rPr>
        <w:t>An insight into the world of coding and hackathons which made me want to learn more.</w:t>
      </w:r>
      <w:r>
        <w:t xml:space="preserve">” </w:t>
      </w:r>
    </w:p>
    <w:p w14:paraId="609A3D2B" w14:textId="77777777" w:rsidR="002C03B1" w:rsidRDefault="00150BC3" w:rsidP="002C03B1">
      <w:pPr>
        <w:pStyle w:val="BodyTextIndent"/>
        <w:spacing w:after="120"/>
        <w:ind w:firstLine="0"/>
      </w:pPr>
      <w:r>
        <w:t xml:space="preserve">“Attending the Festival of Code was like… </w:t>
      </w:r>
      <w:r w:rsidRPr="00150BC3">
        <w:rPr>
          <w:lang w:val="en-GB"/>
        </w:rPr>
        <w:t>a chance to be myself and find people who understand my interests.</w:t>
      </w:r>
      <w:r>
        <w:t xml:space="preserve">” </w:t>
      </w:r>
    </w:p>
    <w:p w14:paraId="02AF37AE" w14:textId="18297570" w:rsidR="00984599" w:rsidRDefault="00003B3A" w:rsidP="002C03B1">
      <w:pPr>
        <w:pStyle w:val="BodyTextIndent"/>
        <w:spacing w:after="120"/>
        <w:ind w:firstLine="0"/>
      </w:pPr>
      <w:r>
        <w:t xml:space="preserve">“Attending the Festival of Code was like… </w:t>
      </w:r>
      <w:r w:rsidR="0015078B">
        <w:t>b</w:t>
      </w:r>
      <w:r w:rsidR="0015078B" w:rsidRPr="0015078B">
        <w:t>ecoming part of a mad hyperactive family of awesome people</w:t>
      </w:r>
      <w:r w:rsidRPr="00150BC3">
        <w:rPr>
          <w:lang w:val="en-GB"/>
        </w:rPr>
        <w:t>.</w:t>
      </w:r>
      <w:r>
        <w:t xml:space="preserve">” </w:t>
      </w:r>
    </w:p>
    <w:p w14:paraId="3935F577" w14:textId="77777777" w:rsidR="00984599" w:rsidRDefault="00003B3A" w:rsidP="005C01AB">
      <w:pPr>
        <w:pStyle w:val="BodyTextIndent"/>
        <w:spacing w:after="120"/>
        <w:ind w:firstLine="0"/>
      </w:pPr>
      <w:r>
        <w:t xml:space="preserve">“Attending the Festival of Code was like… </w:t>
      </w:r>
      <w:r w:rsidRPr="00003B3A">
        <w:rPr>
          <w:lang w:val="en-GB"/>
        </w:rPr>
        <w:t>being in a room with a bunch of teachers, willing to share their passion.</w:t>
      </w:r>
      <w:r>
        <w:t xml:space="preserve">” </w:t>
      </w:r>
    </w:p>
    <w:p w14:paraId="5FE8BCA3" w14:textId="11D63647" w:rsidR="0018109F" w:rsidRPr="00726705" w:rsidRDefault="00003B3A" w:rsidP="005C01AB">
      <w:pPr>
        <w:pStyle w:val="BodyTextIndent"/>
        <w:spacing w:after="120"/>
        <w:ind w:firstLine="0"/>
      </w:pPr>
      <w:r>
        <w:lastRenderedPageBreak/>
        <w:t xml:space="preserve">“Attending the Festival of Code was like… </w:t>
      </w:r>
      <w:r w:rsidRPr="00003B3A">
        <w:rPr>
          <w:lang w:val="en-GB"/>
        </w:rPr>
        <w:t xml:space="preserve">a music festival but where there's as much pizza as mud and the </w:t>
      </w:r>
      <w:r>
        <w:rPr>
          <w:lang w:val="en-GB"/>
        </w:rPr>
        <w:t>songs are the tapping of keys..</w:t>
      </w:r>
      <w:r w:rsidRPr="00003B3A">
        <w:rPr>
          <w:lang w:val="en-GB"/>
        </w:rPr>
        <w:t>.</w:t>
      </w:r>
      <w:r>
        <w:t>”</w:t>
      </w:r>
    </w:p>
    <w:p w14:paraId="3C1D0E09" w14:textId="49A2BDA6" w:rsidR="008B197E" w:rsidRDefault="00F81730">
      <w:pPr>
        <w:pStyle w:val="Heading1"/>
        <w:spacing w:before="120"/>
      </w:pPr>
      <w:r>
        <w:t xml:space="preserve">DISCUSSION AND </w:t>
      </w:r>
      <w:r w:rsidR="00633E3A">
        <w:t>CONCLUSIONS</w:t>
      </w:r>
    </w:p>
    <w:p w14:paraId="7FCE3565" w14:textId="7FDB09C6" w:rsidR="0018109F" w:rsidRDefault="0018109F">
      <w:pPr>
        <w:spacing w:after="120"/>
      </w:pPr>
      <w:r>
        <w:t xml:space="preserve">Coding events for </w:t>
      </w:r>
      <w:r w:rsidR="00616A40">
        <w:t>children</w:t>
      </w:r>
      <w:r>
        <w:t xml:space="preserve"> provide all of the expected ‘upfront’ benefits that we would expect</w:t>
      </w:r>
      <w:r w:rsidR="00CA22AF">
        <w:t>.</w:t>
      </w:r>
      <w:r w:rsidR="00F81730">
        <w:t xml:space="preserve"> </w:t>
      </w:r>
      <w:r>
        <w:t xml:space="preserve">The </w:t>
      </w:r>
      <w:r w:rsidR="00616A40">
        <w:t>children</w:t>
      </w:r>
      <w:r w:rsidR="00EE65A2">
        <w:t xml:space="preserve"> do gain in self-confidence;</w:t>
      </w:r>
      <w:r>
        <w:t xml:space="preserve"> they do help each other learn new skills, and </w:t>
      </w:r>
      <w:r w:rsidR="008952EF">
        <w:t xml:space="preserve">do </w:t>
      </w:r>
      <w:r w:rsidR="00EE65A2">
        <w:t xml:space="preserve">learn </w:t>
      </w:r>
      <w:r>
        <w:t>how to work together as a team to a</w:t>
      </w:r>
      <w:r w:rsidR="00F81730">
        <w:t xml:space="preserve">chieve a specific goal. This </w:t>
      </w:r>
      <w:r w:rsidR="00CA22AF">
        <w:t>was revealed in the answers to our open ended questions.</w:t>
      </w:r>
      <w:r>
        <w:t xml:space="preserve"> </w:t>
      </w:r>
      <w:r w:rsidR="00F81730" w:rsidRPr="00F81730">
        <w:t>Event activities such as these align particularly well with situated learning t</w:t>
      </w:r>
      <w:r w:rsidR="00607F54">
        <w:t>heory [</w:t>
      </w:r>
      <w:r w:rsidR="002C03B1">
        <w:t>1</w:t>
      </w:r>
      <w:r w:rsidR="00607F54">
        <w:t>6</w:t>
      </w:r>
      <w:r w:rsidR="00F81730" w:rsidRPr="00F81730">
        <w:t>], problem-based learni</w:t>
      </w:r>
      <w:r w:rsidR="00607F54">
        <w:t>ng and experiential learning [</w:t>
      </w:r>
      <w:r w:rsidR="002C03B1">
        <w:t>1</w:t>
      </w:r>
      <w:r w:rsidR="00607F54">
        <w:t>5</w:t>
      </w:r>
      <w:r w:rsidR="00F81730" w:rsidRPr="00F81730">
        <w:t>].</w:t>
      </w:r>
    </w:p>
    <w:p w14:paraId="0C5B3D5F" w14:textId="1E23FDD3" w:rsidR="00EE65A2" w:rsidRDefault="0018109F">
      <w:pPr>
        <w:spacing w:after="120"/>
      </w:pPr>
      <w:r>
        <w:t xml:space="preserve">We also found a wider range of outcomes too. The </w:t>
      </w:r>
      <w:r w:rsidR="00616A40">
        <w:t>children</w:t>
      </w:r>
      <w:r>
        <w:t xml:space="preserve"> gain a better understanding of career options, and gain opportunities to practice their craft through networking with other </w:t>
      </w:r>
      <w:r w:rsidR="00616A40">
        <w:t>children</w:t>
      </w:r>
      <w:r>
        <w:t xml:space="preserve"> and adults at the events too.</w:t>
      </w:r>
      <w:r w:rsidR="00EE65A2">
        <w:t xml:space="preserve"> They find that they are not alone.</w:t>
      </w:r>
      <w:r>
        <w:t xml:space="preserve"> </w:t>
      </w:r>
      <w:r w:rsidR="00397A02">
        <w:t>This is possibly the most important outcome.</w:t>
      </w:r>
      <w:r w:rsidR="00F00F92">
        <w:t xml:space="preserve"> Whilst not part of formal mainstream education, the learning environments created by the events provide evidence of good inclusive practices. They promote key pedagogical principles, such as co-agency, working with others and trust; core ideas underpinning transformabili</w:t>
      </w:r>
      <w:r w:rsidR="002C03B1">
        <w:t>ty and the capacity to learn [9</w:t>
      </w:r>
      <w:r w:rsidR="00F00F92">
        <w:t xml:space="preserve">]. </w:t>
      </w:r>
    </w:p>
    <w:p w14:paraId="7BB881B7" w14:textId="11BAA09D" w:rsidR="00397A02" w:rsidRDefault="00397A02">
      <w:pPr>
        <w:spacing w:after="120"/>
      </w:pPr>
      <w:r>
        <w:t>The children want to know that they are not the only ones who are interested in the coding and developing apps.</w:t>
      </w:r>
      <w:r w:rsidR="00626DCF">
        <w:t xml:space="preserve"> They too want to know other children, who share their same interests.</w:t>
      </w:r>
      <w:r w:rsidR="006E39E8">
        <w:t xml:space="preserve"> </w:t>
      </w:r>
      <w:r w:rsidR="002C03B1">
        <w:t>[19</w:t>
      </w:r>
      <w:r w:rsidR="00B66ED8">
        <w:t>]</w:t>
      </w:r>
    </w:p>
    <w:p w14:paraId="4BF606EE" w14:textId="0681D06C" w:rsidR="00065673" w:rsidRPr="00065673" w:rsidRDefault="00065673" w:rsidP="00065673">
      <w:pPr>
        <w:spacing w:after="120"/>
      </w:pPr>
      <w:r>
        <w:t>The experiences of the survey participants seem</w:t>
      </w:r>
      <w:r w:rsidR="00851707">
        <w:t xml:space="preserve"> to confirm studies of </w:t>
      </w:r>
      <w:r>
        <w:t xml:space="preserve">high achievers in computing too. </w:t>
      </w:r>
      <w:r w:rsidRPr="00065673">
        <w:t>Competitions, such as those run by the BCS, ACM, Microsoft and IBM, can motivate some students – winning looks good on the CV – but the challenge may not fit well with student knowledge and experience and may, ultimately, prove to be a discouragement; children may not be in a position to be able to enter, or parents may lack enough knowledge to be able to support them.  Activities designed in the specific context of students’ life experiences</w:t>
      </w:r>
      <w:r>
        <w:t>, such as YRS seeks to provide,</w:t>
      </w:r>
      <w:r w:rsidRPr="00065673">
        <w:t xml:space="preserve"> can therefore have greater educational strengths.  Furthermore, students can be encouraged to learn new skills and extend those that we consider important for their future</w:t>
      </w:r>
      <w:r w:rsidR="002C03B1">
        <w:t xml:space="preserve"> [5]</w:t>
      </w:r>
      <w:r w:rsidRPr="00065673">
        <w:t>.</w:t>
      </w:r>
    </w:p>
    <w:p w14:paraId="61834BE8" w14:textId="3ACB3FB1" w:rsidR="00065673" w:rsidRDefault="00065673" w:rsidP="00065673">
      <w:pPr>
        <w:spacing w:after="120"/>
      </w:pPr>
      <w:r w:rsidRPr="00065673">
        <w:t>It is also accepted that in order to motivate our more gifted students we need to engage them in a different way from the rest of the cohort.  It seems the success of these approaches is entirely dependent upon the skill and enthusiasm of the in</w:t>
      </w:r>
      <w:r w:rsidR="002C03B1">
        <w:t xml:space="preserve">structor leading the initiative. </w:t>
      </w:r>
      <w:r>
        <w:t>YRS works with this by using skilled mentors and providing a peer-led educational experience</w:t>
      </w:r>
      <w:r w:rsidR="00CD49F0">
        <w:t xml:space="preserve"> where the students study at their own pace, which improves the learning experience</w:t>
      </w:r>
      <w:r>
        <w:t xml:space="preserve"> </w:t>
      </w:r>
      <w:r w:rsidR="002C03B1">
        <w:t>[5</w:t>
      </w:r>
      <w:r w:rsidR="007E28B6">
        <w:t>]</w:t>
      </w:r>
      <w:r w:rsidR="00CD49F0">
        <w:t>.</w:t>
      </w:r>
    </w:p>
    <w:p w14:paraId="6160EA4E" w14:textId="713EE2E3" w:rsidR="00AE27F9" w:rsidRDefault="0018109F">
      <w:pPr>
        <w:spacing w:after="120"/>
      </w:pPr>
      <w:r>
        <w:t xml:space="preserve">For some </w:t>
      </w:r>
      <w:r w:rsidR="00616A40">
        <w:t>children</w:t>
      </w:r>
      <w:r>
        <w:t xml:space="preserve"> it appears that these events show that not all paths have to lead through the doors of a university, but that a coding career is feasible straight out the door of the </w:t>
      </w:r>
      <w:r w:rsidR="00AE27F9">
        <w:t>school</w:t>
      </w:r>
      <w:r>
        <w:t>.</w:t>
      </w:r>
      <w:r w:rsidR="00AE27F9">
        <w:t xml:space="preserve"> However, this is the experience of our small survey sample, and a wider sample size might show this as a small segment. We have also skewed our results insofar that we are only gathering results from those</w:t>
      </w:r>
      <w:r w:rsidR="00890A01">
        <w:t xml:space="preserve"> now aged</w:t>
      </w:r>
      <w:r w:rsidR="00AE27F9">
        <w:t xml:space="preserve"> 18 and over. Younger </w:t>
      </w:r>
      <w:r w:rsidR="00616A40">
        <w:t>children</w:t>
      </w:r>
      <w:r w:rsidR="00890A01">
        <w:t xml:space="preserve"> might have different outcomes, or might not yet have reached their peak.</w:t>
      </w:r>
    </w:p>
    <w:p w14:paraId="0E04B3B6" w14:textId="77777777" w:rsidR="008B197E" w:rsidRDefault="00850530">
      <w:pPr>
        <w:pStyle w:val="Heading1"/>
        <w:spacing w:before="120"/>
      </w:pPr>
      <w:r>
        <w:t>THE FUTURE</w:t>
      </w:r>
    </w:p>
    <w:p w14:paraId="18A285E8" w14:textId="24FFFC1B" w:rsidR="00AE27F9" w:rsidRDefault="00EE65A2">
      <w:pPr>
        <w:pStyle w:val="BodyTextIndent"/>
        <w:spacing w:after="120"/>
        <w:ind w:firstLine="0"/>
      </w:pPr>
      <w:r>
        <w:t>We found that this</w:t>
      </w:r>
      <w:r w:rsidR="00850530">
        <w:t xml:space="preserve"> is an area worth exploring further. </w:t>
      </w:r>
      <w:r w:rsidR="00AE27F9">
        <w:t xml:space="preserve">We have shown that there is useful data waiting to be collected from the YRS participants and their parents. We now need to plan how to achieve this before the next event so that the ethical committee is satisfied that we will meet their requirements for the under 18 </w:t>
      </w:r>
      <w:r w:rsidR="00616A40">
        <w:t>children</w:t>
      </w:r>
      <w:r w:rsidR="00AE27F9">
        <w:t xml:space="preserve">. </w:t>
      </w:r>
    </w:p>
    <w:p w14:paraId="1CE2A580" w14:textId="3D257662" w:rsidR="00AE27F9" w:rsidRDefault="00850530">
      <w:pPr>
        <w:pStyle w:val="BodyTextIndent"/>
        <w:spacing w:after="120"/>
        <w:ind w:firstLine="0"/>
      </w:pPr>
      <w:r>
        <w:t xml:space="preserve">We intend to do this by working with YRS to achieve more responses during and after the next Festival of Code in 2015. </w:t>
      </w:r>
      <w:r w:rsidR="00EE65A2">
        <w:t xml:space="preserve">We aim to bring you more </w:t>
      </w:r>
      <w:r w:rsidR="005C5880">
        <w:t>quantitative</w:t>
      </w:r>
      <w:r w:rsidR="007D4E57">
        <w:t xml:space="preserve"> </w:t>
      </w:r>
      <w:r w:rsidR="00EE65A2">
        <w:t>results next year.</w:t>
      </w:r>
    </w:p>
    <w:p w14:paraId="15400E34" w14:textId="77777777" w:rsidR="008B197E" w:rsidRDefault="008B197E">
      <w:pPr>
        <w:pStyle w:val="Heading1"/>
        <w:spacing w:before="120"/>
      </w:pPr>
      <w:r>
        <w:t>ACKNOWLEDGMENTS</w:t>
      </w:r>
    </w:p>
    <w:p w14:paraId="556DAC31" w14:textId="629F28E8" w:rsidR="008B197E" w:rsidRDefault="008B197E">
      <w:pPr>
        <w:pStyle w:val="BodyTextIndent"/>
        <w:spacing w:after="120"/>
        <w:ind w:firstLine="0"/>
      </w:pPr>
      <w:r>
        <w:t>Our thanks to</w:t>
      </w:r>
      <w:r w:rsidR="00CA7D0F">
        <w:t xml:space="preserve"> Emma Mulqueeny</w:t>
      </w:r>
      <w:r w:rsidR="00A846E5">
        <w:t>,</w:t>
      </w:r>
      <w:r w:rsidR="00CA7D0F">
        <w:t xml:space="preserve"> and</w:t>
      </w:r>
      <w:r>
        <w:t xml:space="preserve"> </w:t>
      </w:r>
      <w:r w:rsidR="00CA7D0F">
        <w:t>Ruth Nichols as well as</w:t>
      </w:r>
      <w:r w:rsidR="00850530">
        <w:t xml:space="preserve"> the </w:t>
      </w:r>
      <w:r w:rsidR="00A846E5">
        <w:t xml:space="preserve">other </w:t>
      </w:r>
      <w:r w:rsidR="00850530">
        <w:t>Young Rewired State staff, who helped make the survey possible</w:t>
      </w:r>
      <w:r>
        <w:t>.</w:t>
      </w:r>
    </w:p>
    <w:p w14:paraId="6B73C2B1" w14:textId="77777777" w:rsidR="008B197E" w:rsidRDefault="008B197E">
      <w:pPr>
        <w:pStyle w:val="Heading1"/>
        <w:spacing w:before="120"/>
      </w:pPr>
      <w:r>
        <w:t>REFERENCES</w:t>
      </w:r>
    </w:p>
    <w:p w14:paraId="1454E8E6" w14:textId="2D2F60C2" w:rsidR="009D1197" w:rsidRDefault="009D1197" w:rsidP="00752FCD">
      <w:pPr>
        <w:pStyle w:val="References"/>
      </w:pPr>
      <w:r w:rsidRPr="00565D73">
        <w:t xml:space="preserve">Beck LL and Chizhik AW, </w:t>
      </w:r>
      <w:r w:rsidRPr="00565D73">
        <w:rPr>
          <w:i/>
        </w:rPr>
        <w:t>An experimental study of cooperative learning in cs1</w:t>
      </w:r>
      <w:r w:rsidRPr="00565D73">
        <w:t>, proceedings of the 39th SIGCSE Technical Symposium on Computer Science Education, Portland, 2008</w:t>
      </w:r>
    </w:p>
    <w:p w14:paraId="52B30D11" w14:textId="2021BAF1" w:rsidR="00760D45" w:rsidRDefault="00760D45" w:rsidP="00752FCD">
      <w:pPr>
        <w:pStyle w:val="References"/>
      </w:pPr>
      <w:r w:rsidRPr="00A225EE">
        <w:t xml:space="preserve">Ben-Ari M, </w:t>
      </w:r>
      <w:r w:rsidRPr="00A225EE">
        <w:rPr>
          <w:i/>
        </w:rPr>
        <w:t>Constructivism in Computer Science Education</w:t>
      </w:r>
      <w:r w:rsidRPr="00A225EE">
        <w:t>, Journal of Computers in Mathematics and Science Teaching 20(1),</w:t>
      </w:r>
      <w:r>
        <w:t xml:space="preserve"> 2001</w:t>
      </w:r>
    </w:p>
    <w:p w14:paraId="74236169" w14:textId="77777777" w:rsidR="009D1197" w:rsidRDefault="009D1197" w:rsidP="009D1197">
      <w:pPr>
        <w:pStyle w:val="References"/>
      </w:pPr>
      <w:r w:rsidRPr="00565D73">
        <w:t xml:space="preserve">Biggers M, Yilmaz T and Sweat M, </w:t>
      </w:r>
      <w:r w:rsidRPr="00565D73">
        <w:rPr>
          <w:i/>
        </w:rPr>
        <w:t>Using collaborative, modified peer led team learning to improve student success and retention in intro cs</w:t>
      </w:r>
      <w:r w:rsidRPr="00565D73">
        <w:t>, proceedings of the 40th ACM Technical Symposium on Computer Science Education, Chattanooga, 2009</w:t>
      </w:r>
    </w:p>
    <w:p w14:paraId="13A32086" w14:textId="55703BED" w:rsidR="009D1197" w:rsidRDefault="009D1197" w:rsidP="00752FCD">
      <w:pPr>
        <w:pStyle w:val="References"/>
      </w:pPr>
      <w:r w:rsidRPr="00565D73">
        <w:t xml:space="preserve">Boyer KE, Dwight RS, Miller CS, Raubenheimer CD, Stallmann MF and Vouk MA, </w:t>
      </w:r>
      <w:r w:rsidRPr="00565D73">
        <w:rPr>
          <w:i/>
        </w:rPr>
        <w:t>A case for smaller class size with integrated lab for introductory computer science</w:t>
      </w:r>
      <w:r w:rsidRPr="00565D73">
        <w:t>, proceedings of the 38th SIGCSE Technical Symposium on Computer Sci</w:t>
      </w:r>
      <w:r>
        <w:t>ence Education, Covington, 2007</w:t>
      </w:r>
    </w:p>
    <w:p w14:paraId="6404319C" w14:textId="67E52866" w:rsidR="004B7F14" w:rsidRDefault="004B7F14" w:rsidP="00752FCD">
      <w:pPr>
        <w:pStyle w:val="References"/>
      </w:pPr>
      <w:r w:rsidRPr="004B7F14">
        <w:t>Carter</w:t>
      </w:r>
      <w:r>
        <w:t xml:space="preserve">, Janet, </w:t>
      </w:r>
      <w:r w:rsidRPr="004B7F14">
        <w:t xml:space="preserve">White, </w:t>
      </w:r>
      <w:r>
        <w:t xml:space="preserve">Su, </w:t>
      </w:r>
      <w:r w:rsidRPr="004B7F14">
        <w:t xml:space="preserve">Fraser, </w:t>
      </w:r>
      <w:r>
        <w:t xml:space="preserve">Karen, </w:t>
      </w:r>
      <w:r w:rsidRPr="004B7F14">
        <w:t xml:space="preserve">Kurkovsky, </w:t>
      </w:r>
      <w:r>
        <w:t xml:space="preserve">Stanislav, </w:t>
      </w:r>
      <w:r w:rsidRPr="004B7F14">
        <w:t xml:space="preserve">McCreesh, </w:t>
      </w:r>
      <w:r>
        <w:t xml:space="preserve">Colette, </w:t>
      </w:r>
      <w:r w:rsidRPr="004B7F14">
        <w:t>and Wieck</w:t>
      </w:r>
      <w:r>
        <w:t xml:space="preserve">, </w:t>
      </w:r>
      <w:r w:rsidRPr="004B7F14">
        <w:t xml:space="preserve">Malcolm. ITiCSE 2010 working group report motivating our top students. In </w:t>
      </w:r>
      <w:r w:rsidRPr="004B7F14">
        <w:rPr>
          <w:i/>
          <w:iCs/>
        </w:rPr>
        <w:t>Proceedings of the 2010 ITiCSE working group reports</w:t>
      </w:r>
      <w:r w:rsidRPr="004B7F14">
        <w:t xml:space="preserve"> (ITiCSE-WGR '10), Alison Clear and Lori Russell Dag (Eds.). ACM, New York, NY, USA, 29-47. </w:t>
      </w:r>
      <w:r w:rsidR="009D1197" w:rsidRPr="009D1197">
        <w:t>http://doi.acm.org/10.1145/1971681.1971685</w:t>
      </w:r>
    </w:p>
    <w:p w14:paraId="1F468479" w14:textId="3536C675" w:rsidR="009D1197" w:rsidRDefault="009D1197" w:rsidP="00752FCD">
      <w:pPr>
        <w:pStyle w:val="References"/>
      </w:pPr>
      <w:r w:rsidRPr="00565D73">
        <w:t xml:space="preserve">Chinn D, Martin K and Spencer C, </w:t>
      </w:r>
      <w:r w:rsidRPr="00565D73">
        <w:rPr>
          <w:i/>
        </w:rPr>
        <w:t>Treisman workshops and student performance in CS</w:t>
      </w:r>
      <w:r w:rsidRPr="00565D73">
        <w:t>, proceedings of the 38th SIGCSE Technical Symposium on Computer Science Education, Covin</w:t>
      </w:r>
      <w:r>
        <w:t>gton, 2007</w:t>
      </w:r>
    </w:p>
    <w:p w14:paraId="38745210" w14:textId="7FE3DF8D" w:rsidR="00752FCD" w:rsidRDefault="004B7F14" w:rsidP="00752FCD">
      <w:pPr>
        <w:pStyle w:val="References"/>
      </w:pPr>
      <w:r>
        <w:t xml:space="preserve">Coder Dojo. </w:t>
      </w:r>
      <w:r w:rsidR="00752FCD" w:rsidRPr="001C09E8">
        <w:t>https://coderdojo.com/about/</w:t>
      </w:r>
      <w:r w:rsidR="00752FCD">
        <w:t xml:space="preserve"> visited 28 December 2014.</w:t>
      </w:r>
    </w:p>
    <w:p w14:paraId="73FDBCA4" w14:textId="2487710C" w:rsidR="00752FCD" w:rsidRDefault="00752FCD" w:rsidP="00120AD4">
      <w:pPr>
        <w:pStyle w:val="References"/>
      </w:pPr>
      <w:r>
        <w:t xml:space="preserve">Gamarnikow, Eva, Green, Anthony G.  The third way and social capital: Education action zones and a new agenda for education, parents and community?, </w:t>
      </w:r>
      <w:r w:rsidRPr="007C4E4C">
        <w:rPr>
          <w:i/>
        </w:rPr>
        <w:t>International Studies in Sociology of Education</w:t>
      </w:r>
      <w:r>
        <w:t xml:space="preserve">, 9:1, 3-22, DOI: </w:t>
      </w:r>
      <w:r w:rsidRPr="00A40023">
        <w:t>10.1080/09620219900200032</w:t>
      </w:r>
      <w:r>
        <w:rPr>
          <w:color w:val="0000FF"/>
        </w:rPr>
        <w:t xml:space="preserve"> </w:t>
      </w:r>
    </w:p>
    <w:p w14:paraId="73297A95" w14:textId="37F2CCD5" w:rsidR="00A40023" w:rsidRDefault="00A40023" w:rsidP="00120AD4">
      <w:pPr>
        <w:pStyle w:val="References"/>
      </w:pPr>
      <w:r>
        <w:t>Hart, S., Dixon, A., Drummo</w:t>
      </w:r>
      <w:r w:rsidR="002C03B1">
        <w:t xml:space="preserve">nd, M.J. and McIntyre, D. </w:t>
      </w:r>
      <w:r>
        <w:t xml:space="preserve"> </w:t>
      </w:r>
      <w:r w:rsidRPr="002C03B1">
        <w:rPr>
          <w:i/>
        </w:rPr>
        <w:t>Learning without limits</w:t>
      </w:r>
      <w:r>
        <w:t xml:space="preserve">, </w:t>
      </w:r>
      <w:r w:rsidR="002C03B1">
        <w:t>New York: Open University Press, 2004.</w:t>
      </w:r>
    </w:p>
    <w:p w14:paraId="4370F6F1" w14:textId="77777777" w:rsidR="009D1197" w:rsidRPr="00565D73" w:rsidRDefault="009D1197" w:rsidP="009D1197">
      <w:pPr>
        <w:pStyle w:val="References"/>
      </w:pPr>
      <w:r w:rsidRPr="00565D73">
        <w:lastRenderedPageBreak/>
        <w:t xml:space="preserve">Hendrix D, Myneni L, Narayanan H and Ross M, </w:t>
      </w:r>
      <w:r w:rsidRPr="00565D73">
        <w:rPr>
          <w:i/>
        </w:rPr>
        <w:t>Implementing studio-based learning in CS2</w:t>
      </w:r>
      <w:r w:rsidRPr="00565D73">
        <w:t>, proceedings of the 41st ACM Technical Symposium on Computer Science Education, Milwaukee, 2010</w:t>
      </w:r>
    </w:p>
    <w:p w14:paraId="373D3D99" w14:textId="140B30C3" w:rsidR="009D1197" w:rsidRDefault="009D1197" w:rsidP="00120AD4">
      <w:pPr>
        <w:pStyle w:val="References"/>
      </w:pPr>
      <w:r w:rsidRPr="00565D73">
        <w:t xml:space="preserve">Horwitz S, Rodger SH, Biggers M, Binkley D, Frantz CK, Gundermann D, Hambrusch S, Huss-Lederman S, Munson E, Ryder B and Sweat M,  </w:t>
      </w:r>
      <w:r w:rsidRPr="00565D73">
        <w:rPr>
          <w:i/>
        </w:rPr>
        <w:t>Using peer-led team learning to increase participation and success of under-represented groups in introductory computer science</w:t>
      </w:r>
      <w:r w:rsidRPr="00565D73">
        <w:t>, proceedings of the 40th ACM Technical Symposium on Computer Scien</w:t>
      </w:r>
      <w:r>
        <w:t>ce Education, Chattanooga, 2009</w:t>
      </w:r>
    </w:p>
    <w:p w14:paraId="076A491E" w14:textId="2C5D722B" w:rsidR="00752FCD" w:rsidRDefault="00752FCD" w:rsidP="00120AD4">
      <w:pPr>
        <w:pStyle w:val="References"/>
      </w:pPr>
      <w:r>
        <w:t xml:space="preserve">Hour of Code. </w:t>
      </w:r>
      <w:r w:rsidRPr="001C09E8">
        <w:t>http://hourofcode.com</w:t>
      </w:r>
      <w:r>
        <w:t xml:space="preserve"> visited 28 December 2014.</w:t>
      </w:r>
    </w:p>
    <w:p w14:paraId="1AC4222E" w14:textId="77777777" w:rsidR="009D1197" w:rsidRPr="00565D73" w:rsidRDefault="009D1197" w:rsidP="009D1197">
      <w:pPr>
        <w:pStyle w:val="References"/>
      </w:pPr>
      <w:r w:rsidRPr="00565D73">
        <w:t xml:space="preserve">Hundhausen C, Agrawal A, Fairbrother D and Trevisan M, </w:t>
      </w:r>
      <w:r w:rsidRPr="00565D73">
        <w:rPr>
          <w:i/>
        </w:rPr>
        <w:t>Does studio-based instruction work in CS 1?: an empirical comparison with a traditional approach</w:t>
      </w:r>
      <w:r w:rsidRPr="00565D73">
        <w:t>, proceedings of the 41st ACM Technical Symposium on Computer Science Education, Milwaukee, 2010</w:t>
      </w:r>
    </w:p>
    <w:p w14:paraId="54033990" w14:textId="2B9BFF9B" w:rsidR="009D1197" w:rsidRDefault="009D1197" w:rsidP="00120AD4">
      <w:pPr>
        <w:pStyle w:val="References"/>
      </w:pPr>
      <w:r w:rsidRPr="00565D73">
        <w:t xml:space="preserve">Huss-Lederman S, Chinn D and Skrentny J, </w:t>
      </w:r>
      <w:r w:rsidRPr="00565D73">
        <w:rPr>
          <w:i/>
        </w:rPr>
        <w:t>Serious fun: peer-led team learning in CS</w:t>
      </w:r>
      <w:r w:rsidRPr="00565D73">
        <w:t>, proceedings of the 39th SIGCSE Technical Symposium on Computer Science Education, Portland, 2008</w:t>
      </w:r>
    </w:p>
    <w:p w14:paraId="457593DC" w14:textId="2CE12545" w:rsidR="00A40023" w:rsidRPr="00A40023" w:rsidRDefault="00A40023" w:rsidP="00120AD4">
      <w:pPr>
        <w:pStyle w:val="References"/>
        <w:rPr>
          <w:rStyle w:val="reference-text"/>
          <w:szCs w:val="18"/>
        </w:rPr>
      </w:pPr>
      <w:r w:rsidRPr="006A3948">
        <w:rPr>
          <w:szCs w:val="18"/>
        </w:rPr>
        <w:t xml:space="preserve">Kolb, D. A. (1984). </w:t>
      </w:r>
      <w:r w:rsidRPr="006A3948">
        <w:rPr>
          <w:rStyle w:val="Emphasis"/>
          <w:szCs w:val="18"/>
        </w:rPr>
        <w:t>Experiential learning: Experience as the source of learning and development</w:t>
      </w:r>
      <w:r w:rsidRPr="006A3948">
        <w:rPr>
          <w:szCs w:val="18"/>
        </w:rPr>
        <w:t xml:space="preserve"> (Vol. 1). Englewood Cliffs, NJ: Prentice-Hall.</w:t>
      </w:r>
    </w:p>
    <w:p w14:paraId="3EA1A1B3" w14:textId="08F8D54F" w:rsidR="00A40023" w:rsidRDefault="00A40023" w:rsidP="00120AD4">
      <w:pPr>
        <w:pStyle w:val="References"/>
        <w:rPr>
          <w:rStyle w:val="reference-text"/>
          <w:szCs w:val="18"/>
        </w:rPr>
      </w:pPr>
      <w:r w:rsidRPr="00954ADE">
        <w:rPr>
          <w:rStyle w:val="reference-text"/>
          <w:szCs w:val="18"/>
        </w:rPr>
        <w:t>Lave</w:t>
      </w:r>
      <w:r>
        <w:rPr>
          <w:rStyle w:val="reference-text"/>
          <w:szCs w:val="18"/>
        </w:rPr>
        <w:t>, Jean, Wenger,</w:t>
      </w:r>
      <w:r w:rsidRPr="00954ADE">
        <w:rPr>
          <w:rStyle w:val="reference-text"/>
          <w:szCs w:val="18"/>
        </w:rPr>
        <w:t xml:space="preserve"> </w:t>
      </w:r>
      <w:r w:rsidRPr="00A40023">
        <w:rPr>
          <w:rStyle w:val="Hyperlink"/>
          <w:color w:val="auto"/>
          <w:szCs w:val="18"/>
          <w:u w:val="none"/>
        </w:rPr>
        <w:t>Etienne.</w:t>
      </w:r>
      <w:r w:rsidRPr="00954ADE">
        <w:rPr>
          <w:rStyle w:val="reference-text"/>
          <w:szCs w:val="18"/>
        </w:rPr>
        <w:t xml:space="preserve"> </w:t>
      </w:r>
      <w:r w:rsidRPr="002C03B1">
        <w:rPr>
          <w:rStyle w:val="reference-text"/>
          <w:i/>
          <w:szCs w:val="18"/>
        </w:rPr>
        <w:t>Situated Learning. Legitimate peripheral participation</w:t>
      </w:r>
      <w:r w:rsidRPr="00954ADE">
        <w:rPr>
          <w:rStyle w:val="reference-text"/>
          <w:szCs w:val="18"/>
        </w:rPr>
        <w:t>, Cambridge: University of Cambridge Press.</w:t>
      </w:r>
    </w:p>
    <w:p w14:paraId="7C205BC2" w14:textId="0CD0275A" w:rsidR="009D1197" w:rsidRPr="009D1197" w:rsidRDefault="009D1197" w:rsidP="00120AD4">
      <w:pPr>
        <w:pStyle w:val="References"/>
      </w:pPr>
      <w:r w:rsidRPr="00565D73">
        <w:t xml:space="preserve">Lewandowski G, Johnson E and Goldweber M,  </w:t>
      </w:r>
      <w:r w:rsidRPr="00565D73">
        <w:rPr>
          <w:i/>
        </w:rPr>
        <w:t>Fostering a creative interest in computer science</w:t>
      </w:r>
      <w:r w:rsidRPr="00565D73">
        <w:t>, proceedings of the 36th SIGCSE Technical Symposium on Computer Sci</w:t>
      </w:r>
      <w:r>
        <w:t>ence Education, St. Louis, 2005</w:t>
      </w:r>
    </w:p>
    <w:p w14:paraId="0A116E15" w14:textId="012D0159" w:rsidR="00752FCD" w:rsidRDefault="00752FCD" w:rsidP="00120AD4">
      <w:pPr>
        <w:pStyle w:val="References"/>
        <w:rPr>
          <w:rStyle w:val="reference-text"/>
          <w:szCs w:val="18"/>
        </w:rPr>
      </w:pPr>
      <w:r>
        <w:t xml:space="preserve">Mulqueeny, Emma. </w:t>
      </w:r>
      <w:r w:rsidRPr="00752FCD">
        <w:rPr>
          <w:i/>
          <w:iCs/>
        </w:rPr>
        <w:t>Introducing the 1997 Digital Natives, 97ers, and their networked communities of learning</w:t>
      </w:r>
      <w:r>
        <w:rPr>
          <w:i/>
          <w:iCs/>
        </w:rPr>
        <w:t xml:space="preserve"> </w:t>
      </w:r>
      <w:r w:rsidRPr="00775987">
        <w:t>http://mulqueeny.wordpress.com/</w:t>
      </w:r>
      <w:r w:rsidRPr="009941A0">
        <w:t>2014/02/02/97ers/</w:t>
      </w:r>
      <w:r>
        <w:t xml:space="preserve"> visited 28 December 2014.</w:t>
      </w:r>
      <w:r w:rsidRPr="00643587">
        <w:rPr>
          <w:rStyle w:val="reference-text"/>
          <w:szCs w:val="18"/>
        </w:rPr>
        <w:t xml:space="preserve"> </w:t>
      </w:r>
    </w:p>
    <w:p w14:paraId="791B3A6E" w14:textId="69F4F048" w:rsidR="00752FCD" w:rsidRDefault="00752FCD" w:rsidP="00120AD4">
      <w:pPr>
        <w:pStyle w:val="References"/>
      </w:pPr>
      <w:r>
        <w:rPr>
          <w:rStyle w:val="reference-text"/>
          <w:szCs w:val="18"/>
        </w:rPr>
        <w:t xml:space="preserve">Mulqueeny, Emma. </w:t>
      </w:r>
      <w:r w:rsidRPr="00A40023">
        <w:rPr>
          <w:i/>
          <w:szCs w:val="18"/>
        </w:rPr>
        <w:t>One thousand children, one room and a lot of code - welcome to the future</w:t>
      </w:r>
      <w:r w:rsidR="00A40023" w:rsidRPr="00A40023">
        <w:rPr>
          <w:i/>
          <w:szCs w:val="18"/>
        </w:rPr>
        <w:t>.</w:t>
      </w:r>
      <w:r w:rsidR="00A40023">
        <w:rPr>
          <w:szCs w:val="18"/>
        </w:rPr>
        <w:t xml:space="preserve"> </w:t>
      </w:r>
      <w:r w:rsidR="00A40023" w:rsidRPr="001C09E8">
        <w:t>http://www.theguardian.com/technology/2014/jul/31/children-code-young-rewired-state-festival-of-code-plymouth</w:t>
      </w:r>
      <w:r w:rsidR="00A40023">
        <w:t xml:space="preserve"> visited 28 December.</w:t>
      </w:r>
    </w:p>
    <w:p w14:paraId="1B529235" w14:textId="2F43F24E" w:rsidR="00D54D77" w:rsidRPr="00A40023" w:rsidRDefault="00D54D77" w:rsidP="00120AD4">
      <w:pPr>
        <w:pStyle w:val="References"/>
      </w:pPr>
      <w:r>
        <w:t xml:space="preserve">Open Data Institute. </w:t>
      </w:r>
      <w:r w:rsidRPr="00D54D77">
        <w:rPr>
          <w:i/>
        </w:rPr>
        <w:t xml:space="preserve">What makes data open? </w:t>
      </w:r>
      <w:r w:rsidRPr="009A5FB6">
        <w:t>http://theodi.org/guides/what-open-data</w:t>
      </w:r>
      <w:r>
        <w:t xml:space="preserve"> Visited 10 Janauary 2015.</w:t>
      </w:r>
    </w:p>
    <w:p w14:paraId="7367DB82" w14:textId="0E900107" w:rsidR="00E92080" w:rsidRPr="00752FCD" w:rsidRDefault="00E92080" w:rsidP="00120AD4">
      <w:pPr>
        <w:pStyle w:val="References"/>
      </w:pPr>
      <w:r>
        <w:t xml:space="preserve">Peyton Jones, Simon. </w:t>
      </w:r>
      <w:r w:rsidRPr="00E92080">
        <w:t>“</w:t>
      </w:r>
      <w:r w:rsidRPr="00E92080">
        <w:rPr>
          <w:bCs/>
        </w:rPr>
        <w:t>The computing at school working group”</w:t>
      </w:r>
      <w:r>
        <w:rPr>
          <w:bCs/>
        </w:rPr>
        <w:t xml:space="preserve"> </w:t>
      </w:r>
      <w:r w:rsidR="009E45F6" w:rsidRPr="009E45F6">
        <w:rPr>
          <w:bCs/>
        </w:rPr>
        <w:t xml:space="preserve">In </w:t>
      </w:r>
      <w:r w:rsidR="009E45F6" w:rsidRPr="009E45F6">
        <w:rPr>
          <w:bCs/>
          <w:i/>
          <w:iCs/>
        </w:rPr>
        <w:t>Proceedings of the 18th ACM conference on Innovation and technology in computer science education</w:t>
      </w:r>
      <w:r w:rsidR="009E45F6" w:rsidRPr="009E45F6">
        <w:rPr>
          <w:bCs/>
        </w:rPr>
        <w:t xml:space="preserve"> (ITiCSE '13). ACM, New York, NY, USA, 1-1. </w:t>
      </w:r>
      <w:r w:rsidR="00752FCD" w:rsidRPr="00A40023">
        <w:rPr>
          <w:bCs/>
        </w:rPr>
        <w:t>http://doi.acm.org/10.1145/2462476.2483794</w:t>
      </w:r>
    </w:p>
    <w:p w14:paraId="37E109D3" w14:textId="284D23DD" w:rsidR="00752FCD" w:rsidRDefault="00D31509" w:rsidP="00120AD4">
      <w:pPr>
        <w:pStyle w:val="References"/>
      </w:pPr>
      <w:r>
        <w:t xml:space="preserve">Rewired State. </w:t>
      </w:r>
      <w:r w:rsidR="00752FCD" w:rsidRPr="001C09E8">
        <w:t>http://www.rewiredstate.org/legend</w:t>
      </w:r>
      <w:r w:rsidR="00752FCD">
        <w:t xml:space="preserve"> visited 28 December 2014.</w:t>
      </w:r>
    </w:p>
    <w:p w14:paraId="2CF60CE4" w14:textId="1AE8A1F1" w:rsidR="009D1197" w:rsidRPr="00752FCD" w:rsidRDefault="009D1197" w:rsidP="00120AD4">
      <w:pPr>
        <w:pStyle w:val="References"/>
      </w:pPr>
      <w:r>
        <w:t xml:space="preserve">Shackelford R, McGettrick A, Sloan R, Topi H, Davies G, Kamali R, Cross J, Impagliazzo J, LeBlanc R and Lunt B, </w:t>
      </w:r>
      <w:r w:rsidRPr="00431544">
        <w:rPr>
          <w:i/>
        </w:rPr>
        <w:t>Computing Curricula 2005: The Overview Report</w:t>
      </w:r>
      <w:r>
        <w:t>, ACM SIGCSE Bulletin 38(1), 2006</w:t>
      </w:r>
    </w:p>
    <w:p w14:paraId="17F19984" w14:textId="4596D888" w:rsidR="00752FCD" w:rsidRDefault="00752FCD" w:rsidP="00120AD4">
      <w:pPr>
        <w:pStyle w:val="References"/>
      </w:pPr>
      <w:r>
        <w:rPr>
          <w:bCs/>
        </w:rPr>
        <w:t xml:space="preserve">Slay, Julie. </w:t>
      </w:r>
      <w:r w:rsidRPr="00752FCD">
        <w:rPr>
          <w:bCs/>
          <w:i/>
        </w:rPr>
        <w:t>Creating Stronger and More Inclusive Communities</w:t>
      </w:r>
      <w:r>
        <w:rPr>
          <w:bCs/>
          <w:i/>
        </w:rPr>
        <w:t xml:space="preserve"> </w:t>
      </w:r>
      <w:r w:rsidRPr="00A40023">
        <w:t>http://www.neweconomics.org/publications/entry/creating-stronger-and-more-inclusive-communities</w:t>
      </w:r>
      <w:r>
        <w:t xml:space="preserve"> visited 10 January 2015.</w:t>
      </w:r>
    </w:p>
    <w:p w14:paraId="128B59DB" w14:textId="78554078" w:rsidR="00752FCD" w:rsidRPr="001F2318" w:rsidRDefault="00752FCD" w:rsidP="00120AD4">
      <w:pPr>
        <w:pStyle w:val="References"/>
      </w:pPr>
      <w:r w:rsidRPr="004F4B22">
        <w:rPr>
          <w:iCs/>
        </w:rPr>
        <w:t>Smith, Neil, Sutcliffe, Clare, Sandvik, Linda. Code Club: Bringing Programming to UK Primary Schools through Scratch.</w:t>
      </w:r>
      <w:r>
        <w:rPr>
          <w:iCs/>
        </w:rPr>
        <w:t xml:space="preserve"> 2014.</w:t>
      </w:r>
      <w:r>
        <w:rPr>
          <w:i/>
          <w:iCs/>
        </w:rPr>
        <w:t xml:space="preserve"> SIGCSE </w:t>
      </w:r>
      <w:r>
        <w:t>’14, March 05 - 08 2014, Atlanta, GA, USA. http://dx.doi.org/10.1145/2538862.2538919</w:t>
      </w:r>
    </w:p>
    <w:p w14:paraId="1B969E2F" w14:textId="66A6ED2F" w:rsidR="001F2318" w:rsidRDefault="001F2318" w:rsidP="00120AD4">
      <w:pPr>
        <w:pStyle w:val="References"/>
      </w:pPr>
      <w:r w:rsidRPr="001F2318">
        <w:t xml:space="preserve">Stephenson, </w:t>
      </w:r>
      <w:r>
        <w:t xml:space="preserve">Chris, </w:t>
      </w:r>
      <w:r w:rsidRPr="001F2318">
        <w:t>Gal-Ezer</w:t>
      </w:r>
      <w:r>
        <w:t xml:space="preserve">, </w:t>
      </w:r>
      <w:r w:rsidRPr="001F2318">
        <w:t>Judith, Humphreys</w:t>
      </w:r>
      <w:r>
        <w:t xml:space="preserve">, </w:t>
      </w:r>
      <w:r w:rsidRPr="001F2318">
        <w:t>Simon</w:t>
      </w:r>
      <w:r>
        <w:t>, and Julie King</w:t>
      </w:r>
      <w:r w:rsidRPr="001F2318">
        <w:t xml:space="preserve">. Transforming computer science in schools. In </w:t>
      </w:r>
      <w:r w:rsidRPr="001F2318">
        <w:rPr>
          <w:i/>
          <w:iCs/>
        </w:rPr>
        <w:t>Proceedings of the 18th ACM conference on Innovation and technology in computer science education</w:t>
      </w:r>
      <w:r w:rsidRPr="001F2318">
        <w:t xml:space="preserve"> (ITiCSE '13). ACM, New York, NY, USA, 309-310. </w:t>
      </w:r>
      <w:r w:rsidR="00900C01">
        <w:t>http://doi.acm.org/10.1145/2462476.2462510</w:t>
      </w:r>
    </w:p>
    <w:p w14:paraId="1B31C5BA" w14:textId="14FDDB58" w:rsidR="00900C01" w:rsidRPr="00E92080" w:rsidRDefault="00900C01" w:rsidP="00120AD4">
      <w:pPr>
        <w:pStyle w:val="References"/>
      </w:pPr>
      <w:r>
        <w:t xml:space="preserve">Strauss, Valerie. </w:t>
      </w:r>
      <w:r w:rsidRPr="00A40023">
        <w:rPr>
          <w:i/>
        </w:rPr>
        <w:t>All students should learn to code. Right? Not so fast.</w:t>
      </w:r>
      <w:r>
        <w:t xml:space="preserve"> </w:t>
      </w:r>
      <w:r w:rsidRPr="001C09E8">
        <w:t>http://www.washingtonpost.com/blogs/answer-sheet/wp/2014/05/29/all-students-should-learn-to-code-right-not-so-fast/</w:t>
      </w:r>
      <w:r>
        <w:t xml:space="preserve"> visited 28 December 2014.R</w:t>
      </w:r>
    </w:p>
    <w:p w14:paraId="54EC2D99" w14:textId="77777777" w:rsidR="009D1197" w:rsidRDefault="009D1197" w:rsidP="009D1197">
      <w:pPr>
        <w:pStyle w:val="References"/>
      </w:pPr>
      <w:r>
        <w:t xml:space="preserve">“Teenage hackers: Making a better world” BBC News </w:t>
      </w:r>
      <w:r w:rsidRPr="001C09E8">
        <w:t>http://www.bbc.co.uk/blogs/legacy/technology/2009/08/teenage_hackers_making_the_wor.html</w:t>
      </w:r>
      <w:r>
        <w:t xml:space="preserve"> visited 28 December 2014.</w:t>
      </w:r>
    </w:p>
    <w:p w14:paraId="05B391C7" w14:textId="694186DF" w:rsidR="009D1197" w:rsidRDefault="009D1197" w:rsidP="009D1197">
      <w:pPr>
        <w:pStyle w:val="References"/>
      </w:pPr>
      <w:r>
        <w:t xml:space="preserve">TypeForm. </w:t>
      </w:r>
      <w:r w:rsidRPr="00FA2D6A">
        <w:t>http://www.typeform.com</w:t>
      </w:r>
      <w:r>
        <w:t xml:space="preserve"> visited 10 January 2015.</w:t>
      </w:r>
    </w:p>
    <w:p w14:paraId="3A6727CD" w14:textId="2A1CBF34" w:rsidR="009D1197" w:rsidRDefault="009D1197" w:rsidP="00120AD4">
      <w:pPr>
        <w:pStyle w:val="References"/>
      </w:pPr>
      <w:r w:rsidRPr="00565D73">
        <w:t xml:space="preserve">Williams L, </w:t>
      </w:r>
      <w:r w:rsidRPr="00BE0FCF">
        <w:rPr>
          <w:i/>
        </w:rPr>
        <w:t>Lessons learned from seven years of pair programming at North Carolina State University</w:t>
      </w:r>
      <w:r w:rsidRPr="00565D73">
        <w:t>, SIGCSE Bulletin 39(4), December 2007</w:t>
      </w:r>
    </w:p>
    <w:p w14:paraId="384B5809" w14:textId="3A2D8AFF" w:rsidR="00660ACD" w:rsidRDefault="00660ACD" w:rsidP="00120AD4">
      <w:pPr>
        <w:pStyle w:val="References"/>
      </w:pPr>
      <w:r>
        <w:t xml:space="preserve">Wing, Jeannette M. “Computational Thinking”. </w:t>
      </w:r>
      <w:r w:rsidRPr="009F6964">
        <w:rPr>
          <w:i/>
        </w:rPr>
        <w:t>Communications of the ACM</w:t>
      </w:r>
      <w:r>
        <w:t xml:space="preserve"> 49,3 (March 2006), 33-35. DOI=</w:t>
      </w:r>
      <w:r w:rsidRPr="00120AD4">
        <w:t>http://dx.doi.org/10.1145/1118178.1118215</w:t>
      </w:r>
      <w:r>
        <w:t>.</w:t>
      </w:r>
    </w:p>
    <w:p w14:paraId="24A05261" w14:textId="785B772A" w:rsidR="00B77100" w:rsidRDefault="00A40023" w:rsidP="00120AD4">
      <w:pPr>
        <w:pStyle w:val="References"/>
      </w:pPr>
      <w:r>
        <w:t xml:space="preserve">Young Rewired State. </w:t>
      </w:r>
      <w:r w:rsidR="00B77100" w:rsidRPr="00DF175C">
        <w:t>http://www.yrs.io</w:t>
      </w:r>
      <w:r w:rsidR="00B77100">
        <w:t xml:space="preserve"> visited 10 January 2015.</w:t>
      </w:r>
    </w:p>
    <w:p w14:paraId="63CF0F5A" w14:textId="3A53C5B0" w:rsidR="004412AB" w:rsidRDefault="00A40023" w:rsidP="00120AD4">
      <w:pPr>
        <w:pStyle w:val="References"/>
      </w:pPr>
      <w:r>
        <w:t xml:space="preserve">Young Rewired State Hacks. </w:t>
      </w:r>
      <w:r w:rsidR="00D749A6" w:rsidRPr="00D749A6">
        <w:t>http://hacks.rewiredstate.org</w:t>
      </w:r>
      <w:r w:rsidR="00D749A6">
        <w:t xml:space="preserve"> and </w:t>
      </w:r>
      <w:r w:rsidR="004412AB" w:rsidRPr="004412AB">
        <w:t>http://hacks.youngrewiredstate.org</w:t>
      </w:r>
      <w:r w:rsidR="004412AB">
        <w:t xml:space="preserve"> visited 28 December 2014.</w:t>
      </w:r>
    </w:p>
    <w:p w14:paraId="0FF4FE0E" w14:textId="77777777" w:rsidR="008B197E" w:rsidRDefault="008B197E">
      <w:pPr>
        <w:pStyle w:val="References"/>
        <w:numPr>
          <w:ilvl w:val="0"/>
          <w:numId w:val="0"/>
        </w:numPr>
        <w:ind w:left="360" w:hanging="360"/>
      </w:pPr>
    </w:p>
    <w:p w14:paraId="44C310FD" w14:textId="77777777" w:rsidR="008B197E" w:rsidRDefault="008B197E">
      <w:pPr>
        <w:pStyle w:val="References"/>
        <w:numPr>
          <w:ilvl w:val="0"/>
          <w:numId w:val="0"/>
        </w:numPr>
        <w:ind w:left="360" w:hanging="360"/>
        <w:sectPr w:rsidR="008B197E" w:rsidSect="00B828F4">
          <w:type w:val="continuous"/>
          <w:pgSz w:w="12240" w:h="15840" w:code="1"/>
          <w:pgMar w:top="1080" w:right="1080" w:bottom="1440" w:left="1080" w:header="720" w:footer="720" w:gutter="0"/>
          <w:cols w:space="475"/>
        </w:sectPr>
      </w:pPr>
    </w:p>
    <w:p w14:paraId="0A6F92B4" w14:textId="77777777" w:rsidR="008B197E" w:rsidRDefault="008B197E">
      <w:pPr>
        <w:pStyle w:val="Paper-Title"/>
      </w:pPr>
    </w:p>
    <w:p w14:paraId="755BC03B" w14:textId="4E3EECDA" w:rsidR="008B197E" w:rsidRDefault="008B197E">
      <w:pPr>
        <w:pStyle w:val="Paper-Title"/>
      </w:pP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EDF52" w14:textId="77777777" w:rsidR="006D4D88" w:rsidRDefault="006D4D88">
      <w:r>
        <w:separator/>
      </w:r>
    </w:p>
  </w:endnote>
  <w:endnote w:type="continuationSeparator" w:id="0">
    <w:p w14:paraId="31CE5465" w14:textId="77777777" w:rsidR="006D4D88" w:rsidRDefault="006D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89C93" w14:textId="77777777" w:rsidR="00793E03" w:rsidRDefault="00793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AB696D" w14:textId="77777777" w:rsidR="00793E03" w:rsidRDefault="00793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85047" w14:textId="77777777" w:rsidR="006D4D88" w:rsidRDefault="006D4D88">
      <w:r>
        <w:separator/>
      </w:r>
    </w:p>
  </w:footnote>
  <w:footnote w:type="continuationSeparator" w:id="0">
    <w:p w14:paraId="085BCEF1" w14:textId="77777777" w:rsidR="006D4D88" w:rsidRDefault="006D4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4D42E56"/>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02E465F"/>
    <w:multiLevelType w:val="hybridMultilevel"/>
    <w:tmpl w:val="D3A6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CF"/>
    <w:rsid w:val="00003729"/>
    <w:rsid w:val="00003B3A"/>
    <w:rsid w:val="00016D54"/>
    <w:rsid w:val="0002140B"/>
    <w:rsid w:val="00021D0E"/>
    <w:rsid w:val="000355F6"/>
    <w:rsid w:val="000535A1"/>
    <w:rsid w:val="000574D0"/>
    <w:rsid w:val="00065673"/>
    <w:rsid w:val="0007064A"/>
    <w:rsid w:val="00071808"/>
    <w:rsid w:val="00082224"/>
    <w:rsid w:val="000918E5"/>
    <w:rsid w:val="0009634A"/>
    <w:rsid w:val="000A5FC6"/>
    <w:rsid w:val="000B4C38"/>
    <w:rsid w:val="000C2B21"/>
    <w:rsid w:val="000E6720"/>
    <w:rsid w:val="00120AD4"/>
    <w:rsid w:val="001346F6"/>
    <w:rsid w:val="00134934"/>
    <w:rsid w:val="001378B9"/>
    <w:rsid w:val="00146B9A"/>
    <w:rsid w:val="0015078B"/>
    <w:rsid w:val="00150BC3"/>
    <w:rsid w:val="001578EE"/>
    <w:rsid w:val="00162EC5"/>
    <w:rsid w:val="00170F9A"/>
    <w:rsid w:val="00171B8D"/>
    <w:rsid w:val="00172159"/>
    <w:rsid w:val="0018109F"/>
    <w:rsid w:val="00181F9C"/>
    <w:rsid w:val="001C09E8"/>
    <w:rsid w:val="001C0CB9"/>
    <w:rsid w:val="001C30FB"/>
    <w:rsid w:val="001E4A9D"/>
    <w:rsid w:val="001F2318"/>
    <w:rsid w:val="001F66F2"/>
    <w:rsid w:val="001F7888"/>
    <w:rsid w:val="00221F87"/>
    <w:rsid w:val="00235396"/>
    <w:rsid w:val="00270C81"/>
    <w:rsid w:val="00272607"/>
    <w:rsid w:val="00281700"/>
    <w:rsid w:val="002A5CE9"/>
    <w:rsid w:val="002C03B1"/>
    <w:rsid w:val="002C3EBA"/>
    <w:rsid w:val="002C3EDE"/>
    <w:rsid w:val="002C4615"/>
    <w:rsid w:val="002C719E"/>
    <w:rsid w:val="002D3800"/>
    <w:rsid w:val="002D6A57"/>
    <w:rsid w:val="002D6BE2"/>
    <w:rsid w:val="002F378A"/>
    <w:rsid w:val="002F55D5"/>
    <w:rsid w:val="003076FD"/>
    <w:rsid w:val="003233AA"/>
    <w:rsid w:val="003333D1"/>
    <w:rsid w:val="00336C9A"/>
    <w:rsid w:val="00350EBA"/>
    <w:rsid w:val="00351B22"/>
    <w:rsid w:val="00353ECF"/>
    <w:rsid w:val="00361F9D"/>
    <w:rsid w:val="00375299"/>
    <w:rsid w:val="00397A02"/>
    <w:rsid w:val="003A402F"/>
    <w:rsid w:val="003B2D51"/>
    <w:rsid w:val="003B4153"/>
    <w:rsid w:val="003C038A"/>
    <w:rsid w:val="003D17B6"/>
    <w:rsid w:val="003E3258"/>
    <w:rsid w:val="003E7628"/>
    <w:rsid w:val="0042363C"/>
    <w:rsid w:val="00423969"/>
    <w:rsid w:val="004309CF"/>
    <w:rsid w:val="004412AB"/>
    <w:rsid w:val="00442402"/>
    <w:rsid w:val="004724B6"/>
    <w:rsid w:val="00474255"/>
    <w:rsid w:val="00476CFA"/>
    <w:rsid w:val="00487704"/>
    <w:rsid w:val="00490176"/>
    <w:rsid w:val="004974D6"/>
    <w:rsid w:val="004B2996"/>
    <w:rsid w:val="004B4F94"/>
    <w:rsid w:val="004B7F14"/>
    <w:rsid w:val="004C6CF0"/>
    <w:rsid w:val="004D5F2A"/>
    <w:rsid w:val="004E3376"/>
    <w:rsid w:val="004F01F5"/>
    <w:rsid w:val="004F496F"/>
    <w:rsid w:val="004F4B22"/>
    <w:rsid w:val="00512E42"/>
    <w:rsid w:val="00522DC0"/>
    <w:rsid w:val="00526E12"/>
    <w:rsid w:val="00571CED"/>
    <w:rsid w:val="005842F9"/>
    <w:rsid w:val="00595007"/>
    <w:rsid w:val="005A1E70"/>
    <w:rsid w:val="005A5C57"/>
    <w:rsid w:val="005A7FE3"/>
    <w:rsid w:val="005B07E7"/>
    <w:rsid w:val="005B6A93"/>
    <w:rsid w:val="005C01AB"/>
    <w:rsid w:val="005C5880"/>
    <w:rsid w:val="005D23C6"/>
    <w:rsid w:val="005F4D24"/>
    <w:rsid w:val="00603A4D"/>
    <w:rsid w:val="00607F54"/>
    <w:rsid w:val="00616A40"/>
    <w:rsid w:val="0061710B"/>
    <w:rsid w:val="00625708"/>
    <w:rsid w:val="00626DCF"/>
    <w:rsid w:val="0062758A"/>
    <w:rsid w:val="00633E3A"/>
    <w:rsid w:val="006402F8"/>
    <w:rsid w:val="006417CD"/>
    <w:rsid w:val="00643587"/>
    <w:rsid w:val="00644AD4"/>
    <w:rsid w:val="0065295E"/>
    <w:rsid w:val="006605BF"/>
    <w:rsid w:val="00660ACD"/>
    <w:rsid w:val="00683915"/>
    <w:rsid w:val="00683A47"/>
    <w:rsid w:val="0068547D"/>
    <w:rsid w:val="00690FA9"/>
    <w:rsid w:val="006932CB"/>
    <w:rsid w:val="0069356A"/>
    <w:rsid w:val="00693E9E"/>
    <w:rsid w:val="006A044B"/>
    <w:rsid w:val="006A1FA3"/>
    <w:rsid w:val="006A7F5C"/>
    <w:rsid w:val="006B20DB"/>
    <w:rsid w:val="006B3A1C"/>
    <w:rsid w:val="006C781C"/>
    <w:rsid w:val="006D451E"/>
    <w:rsid w:val="006D4D88"/>
    <w:rsid w:val="006E39E8"/>
    <w:rsid w:val="006F43B9"/>
    <w:rsid w:val="00726705"/>
    <w:rsid w:val="00735816"/>
    <w:rsid w:val="00752FCD"/>
    <w:rsid w:val="00754FB5"/>
    <w:rsid w:val="00755AE3"/>
    <w:rsid w:val="00760D45"/>
    <w:rsid w:val="00761E9C"/>
    <w:rsid w:val="00775987"/>
    <w:rsid w:val="007759A7"/>
    <w:rsid w:val="0078150D"/>
    <w:rsid w:val="007932C1"/>
    <w:rsid w:val="00793DF2"/>
    <w:rsid w:val="00793E03"/>
    <w:rsid w:val="00797B0B"/>
    <w:rsid w:val="007B44FA"/>
    <w:rsid w:val="007C08CF"/>
    <w:rsid w:val="007C3600"/>
    <w:rsid w:val="007C4E4C"/>
    <w:rsid w:val="007D2FA1"/>
    <w:rsid w:val="007D4E57"/>
    <w:rsid w:val="007E28B6"/>
    <w:rsid w:val="007E55BF"/>
    <w:rsid w:val="007F0208"/>
    <w:rsid w:val="00824FAD"/>
    <w:rsid w:val="00826984"/>
    <w:rsid w:val="00831C93"/>
    <w:rsid w:val="00845F30"/>
    <w:rsid w:val="00850530"/>
    <w:rsid w:val="008505EF"/>
    <w:rsid w:val="00851707"/>
    <w:rsid w:val="008536AF"/>
    <w:rsid w:val="00856B88"/>
    <w:rsid w:val="00861BD3"/>
    <w:rsid w:val="00865202"/>
    <w:rsid w:val="0087467E"/>
    <w:rsid w:val="00877ABB"/>
    <w:rsid w:val="0088029B"/>
    <w:rsid w:val="0088164B"/>
    <w:rsid w:val="00890A01"/>
    <w:rsid w:val="008952EF"/>
    <w:rsid w:val="008B197E"/>
    <w:rsid w:val="008C5612"/>
    <w:rsid w:val="008D75EB"/>
    <w:rsid w:val="008E35FB"/>
    <w:rsid w:val="008E63C8"/>
    <w:rsid w:val="00900C01"/>
    <w:rsid w:val="00932E71"/>
    <w:rsid w:val="00947E7D"/>
    <w:rsid w:val="0097028B"/>
    <w:rsid w:val="00980A74"/>
    <w:rsid w:val="00984599"/>
    <w:rsid w:val="00986631"/>
    <w:rsid w:val="009941A0"/>
    <w:rsid w:val="009A5FB6"/>
    <w:rsid w:val="009B1FAE"/>
    <w:rsid w:val="009B6059"/>
    <w:rsid w:val="009B701B"/>
    <w:rsid w:val="009C5E93"/>
    <w:rsid w:val="009D1197"/>
    <w:rsid w:val="009D3377"/>
    <w:rsid w:val="009E45F6"/>
    <w:rsid w:val="009F334B"/>
    <w:rsid w:val="009F6964"/>
    <w:rsid w:val="00A05D09"/>
    <w:rsid w:val="00A105B5"/>
    <w:rsid w:val="00A14204"/>
    <w:rsid w:val="00A26057"/>
    <w:rsid w:val="00A27ACC"/>
    <w:rsid w:val="00A40023"/>
    <w:rsid w:val="00A52635"/>
    <w:rsid w:val="00A66E61"/>
    <w:rsid w:val="00A846E5"/>
    <w:rsid w:val="00A93773"/>
    <w:rsid w:val="00A966F7"/>
    <w:rsid w:val="00AA32D5"/>
    <w:rsid w:val="00AB1A0A"/>
    <w:rsid w:val="00AB2A73"/>
    <w:rsid w:val="00AE2664"/>
    <w:rsid w:val="00AE27F9"/>
    <w:rsid w:val="00AF3E6B"/>
    <w:rsid w:val="00B02A11"/>
    <w:rsid w:val="00B034E9"/>
    <w:rsid w:val="00B07585"/>
    <w:rsid w:val="00B423C3"/>
    <w:rsid w:val="00B44FD3"/>
    <w:rsid w:val="00B4562D"/>
    <w:rsid w:val="00B66ED8"/>
    <w:rsid w:val="00B75C9E"/>
    <w:rsid w:val="00B77100"/>
    <w:rsid w:val="00B82309"/>
    <w:rsid w:val="00B828F4"/>
    <w:rsid w:val="00B844B9"/>
    <w:rsid w:val="00B96CEB"/>
    <w:rsid w:val="00BC0A4E"/>
    <w:rsid w:val="00BC2BB7"/>
    <w:rsid w:val="00BC45BB"/>
    <w:rsid w:val="00BD56B0"/>
    <w:rsid w:val="00BE3584"/>
    <w:rsid w:val="00BF3697"/>
    <w:rsid w:val="00BF5A98"/>
    <w:rsid w:val="00C65523"/>
    <w:rsid w:val="00C70D38"/>
    <w:rsid w:val="00CA0006"/>
    <w:rsid w:val="00CA22AF"/>
    <w:rsid w:val="00CA7D0F"/>
    <w:rsid w:val="00CB4646"/>
    <w:rsid w:val="00CD3F38"/>
    <w:rsid w:val="00CD49F0"/>
    <w:rsid w:val="00CD7EC6"/>
    <w:rsid w:val="00CF0108"/>
    <w:rsid w:val="00D0757D"/>
    <w:rsid w:val="00D31509"/>
    <w:rsid w:val="00D3292B"/>
    <w:rsid w:val="00D44499"/>
    <w:rsid w:val="00D54D77"/>
    <w:rsid w:val="00D749A6"/>
    <w:rsid w:val="00D82AD0"/>
    <w:rsid w:val="00D83608"/>
    <w:rsid w:val="00D92B7A"/>
    <w:rsid w:val="00D947F2"/>
    <w:rsid w:val="00DA70EA"/>
    <w:rsid w:val="00DB0C9E"/>
    <w:rsid w:val="00DB70A4"/>
    <w:rsid w:val="00DD7EE8"/>
    <w:rsid w:val="00DE68AC"/>
    <w:rsid w:val="00DF175C"/>
    <w:rsid w:val="00E03062"/>
    <w:rsid w:val="00E10D35"/>
    <w:rsid w:val="00E178DA"/>
    <w:rsid w:val="00E26518"/>
    <w:rsid w:val="00E3178B"/>
    <w:rsid w:val="00E33E7D"/>
    <w:rsid w:val="00E56A74"/>
    <w:rsid w:val="00E61343"/>
    <w:rsid w:val="00E67F73"/>
    <w:rsid w:val="00E92080"/>
    <w:rsid w:val="00E97F64"/>
    <w:rsid w:val="00EA4685"/>
    <w:rsid w:val="00EC1F6A"/>
    <w:rsid w:val="00ED3D93"/>
    <w:rsid w:val="00EE4BF3"/>
    <w:rsid w:val="00EE65A2"/>
    <w:rsid w:val="00EE7FFC"/>
    <w:rsid w:val="00F00F92"/>
    <w:rsid w:val="00F03BC2"/>
    <w:rsid w:val="00F2519C"/>
    <w:rsid w:val="00F41614"/>
    <w:rsid w:val="00F5619A"/>
    <w:rsid w:val="00F81730"/>
    <w:rsid w:val="00F8209F"/>
    <w:rsid w:val="00F86FF1"/>
    <w:rsid w:val="00F871E6"/>
    <w:rsid w:val="00F9538E"/>
    <w:rsid w:val="00F96495"/>
    <w:rsid w:val="00FA2D6A"/>
    <w:rsid w:val="00FC7B9C"/>
    <w:rsid w:val="00FD50DD"/>
    <w:rsid w:val="00FF13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06B36"/>
  <w14:defaultImageDpi w14:val="300"/>
  <w15:docId w15:val="{E1756428-4B29-4FCD-837A-F91CFB8C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0"/>
      <w:jc w:val="both"/>
    </w:pPr>
    <w:rPr>
      <w:sz w:val="18"/>
      <w:lang w:val="en-US"/>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autoRedefine/>
    <w:qFormat/>
    <w:rsid w:val="009C5E93"/>
    <w:pPr>
      <w:numPr>
        <w:ilvl w:val="1"/>
      </w:numPr>
      <w:spacing w:before="120"/>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link w:val="BodyTextIndentChar"/>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link w:val="BodyTextChar"/>
    <w:pPr>
      <w:framePr w:w="4680" w:h="2112" w:hRule="exact" w:hSpace="187" w:wrap="around" w:vAnchor="page" w:hAnchor="page" w:x="1155" w:y="12245" w:anchorLock="1"/>
      <w:spacing w:after="0"/>
    </w:pPr>
    <w:rPr>
      <w:sz w:val="16"/>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styleId="FollowedHyperlink">
    <w:name w:val="FollowedHyperlink"/>
    <w:basedOn w:val="DefaultParagraphFont"/>
    <w:rsid w:val="0062758A"/>
    <w:rPr>
      <w:color w:val="800080"/>
      <w:u w:val="single"/>
    </w:rPr>
  </w:style>
  <w:style w:type="paragraph" w:styleId="NormalWeb">
    <w:name w:val="Normal (Web)"/>
    <w:basedOn w:val="Normal"/>
    <w:uiPriority w:val="99"/>
    <w:unhideWhenUsed/>
    <w:rsid w:val="004F4B22"/>
    <w:pPr>
      <w:spacing w:before="100" w:beforeAutospacing="1" w:after="100" w:afterAutospacing="1"/>
      <w:jc w:val="left"/>
    </w:pPr>
    <w:rPr>
      <w:rFonts w:ascii="Times" w:hAnsi="Times"/>
      <w:sz w:val="20"/>
      <w:lang w:val="en-GB"/>
    </w:rPr>
  </w:style>
  <w:style w:type="paragraph" w:styleId="ListParagraph">
    <w:name w:val="List Paragraph"/>
    <w:basedOn w:val="Normal"/>
    <w:uiPriority w:val="34"/>
    <w:qFormat/>
    <w:rsid w:val="00E61343"/>
    <w:pPr>
      <w:ind w:left="720"/>
      <w:contextualSpacing/>
    </w:pPr>
  </w:style>
  <w:style w:type="table" w:styleId="TableGrid">
    <w:name w:val="Table Grid"/>
    <w:basedOn w:val="TableNormal"/>
    <w:rsid w:val="00693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643587"/>
  </w:style>
  <w:style w:type="character" w:styleId="Emphasis">
    <w:name w:val="Emphasis"/>
    <w:basedOn w:val="DefaultParagraphFont"/>
    <w:uiPriority w:val="20"/>
    <w:qFormat/>
    <w:rsid w:val="00643587"/>
    <w:rPr>
      <w:i/>
      <w:iCs/>
    </w:rPr>
  </w:style>
  <w:style w:type="character" w:customStyle="1" w:styleId="BodyTextChar">
    <w:name w:val="Body Text Char"/>
    <w:basedOn w:val="DefaultParagraphFont"/>
    <w:link w:val="BodyText"/>
    <w:rsid w:val="009C5E93"/>
    <w:rPr>
      <w:sz w:val="16"/>
      <w:lang w:val="en-US"/>
    </w:rPr>
  </w:style>
  <w:style w:type="character" w:customStyle="1" w:styleId="BodyTextIndentChar">
    <w:name w:val="Body Text Indent Char"/>
    <w:basedOn w:val="DefaultParagraphFont"/>
    <w:link w:val="BodyTextIndent"/>
    <w:rsid w:val="009C5E93"/>
    <w:rPr>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0231">
      <w:bodyDiv w:val="1"/>
      <w:marLeft w:val="0"/>
      <w:marRight w:val="0"/>
      <w:marTop w:val="0"/>
      <w:marBottom w:val="0"/>
      <w:divBdr>
        <w:top w:val="none" w:sz="0" w:space="0" w:color="auto"/>
        <w:left w:val="none" w:sz="0" w:space="0" w:color="auto"/>
        <w:bottom w:val="none" w:sz="0" w:space="0" w:color="auto"/>
        <w:right w:val="none" w:sz="0" w:space="0" w:color="auto"/>
      </w:divBdr>
    </w:div>
    <w:div w:id="438644274">
      <w:bodyDiv w:val="1"/>
      <w:marLeft w:val="0"/>
      <w:marRight w:val="0"/>
      <w:marTop w:val="0"/>
      <w:marBottom w:val="0"/>
      <w:divBdr>
        <w:top w:val="none" w:sz="0" w:space="0" w:color="auto"/>
        <w:left w:val="none" w:sz="0" w:space="0" w:color="auto"/>
        <w:bottom w:val="none" w:sz="0" w:space="0" w:color="auto"/>
        <w:right w:val="none" w:sz="0" w:space="0" w:color="auto"/>
      </w:divBdr>
    </w:div>
    <w:div w:id="583153121">
      <w:bodyDiv w:val="1"/>
      <w:marLeft w:val="0"/>
      <w:marRight w:val="0"/>
      <w:marTop w:val="0"/>
      <w:marBottom w:val="0"/>
      <w:divBdr>
        <w:top w:val="none" w:sz="0" w:space="0" w:color="auto"/>
        <w:left w:val="none" w:sz="0" w:space="0" w:color="auto"/>
        <w:bottom w:val="none" w:sz="0" w:space="0" w:color="auto"/>
        <w:right w:val="none" w:sz="0" w:space="0" w:color="auto"/>
      </w:divBdr>
    </w:div>
    <w:div w:id="624969692">
      <w:bodyDiv w:val="1"/>
      <w:marLeft w:val="0"/>
      <w:marRight w:val="0"/>
      <w:marTop w:val="0"/>
      <w:marBottom w:val="0"/>
      <w:divBdr>
        <w:top w:val="none" w:sz="0" w:space="0" w:color="auto"/>
        <w:left w:val="none" w:sz="0" w:space="0" w:color="auto"/>
        <w:bottom w:val="none" w:sz="0" w:space="0" w:color="auto"/>
        <w:right w:val="none" w:sz="0" w:space="0" w:color="auto"/>
      </w:divBdr>
    </w:div>
    <w:div w:id="723331277">
      <w:bodyDiv w:val="1"/>
      <w:marLeft w:val="0"/>
      <w:marRight w:val="0"/>
      <w:marTop w:val="0"/>
      <w:marBottom w:val="0"/>
      <w:divBdr>
        <w:top w:val="none" w:sz="0" w:space="0" w:color="auto"/>
        <w:left w:val="none" w:sz="0" w:space="0" w:color="auto"/>
        <w:bottom w:val="none" w:sz="0" w:space="0" w:color="auto"/>
        <w:right w:val="none" w:sz="0" w:space="0" w:color="auto"/>
      </w:divBdr>
      <w:divsChild>
        <w:div w:id="1234268613">
          <w:marLeft w:val="0"/>
          <w:marRight w:val="0"/>
          <w:marTop w:val="0"/>
          <w:marBottom w:val="0"/>
          <w:divBdr>
            <w:top w:val="none" w:sz="0" w:space="0" w:color="auto"/>
            <w:left w:val="none" w:sz="0" w:space="0" w:color="auto"/>
            <w:bottom w:val="none" w:sz="0" w:space="0" w:color="auto"/>
            <w:right w:val="none" w:sz="0" w:space="0" w:color="auto"/>
          </w:divBdr>
          <w:divsChild>
            <w:div w:id="2146465655">
              <w:marLeft w:val="0"/>
              <w:marRight w:val="0"/>
              <w:marTop w:val="0"/>
              <w:marBottom w:val="0"/>
              <w:divBdr>
                <w:top w:val="none" w:sz="0" w:space="0" w:color="auto"/>
                <w:left w:val="none" w:sz="0" w:space="0" w:color="auto"/>
                <w:bottom w:val="none" w:sz="0" w:space="0" w:color="auto"/>
                <w:right w:val="none" w:sz="0" w:space="0" w:color="auto"/>
              </w:divBdr>
              <w:divsChild>
                <w:div w:id="17267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58402">
      <w:bodyDiv w:val="1"/>
      <w:marLeft w:val="0"/>
      <w:marRight w:val="0"/>
      <w:marTop w:val="0"/>
      <w:marBottom w:val="0"/>
      <w:divBdr>
        <w:top w:val="none" w:sz="0" w:space="0" w:color="auto"/>
        <w:left w:val="none" w:sz="0" w:space="0" w:color="auto"/>
        <w:bottom w:val="none" w:sz="0" w:space="0" w:color="auto"/>
        <w:right w:val="none" w:sz="0" w:space="0" w:color="auto"/>
      </w:divBdr>
    </w:div>
    <w:div w:id="839663989">
      <w:bodyDiv w:val="1"/>
      <w:marLeft w:val="0"/>
      <w:marRight w:val="0"/>
      <w:marTop w:val="0"/>
      <w:marBottom w:val="0"/>
      <w:divBdr>
        <w:top w:val="none" w:sz="0" w:space="0" w:color="auto"/>
        <w:left w:val="none" w:sz="0" w:space="0" w:color="auto"/>
        <w:bottom w:val="none" w:sz="0" w:space="0" w:color="auto"/>
        <w:right w:val="none" w:sz="0" w:space="0" w:color="auto"/>
      </w:divBdr>
    </w:div>
    <w:div w:id="945233975">
      <w:bodyDiv w:val="1"/>
      <w:marLeft w:val="0"/>
      <w:marRight w:val="0"/>
      <w:marTop w:val="0"/>
      <w:marBottom w:val="0"/>
      <w:divBdr>
        <w:top w:val="none" w:sz="0" w:space="0" w:color="auto"/>
        <w:left w:val="none" w:sz="0" w:space="0" w:color="auto"/>
        <w:bottom w:val="none" w:sz="0" w:space="0" w:color="auto"/>
        <w:right w:val="none" w:sz="0" w:space="0" w:color="auto"/>
      </w:divBdr>
    </w:div>
    <w:div w:id="1018695872">
      <w:bodyDiv w:val="1"/>
      <w:marLeft w:val="0"/>
      <w:marRight w:val="0"/>
      <w:marTop w:val="0"/>
      <w:marBottom w:val="0"/>
      <w:divBdr>
        <w:top w:val="none" w:sz="0" w:space="0" w:color="auto"/>
        <w:left w:val="none" w:sz="0" w:space="0" w:color="auto"/>
        <w:bottom w:val="none" w:sz="0" w:space="0" w:color="auto"/>
        <w:right w:val="none" w:sz="0" w:space="0" w:color="auto"/>
      </w:divBdr>
    </w:div>
    <w:div w:id="1168328392">
      <w:bodyDiv w:val="1"/>
      <w:marLeft w:val="0"/>
      <w:marRight w:val="0"/>
      <w:marTop w:val="0"/>
      <w:marBottom w:val="0"/>
      <w:divBdr>
        <w:top w:val="none" w:sz="0" w:space="0" w:color="auto"/>
        <w:left w:val="none" w:sz="0" w:space="0" w:color="auto"/>
        <w:bottom w:val="none" w:sz="0" w:space="0" w:color="auto"/>
        <w:right w:val="none" w:sz="0" w:space="0" w:color="auto"/>
      </w:divBdr>
    </w:div>
    <w:div w:id="1300766688">
      <w:bodyDiv w:val="1"/>
      <w:marLeft w:val="0"/>
      <w:marRight w:val="0"/>
      <w:marTop w:val="0"/>
      <w:marBottom w:val="0"/>
      <w:divBdr>
        <w:top w:val="none" w:sz="0" w:space="0" w:color="auto"/>
        <w:left w:val="none" w:sz="0" w:space="0" w:color="auto"/>
        <w:bottom w:val="none" w:sz="0" w:space="0" w:color="auto"/>
        <w:right w:val="none" w:sz="0" w:space="0" w:color="auto"/>
      </w:divBdr>
    </w:div>
    <w:div w:id="1344237286">
      <w:bodyDiv w:val="1"/>
      <w:marLeft w:val="0"/>
      <w:marRight w:val="0"/>
      <w:marTop w:val="0"/>
      <w:marBottom w:val="0"/>
      <w:divBdr>
        <w:top w:val="none" w:sz="0" w:space="0" w:color="auto"/>
        <w:left w:val="none" w:sz="0" w:space="0" w:color="auto"/>
        <w:bottom w:val="none" w:sz="0" w:space="0" w:color="auto"/>
        <w:right w:val="none" w:sz="0" w:space="0" w:color="auto"/>
      </w:divBdr>
    </w:div>
    <w:div w:id="1395469884">
      <w:bodyDiv w:val="1"/>
      <w:marLeft w:val="0"/>
      <w:marRight w:val="0"/>
      <w:marTop w:val="0"/>
      <w:marBottom w:val="0"/>
      <w:divBdr>
        <w:top w:val="none" w:sz="0" w:space="0" w:color="auto"/>
        <w:left w:val="none" w:sz="0" w:space="0" w:color="auto"/>
        <w:bottom w:val="none" w:sz="0" w:space="0" w:color="auto"/>
        <w:right w:val="none" w:sz="0" w:space="0" w:color="auto"/>
      </w:divBdr>
    </w:div>
    <w:div w:id="1466780303">
      <w:bodyDiv w:val="1"/>
      <w:marLeft w:val="0"/>
      <w:marRight w:val="0"/>
      <w:marTop w:val="0"/>
      <w:marBottom w:val="0"/>
      <w:divBdr>
        <w:top w:val="none" w:sz="0" w:space="0" w:color="auto"/>
        <w:left w:val="none" w:sz="0" w:space="0" w:color="auto"/>
        <w:bottom w:val="none" w:sz="0" w:space="0" w:color="auto"/>
        <w:right w:val="none" w:sz="0" w:space="0" w:color="auto"/>
      </w:divBdr>
    </w:div>
    <w:div w:id="1710375799">
      <w:bodyDiv w:val="1"/>
      <w:marLeft w:val="0"/>
      <w:marRight w:val="0"/>
      <w:marTop w:val="0"/>
      <w:marBottom w:val="0"/>
      <w:divBdr>
        <w:top w:val="none" w:sz="0" w:space="0" w:color="auto"/>
        <w:left w:val="none" w:sz="0" w:space="0" w:color="auto"/>
        <w:bottom w:val="none" w:sz="0" w:space="0" w:color="auto"/>
        <w:right w:val="none" w:sz="0" w:space="0" w:color="auto"/>
      </w:divBdr>
    </w:div>
    <w:div w:id="1790470471">
      <w:bodyDiv w:val="1"/>
      <w:marLeft w:val="0"/>
      <w:marRight w:val="0"/>
      <w:marTop w:val="0"/>
      <w:marBottom w:val="0"/>
      <w:divBdr>
        <w:top w:val="none" w:sz="0" w:space="0" w:color="auto"/>
        <w:left w:val="none" w:sz="0" w:space="0" w:color="auto"/>
        <w:bottom w:val="none" w:sz="0" w:space="0" w:color="auto"/>
        <w:right w:val="none" w:sz="0" w:space="0" w:color="auto"/>
      </w:divBdr>
    </w:div>
    <w:div w:id="1889608647">
      <w:bodyDiv w:val="1"/>
      <w:marLeft w:val="0"/>
      <w:marRight w:val="0"/>
      <w:marTop w:val="0"/>
      <w:marBottom w:val="0"/>
      <w:divBdr>
        <w:top w:val="none" w:sz="0" w:space="0" w:color="auto"/>
        <w:left w:val="none" w:sz="0" w:space="0" w:color="auto"/>
        <w:bottom w:val="none" w:sz="0" w:space="0" w:color="auto"/>
        <w:right w:val="none" w:sz="0" w:space="0" w:color="auto"/>
      </w:divBdr>
      <w:divsChild>
        <w:div w:id="1345589686">
          <w:marLeft w:val="0"/>
          <w:marRight w:val="0"/>
          <w:marTop w:val="0"/>
          <w:marBottom w:val="0"/>
          <w:divBdr>
            <w:top w:val="none" w:sz="0" w:space="0" w:color="auto"/>
            <w:left w:val="none" w:sz="0" w:space="0" w:color="auto"/>
            <w:bottom w:val="none" w:sz="0" w:space="0" w:color="auto"/>
            <w:right w:val="none" w:sz="0" w:space="0" w:color="auto"/>
          </w:divBdr>
          <w:divsChild>
            <w:div w:id="595480667">
              <w:marLeft w:val="0"/>
              <w:marRight w:val="0"/>
              <w:marTop w:val="0"/>
              <w:marBottom w:val="0"/>
              <w:divBdr>
                <w:top w:val="none" w:sz="0" w:space="0" w:color="auto"/>
                <w:left w:val="none" w:sz="0" w:space="0" w:color="auto"/>
                <w:bottom w:val="none" w:sz="0" w:space="0" w:color="auto"/>
                <w:right w:val="none" w:sz="0" w:space="0" w:color="auto"/>
              </w:divBdr>
              <w:divsChild>
                <w:div w:id="1566527241">
                  <w:marLeft w:val="0"/>
                  <w:marRight w:val="0"/>
                  <w:marTop w:val="0"/>
                  <w:marBottom w:val="0"/>
                  <w:divBdr>
                    <w:top w:val="none" w:sz="0" w:space="0" w:color="auto"/>
                    <w:left w:val="none" w:sz="0" w:space="0" w:color="auto"/>
                    <w:bottom w:val="none" w:sz="0" w:space="0" w:color="auto"/>
                    <w:right w:val="none" w:sz="0" w:space="0" w:color="auto"/>
                  </w:divBdr>
                  <w:divsChild>
                    <w:div w:id="12619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0622">
      <w:bodyDiv w:val="1"/>
      <w:marLeft w:val="0"/>
      <w:marRight w:val="0"/>
      <w:marTop w:val="0"/>
      <w:marBottom w:val="0"/>
      <w:divBdr>
        <w:top w:val="none" w:sz="0" w:space="0" w:color="auto"/>
        <w:left w:val="none" w:sz="0" w:space="0" w:color="auto"/>
        <w:bottom w:val="none" w:sz="0" w:space="0" w:color="auto"/>
        <w:right w:val="none" w:sz="0" w:space="0" w:color="auto"/>
      </w:divBdr>
    </w:div>
    <w:div w:id="2066177778">
      <w:bodyDiv w:val="1"/>
      <w:marLeft w:val="0"/>
      <w:marRight w:val="0"/>
      <w:marTop w:val="0"/>
      <w:marBottom w:val="0"/>
      <w:divBdr>
        <w:top w:val="none" w:sz="0" w:space="0" w:color="auto"/>
        <w:left w:val="none" w:sz="0" w:space="0" w:color="auto"/>
        <w:bottom w:val="none" w:sz="0" w:space="0" w:color="auto"/>
        <w:right w:val="none" w:sz="0" w:space="0" w:color="auto"/>
      </w:divBdr>
    </w:div>
    <w:div w:id="208078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C2A7C-DAA3-42AF-92BB-DAF39EA5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4462</Words>
  <Characters>25439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29842</CharactersWithSpaces>
  <SharedDoc>false</SharedDoc>
  <HLinks>
    <vt:vector size="42" baseType="variant">
      <vt:variant>
        <vt:i4>3473518</vt:i4>
      </vt:variant>
      <vt:variant>
        <vt:i4>21</vt:i4>
      </vt:variant>
      <vt:variant>
        <vt:i4>0</vt:i4>
      </vt:variant>
      <vt:variant>
        <vt:i4>5</vt:i4>
      </vt:variant>
      <vt:variant>
        <vt:lpwstr>http://doi.acm.org/10.1145/90417.90738</vt:lpwstr>
      </vt:variant>
      <vt:variant>
        <vt:lpwstr/>
      </vt:variant>
      <vt:variant>
        <vt:i4>3735607</vt:i4>
      </vt:variant>
      <vt:variant>
        <vt:i4>18</vt:i4>
      </vt:variant>
      <vt:variant>
        <vt:i4>0</vt:i4>
      </vt:variant>
      <vt:variant>
        <vt:i4>5</vt:i4>
      </vt:variant>
      <vt:variant>
        <vt:lpwstr>http://dx.doi.org/10.1016/j.jss.2005.05.030</vt:lpwstr>
      </vt:variant>
      <vt:variant>
        <vt:lpwstr/>
      </vt:variant>
      <vt:variant>
        <vt:i4>1310784</vt:i4>
      </vt:variant>
      <vt:variant>
        <vt:i4>15</vt:i4>
      </vt:variant>
      <vt:variant>
        <vt:i4>0</vt:i4>
      </vt:variant>
      <vt:variant>
        <vt:i4>5</vt:i4>
      </vt:variant>
      <vt:variant>
        <vt:lpwstr>http://doi.acm.org/10.1145/964696.964697</vt:lpwstr>
      </vt:variant>
      <vt:variant>
        <vt:lpwstr/>
      </vt:variant>
      <vt:variant>
        <vt:i4>1310793</vt:i4>
      </vt:variant>
      <vt:variant>
        <vt:i4>12</vt:i4>
      </vt:variant>
      <vt:variant>
        <vt:i4>0</vt:i4>
      </vt:variant>
      <vt:variant>
        <vt:i4>5</vt:i4>
      </vt:variant>
      <vt:variant>
        <vt:lpwstr>http://doi.acm.org/10.1145/332040.332491</vt:lpwstr>
      </vt:variant>
      <vt:variant>
        <vt:lpwstr/>
      </vt:variant>
      <vt:variant>
        <vt:i4>2293880</vt:i4>
      </vt:variant>
      <vt:variant>
        <vt:i4>9</vt:i4>
      </vt:variant>
      <vt:variant>
        <vt:i4>0</vt:i4>
      </vt:variant>
      <vt:variant>
        <vt:i4>5</vt:i4>
      </vt:variant>
      <vt:variant>
        <vt:lpwstr>http://doi.acm.org/10.1145/161468.16147</vt:lpwstr>
      </vt:variant>
      <vt:variant>
        <vt:lpwstr/>
      </vt:variant>
      <vt:variant>
        <vt:i4>2424948</vt:i4>
      </vt:variant>
      <vt:variant>
        <vt:i4>6</vt:i4>
      </vt:variant>
      <vt:variant>
        <vt:i4>0</vt:i4>
      </vt:variant>
      <vt:variant>
        <vt:i4>5</vt:i4>
      </vt:variant>
      <vt:variant>
        <vt:lpwstr>http://library.caltech.edu/reference/abbreviations/</vt:lpwstr>
      </vt:variant>
      <vt:variant>
        <vt:lpwstr/>
      </vt:variant>
      <vt:variant>
        <vt:i4>7929969</vt:i4>
      </vt:variant>
      <vt:variant>
        <vt:i4>0</vt:i4>
      </vt:variant>
      <vt:variant>
        <vt:i4>0</vt:i4>
      </vt:variant>
      <vt:variant>
        <vt:i4>5</vt:i4>
      </vt:variant>
      <vt:variant>
        <vt:lpwstr>http://www.acm.org/class/1998/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End User Computing Services</dc:creator>
  <cp:keywords/>
  <dc:description/>
  <cp:lastModifiedBy>Janet Carter</cp:lastModifiedBy>
  <cp:revision>2</cp:revision>
  <cp:lastPrinted>2011-01-13T10:51:00Z</cp:lastPrinted>
  <dcterms:created xsi:type="dcterms:W3CDTF">2015-10-16T13:48:00Z</dcterms:created>
  <dcterms:modified xsi:type="dcterms:W3CDTF">2015-10-16T13:48:00Z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