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07592" w:rsidRDefault="00C67442">
      <w:pPr>
        <w:spacing w:before="240" w:after="240"/>
        <w:jc w:val="center"/>
        <w:rPr>
          <w:b/>
          <w:sz w:val="28"/>
          <w:szCs w:val="28"/>
        </w:rPr>
      </w:pPr>
      <w:r>
        <w:rPr>
          <w:b/>
          <w:sz w:val="28"/>
          <w:szCs w:val="28"/>
        </w:rPr>
        <w:t>Beyond Ethical Intentions: Environmental Management, Sustainable Development Goals, and the Quest for Sustainability in Emerging Markets</w:t>
      </w:r>
    </w:p>
    <w:p w14:paraId="00000002" w14:textId="77777777" w:rsidR="00E07592" w:rsidRDefault="00E07592">
      <w:pPr>
        <w:spacing w:after="280"/>
        <w:jc w:val="center"/>
        <w:rPr>
          <w:b/>
          <w:sz w:val="28"/>
          <w:szCs w:val="28"/>
        </w:rPr>
      </w:pPr>
    </w:p>
    <w:p w14:paraId="00000003" w14:textId="77777777" w:rsidR="00E07592" w:rsidRDefault="00E07592">
      <w:pPr>
        <w:pBdr>
          <w:top w:val="nil"/>
          <w:left w:val="nil"/>
          <w:bottom w:val="nil"/>
          <w:right w:val="nil"/>
          <w:between w:val="nil"/>
        </w:pBdr>
        <w:spacing w:before="120" w:after="120" w:line="360" w:lineRule="auto"/>
        <w:jc w:val="both"/>
        <w:rPr>
          <w:b/>
          <w:color w:val="000000"/>
        </w:rPr>
      </w:pPr>
    </w:p>
    <w:p w14:paraId="00000004" w14:textId="77777777" w:rsidR="00E07592" w:rsidRDefault="00C67442">
      <w:pPr>
        <w:pBdr>
          <w:top w:val="nil"/>
          <w:left w:val="nil"/>
          <w:bottom w:val="nil"/>
          <w:right w:val="nil"/>
          <w:between w:val="nil"/>
        </w:pBdr>
        <w:spacing w:before="120" w:after="120" w:line="360" w:lineRule="auto"/>
        <w:jc w:val="both"/>
        <w:rPr>
          <w:b/>
          <w:color w:val="000000"/>
        </w:rPr>
      </w:pPr>
      <w:r>
        <w:rPr>
          <w:b/>
          <w:color w:val="000000"/>
        </w:rPr>
        <w:t>Abstract</w:t>
      </w:r>
    </w:p>
    <w:p w14:paraId="00000005" w14:textId="15912428" w:rsidR="00E07592" w:rsidRDefault="00C67442">
      <w:pPr>
        <w:pBdr>
          <w:top w:val="nil"/>
          <w:left w:val="nil"/>
          <w:bottom w:val="nil"/>
          <w:right w:val="nil"/>
          <w:between w:val="nil"/>
        </w:pBdr>
        <w:spacing w:before="120" w:after="120" w:line="360" w:lineRule="auto"/>
        <w:jc w:val="both"/>
        <w:rPr>
          <w:color w:val="000000"/>
        </w:rPr>
      </w:pPr>
      <w:r>
        <w:t xml:space="preserve">Multinational enterprises (MNEs) increasingly encounter intricate demands to align their ethical commitments with sustainability performance (SP), especially in </w:t>
      </w:r>
      <w:r w:rsidR="002A7562">
        <w:t>emerging</w:t>
      </w:r>
      <w:r>
        <w:t xml:space="preserve"> economies that feature institutional gaps, such as those in the Middle East and North Africa (MENA) region.</w:t>
      </w:r>
      <w:r>
        <w:rPr>
          <w:color w:val="000000"/>
        </w:rPr>
        <w:t xml:space="preserve"> Drawing on stakeholder theory, this study investigates how </w:t>
      </w:r>
      <w:r w:rsidR="002A7562">
        <w:rPr>
          <w:color w:val="000000"/>
        </w:rPr>
        <w:t>e</w:t>
      </w:r>
      <w:r>
        <w:rPr>
          <w:color w:val="000000"/>
        </w:rPr>
        <w:t xml:space="preserve">thical </w:t>
      </w:r>
      <w:r w:rsidR="002A7562">
        <w:rPr>
          <w:color w:val="000000"/>
        </w:rPr>
        <w:t>p</w:t>
      </w:r>
      <w:r>
        <w:rPr>
          <w:color w:val="000000"/>
        </w:rPr>
        <w:t xml:space="preserve">ractices (EP) and </w:t>
      </w:r>
      <w:r w:rsidR="002A7562">
        <w:rPr>
          <w:color w:val="000000"/>
        </w:rPr>
        <w:t>e</w:t>
      </w:r>
      <w:r>
        <w:rPr>
          <w:color w:val="000000"/>
        </w:rPr>
        <w:t xml:space="preserve">nvironmental </w:t>
      </w:r>
      <w:r w:rsidR="002A7562">
        <w:rPr>
          <w:color w:val="000000"/>
        </w:rPr>
        <w:t>m</w:t>
      </w:r>
      <w:r>
        <w:rPr>
          <w:color w:val="000000"/>
        </w:rPr>
        <w:t xml:space="preserve">anagement </w:t>
      </w:r>
      <w:r w:rsidR="002A7562">
        <w:rPr>
          <w:color w:val="000000"/>
        </w:rPr>
        <w:t>p</w:t>
      </w:r>
      <w:r>
        <w:rPr>
          <w:color w:val="000000"/>
        </w:rPr>
        <w:t xml:space="preserve">ractices (EMP) influence SP, while examining the </w:t>
      </w:r>
      <w:r>
        <w:t xml:space="preserve">adoption </w:t>
      </w:r>
      <w:r w:rsidR="00EC6796">
        <w:t xml:space="preserve">of </w:t>
      </w:r>
      <w:r w:rsidR="002A7562">
        <w:rPr>
          <w:color w:val="000000"/>
        </w:rPr>
        <w:t>s</w:t>
      </w:r>
      <w:r w:rsidR="00EC6796">
        <w:rPr>
          <w:color w:val="000000"/>
        </w:rPr>
        <w:t>ustainable</w:t>
      </w:r>
      <w:r>
        <w:rPr>
          <w:color w:val="000000"/>
        </w:rPr>
        <w:t xml:space="preserve"> </w:t>
      </w:r>
      <w:r w:rsidR="002A7562">
        <w:rPr>
          <w:color w:val="000000"/>
        </w:rPr>
        <w:t>d</w:t>
      </w:r>
      <w:r>
        <w:rPr>
          <w:color w:val="000000"/>
        </w:rPr>
        <w:t xml:space="preserve">evelopment </w:t>
      </w:r>
      <w:r w:rsidR="002A7562">
        <w:rPr>
          <w:color w:val="000000"/>
        </w:rPr>
        <w:t>g</w:t>
      </w:r>
      <w:r>
        <w:rPr>
          <w:color w:val="000000"/>
        </w:rPr>
        <w:t xml:space="preserve">oals (SDGs). Using data from 560 MNEs, </w:t>
      </w:r>
      <w:r>
        <w:t>this study</w:t>
      </w:r>
      <w:r>
        <w:rPr>
          <w:color w:val="000000"/>
        </w:rPr>
        <w:t xml:space="preserve"> </w:t>
      </w:r>
      <w:r>
        <w:t>suggests</w:t>
      </w:r>
      <w:r>
        <w:rPr>
          <w:color w:val="000000"/>
        </w:rPr>
        <w:t xml:space="preserve"> that while EP reflect important moral commitments, they do not </w:t>
      </w:r>
      <w:r w:rsidR="002A7562">
        <w:rPr>
          <w:color w:val="000000"/>
        </w:rPr>
        <w:t>necessarily</w:t>
      </w:r>
      <w:r>
        <w:rPr>
          <w:color w:val="000000"/>
        </w:rPr>
        <w:t xml:space="preserve"> lead to better sustainability outcomes unless translated into c</w:t>
      </w:r>
      <w:r>
        <w:rPr>
          <w:color w:val="000000"/>
        </w:rPr>
        <w:t xml:space="preserve">oncrete environmental actions. </w:t>
      </w:r>
      <w:r w:rsidR="00563B4F" w:rsidRPr="004A1274">
        <w:t>SDG</w:t>
      </w:r>
      <w:r w:rsidR="002A7562">
        <w:t>s</w:t>
      </w:r>
      <w:r w:rsidR="00563B4F" w:rsidRPr="004A1274">
        <w:t xml:space="preserve"> adoption presents both promise and risk</w:t>
      </w:r>
      <w:r w:rsidR="002A7562">
        <w:t>.</w:t>
      </w:r>
      <w:r w:rsidR="00563B4F" w:rsidRPr="004A1274">
        <w:t xml:space="preserve"> </w:t>
      </w:r>
      <w:r w:rsidR="002A7562">
        <w:t>W</w:t>
      </w:r>
      <w:r w:rsidR="00563B4F" w:rsidRPr="004A1274">
        <w:t xml:space="preserve">hen carefully integrated into governance, </w:t>
      </w:r>
      <w:r w:rsidR="002A7562">
        <w:t xml:space="preserve">SDGs </w:t>
      </w:r>
      <w:r w:rsidR="00563B4F" w:rsidRPr="004A1274">
        <w:t>strengthen the impact of EP</w:t>
      </w:r>
      <w:r w:rsidR="002A7562">
        <w:t>.</w:t>
      </w:r>
      <w:r w:rsidR="00563B4F" w:rsidRPr="004A1274">
        <w:t xml:space="preserve"> </w:t>
      </w:r>
      <w:r w:rsidR="002A7562">
        <w:t>W</w:t>
      </w:r>
      <w:r w:rsidR="00563B4F" w:rsidRPr="004A1274">
        <w:t xml:space="preserve">hen pursued superficially, </w:t>
      </w:r>
      <w:r w:rsidR="002A7562">
        <w:t>they</w:t>
      </w:r>
      <w:r w:rsidR="00563B4F" w:rsidRPr="004A1274">
        <w:t xml:space="preserve"> can diffuse managerial attention and strain capacity. </w:t>
      </w:r>
      <w:r>
        <w:rPr>
          <w:color w:val="000000"/>
        </w:rPr>
        <w:t xml:space="preserve">These </w:t>
      </w:r>
      <w:r w:rsidR="002A7562">
        <w:rPr>
          <w:color w:val="000000"/>
        </w:rPr>
        <w:t>findings</w:t>
      </w:r>
      <w:r>
        <w:rPr>
          <w:color w:val="000000"/>
        </w:rPr>
        <w:t xml:space="preserve"> </w:t>
      </w:r>
      <w:r w:rsidR="002A7562">
        <w:rPr>
          <w:color w:val="000000"/>
        </w:rPr>
        <w:t>advance</w:t>
      </w:r>
      <w:r>
        <w:rPr>
          <w:color w:val="000000"/>
        </w:rPr>
        <w:t xml:space="preserve"> stakeholder theory by emphasizing the need for operational strategies that convert ethical intentions into tangible </w:t>
      </w:r>
      <w:r w:rsidR="002A7562">
        <w:rPr>
          <w:color w:val="000000"/>
        </w:rPr>
        <w:t>outcomes</w:t>
      </w:r>
      <w:r>
        <w:t xml:space="preserve">, integrating Attention-Based View (ABV) as a micro-foundational complement and </w:t>
      </w:r>
      <w:r w:rsidR="00563B4F">
        <w:t>recognizing</w:t>
      </w:r>
      <w:r>
        <w:t xml:space="preserve"> MENA</w:t>
      </w:r>
      <w:r w:rsidR="00563B4F">
        <w:t>’s</w:t>
      </w:r>
      <w:r>
        <w:t xml:space="preserve"> institutional heterogenei</w:t>
      </w:r>
      <w:r>
        <w:t>ty</w:t>
      </w:r>
      <w:r w:rsidR="00563B4F">
        <w:t xml:space="preserve"> as a critical context shaping our results</w:t>
      </w:r>
      <w:r>
        <w:rPr>
          <w:color w:val="000000"/>
        </w:rPr>
        <w:t xml:space="preserve">. </w:t>
      </w:r>
      <w:r w:rsidR="00563B4F" w:rsidRPr="004A1274">
        <w:t>The study also advances understanding of how global frameworks like the SDGs interact with firm capabilities in complex environments. Practically, it highlights the importance of balancing global ethical aspirations with local operational realities through focused, context-sensitive strategies.</w:t>
      </w:r>
    </w:p>
    <w:p w14:paraId="00000006" w14:textId="77777777" w:rsidR="00E07592" w:rsidRDefault="00E07592">
      <w:pPr>
        <w:pBdr>
          <w:top w:val="nil"/>
          <w:left w:val="nil"/>
          <w:bottom w:val="nil"/>
          <w:right w:val="nil"/>
          <w:between w:val="nil"/>
        </w:pBdr>
        <w:spacing w:before="120" w:after="120" w:line="360" w:lineRule="auto"/>
        <w:jc w:val="both"/>
        <w:rPr>
          <w:color w:val="000000"/>
        </w:rPr>
      </w:pPr>
    </w:p>
    <w:p w14:paraId="00000007" w14:textId="0DD76DA1" w:rsidR="00E07592" w:rsidRDefault="00C67442">
      <w:pPr>
        <w:pBdr>
          <w:top w:val="nil"/>
          <w:left w:val="nil"/>
          <w:bottom w:val="nil"/>
          <w:right w:val="nil"/>
          <w:between w:val="nil"/>
        </w:pBdr>
        <w:spacing w:before="120" w:after="120" w:line="360" w:lineRule="auto"/>
        <w:jc w:val="both"/>
        <w:rPr>
          <w:i/>
          <w:color w:val="000000"/>
        </w:rPr>
      </w:pPr>
      <w:r>
        <w:rPr>
          <w:b/>
          <w:color w:val="000000"/>
        </w:rPr>
        <w:t>Keywords</w:t>
      </w:r>
      <w:r>
        <w:rPr>
          <w:color w:val="000000"/>
        </w:rPr>
        <w:t xml:space="preserve">: </w:t>
      </w:r>
      <w:r>
        <w:rPr>
          <w:i/>
          <w:color w:val="000000"/>
        </w:rPr>
        <w:t xml:space="preserve">Business Ethics; Environmental Management; Sustainability Performance; Sustainable Development Goals; Emerging Markets; </w:t>
      </w:r>
      <w:r w:rsidRPr="005234A4">
        <w:rPr>
          <w:i/>
          <w:iCs/>
        </w:rPr>
        <w:t>Stakeholder Theory;</w:t>
      </w:r>
      <w:r>
        <w:t xml:space="preserve"> </w:t>
      </w:r>
      <w:r w:rsidRPr="005234A4">
        <w:rPr>
          <w:i/>
          <w:iCs/>
        </w:rPr>
        <w:t>Attention-Based View</w:t>
      </w:r>
      <w:r w:rsidRPr="005234A4">
        <w:rPr>
          <w:i/>
          <w:iCs/>
          <w:color w:val="000000"/>
        </w:rPr>
        <w:t>.</w:t>
      </w:r>
    </w:p>
    <w:p w14:paraId="00000008" w14:textId="77777777" w:rsidR="00E07592" w:rsidRDefault="00E07592">
      <w:pPr>
        <w:pBdr>
          <w:top w:val="nil"/>
          <w:left w:val="nil"/>
          <w:bottom w:val="nil"/>
          <w:right w:val="nil"/>
          <w:between w:val="nil"/>
        </w:pBdr>
        <w:spacing w:before="120" w:after="120" w:line="360" w:lineRule="auto"/>
        <w:jc w:val="both"/>
        <w:rPr>
          <w:b/>
          <w:color w:val="000000"/>
        </w:rPr>
      </w:pPr>
    </w:p>
    <w:p w14:paraId="00000009" w14:textId="77777777" w:rsidR="00E07592" w:rsidRDefault="00E07592">
      <w:pPr>
        <w:pBdr>
          <w:top w:val="nil"/>
          <w:left w:val="nil"/>
          <w:bottom w:val="nil"/>
          <w:right w:val="nil"/>
          <w:between w:val="nil"/>
        </w:pBdr>
        <w:spacing w:before="120" w:after="120" w:line="360" w:lineRule="auto"/>
        <w:jc w:val="both"/>
        <w:rPr>
          <w:b/>
          <w:color w:val="000000"/>
        </w:rPr>
      </w:pPr>
    </w:p>
    <w:p w14:paraId="6D4474A3" w14:textId="77777777" w:rsidR="002A7562" w:rsidRDefault="002A7562">
      <w:pPr>
        <w:pBdr>
          <w:top w:val="nil"/>
          <w:left w:val="nil"/>
          <w:bottom w:val="nil"/>
          <w:right w:val="nil"/>
          <w:between w:val="nil"/>
        </w:pBdr>
        <w:spacing w:before="120" w:after="120" w:line="360" w:lineRule="auto"/>
        <w:jc w:val="both"/>
        <w:rPr>
          <w:b/>
          <w:color w:val="000000"/>
        </w:rPr>
      </w:pPr>
    </w:p>
    <w:p w14:paraId="0000000A" w14:textId="77777777" w:rsidR="00E07592" w:rsidRDefault="00C67442">
      <w:pPr>
        <w:pBdr>
          <w:top w:val="nil"/>
          <w:left w:val="nil"/>
          <w:bottom w:val="nil"/>
          <w:right w:val="nil"/>
          <w:between w:val="nil"/>
        </w:pBdr>
        <w:spacing w:before="120" w:after="120" w:line="360" w:lineRule="auto"/>
        <w:jc w:val="both"/>
        <w:rPr>
          <w:color w:val="000000"/>
        </w:rPr>
      </w:pPr>
      <w:r>
        <w:rPr>
          <w:b/>
          <w:color w:val="000000"/>
        </w:rPr>
        <w:lastRenderedPageBreak/>
        <w:t>1. Introduction</w:t>
      </w:r>
    </w:p>
    <w:p w14:paraId="6EF818C9" w14:textId="77777777" w:rsidR="00EA733E" w:rsidRPr="00AF515D" w:rsidRDefault="00EA733E" w:rsidP="00EA733E">
      <w:pPr>
        <w:pStyle w:val="NormalWeb"/>
        <w:spacing w:line="360" w:lineRule="auto"/>
        <w:jc w:val="both"/>
      </w:pPr>
      <w:r w:rsidRPr="00AF515D">
        <w:t xml:space="preserve">Addressing sustainability in emerging markets requires navigating institutional complexity, weak governance, and competing stakeholder demands (Kolk &amp; Rivera-Santos, 2018). Multinational enterprises (MNEs) must align global sustainability expectations with local realities while maintaining operational effectiveness (Park et al., 2014; Burritt et al., 2020; Nielsen et al., 2023). Within this agenda, </w:t>
      </w:r>
      <w:r w:rsidRPr="00AF515D">
        <w:rPr>
          <w:rStyle w:val="Strong"/>
          <w:rFonts w:eastAsiaTheme="majorEastAsia"/>
          <w:b w:val="0"/>
          <w:bCs w:val="0"/>
        </w:rPr>
        <w:t>ethical practices (EP)</w:t>
      </w:r>
      <w:r w:rsidRPr="00AF515D">
        <w:t xml:space="preserve"> and </w:t>
      </w:r>
      <w:r w:rsidRPr="00AF515D">
        <w:rPr>
          <w:rStyle w:val="Strong"/>
          <w:rFonts w:eastAsiaTheme="majorEastAsia"/>
          <w:b w:val="0"/>
          <w:bCs w:val="0"/>
        </w:rPr>
        <w:t>environmental management practices (EMP)</w:t>
      </w:r>
      <w:r w:rsidRPr="00AF515D">
        <w:rPr>
          <w:b/>
          <w:bCs/>
        </w:rPr>
        <w:t xml:space="preserve"> </w:t>
      </w:r>
      <w:r w:rsidRPr="00AF515D">
        <w:t xml:space="preserve">are widely treated as central dimensions of responsible conduct (Donaldson &amp; Preston, 1995; Freeman et al., 2010; </w:t>
      </w:r>
      <w:proofErr w:type="spellStart"/>
      <w:r w:rsidRPr="00AF515D">
        <w:t>Drempetic</w:t>
      </w:r>
      <w:proofErr w:type="spellEnd"/>
      <w:r w:rsidRPr="00AF515D">
        <w:t xml:space="preserve"> et al., 2020), and the </w:t>
      </w:r>
      <w:r w:rsidRPr="00AF515D">
        <w:rPr>
          <w:rStyle w:val="Strong"/>
          <w:rFonts w:eastAsiaTheme="majorEastAsia"/>
          <w:b w:val="0"/>
          <w:bCs w:val="0"/>
        </w:rPr>
        <w:t>Sustainable Development Goals (SDGs)</w:t>
      </w:r>
      <w:r w:rsidRPr="00AF515D">
        <w:rPr>
          <w:b/>
          <w:bCs/>
        </w:rPr>
        <w:t xml:space="preserve"> </w:t>
      </w:r>
      <w:r w:rsidRPr="00AF515D">
        <w:t xml:space="preserve">provide a global reference frame for corporate action (Kolk et al., 2017; van </w:t>
      </w:r>
      <w:proofErr w:type="spellStart"/>
      <w:r w:rsidRPr="00AF515D">
        <w:t>Tulder</w:t>
      </w:r>
      <w:proofErr w:type="spellEnd"/>
      <w:r w:rsidRPr="00AF515D">
        <w:t xml:space="preserve"> et al., 2021). The Middle East and North Africa (MENA) offers a compelling context given its institutional heterogeneity: many GCC economies pair stronger governance and higher incomes with resource dependence, whereas several non-GCC settings exhibit lower governance and stability and more constrained civic space; conflict-affected environments add further variation. Together, these contrasts heighten the tensions of sustainability implementation (Al-Khouri, 2015; World Bank, 2018; Dimitrova et al., 2020).</w:t>
      </w:r>
    </w:p>
    <w:p w14:paraId="3EDBDBCB" w14:textId="1A32B937" w:rsidR="00EA733E" w:rsidRPr="00AF515D" w:rsidRDefault="00EA733E" w:rsidP="00EA733E">
      <w:pPr>
        <w:pStyle w:val="NormalWeb"/>
        <w:spacing w:line="360" w:lineRule="auto"/>
        <w:ind w:firstLine="720"/>
        <w:jc w:val="both"/>
      </w:pPr>
      <w:r w:rsidRPr="00AF515D">
        <w:t>Stakeholder theory provides a relevant foundation</w:t>
      </w:r>
      <w:r>
        <w:t xml:space="preserve">. It emphasizes that </w:t>
      </w:r>
      <w:r w:rsidRPr="00AF515D">
        <w:t>firms build legitimacy and performance by addressing the interests and expectations of diverse stakeholders (Parmar et al., 2010</w:t>
      </w:r>
      <w:r>
        <w:t xml:space="preserve">; </w:t>
      </w:r>
      <w:proofErr w:type="spellStart"/>
      <w:r w:rsidRPr="00AF515D">
        <w:t>Bridoux</w:t>
      </w:r>
      <w:proofErr w:type="spellEnd"/>
      <w:r w:rsidRPr="00AF515D">
        <w:t xml:space="preserve"> &amp; </w:t>
      </w:r>
      <w:proofErr w:type="spellStart"/>
      <w:r w:rsidRPr="00AF515D">
        <w:t>Stoelhorst</w:t>
      </w:r>
      <w:proofErr w:type="spellEnd"/>
      <w:r w:rsidRPr="00AF515D">
        <w:t xml:space="preserve">, 2014; Jones et al., 2018). Normative accounts stress moral obligations, while instrumental perspectives link engagement to strategic benefits such as risk mitigation and reputation (Donaldson &amp; Preston, 1995; Jones &amp; Felps, 2013; Valentinov &amp; Hajdu, 2021). In emerging markets, however, weak public institutions, underdeveloped regulation, and heterogeneous norms can impede the translation of these premises into improved </w:t>
      </w:r>
      <w:r w:rsidRPr="00AF515D">
        <w:rPr>
          <w:rStyle w:val="Strong"/>
          <w:rFonts w:eastAsiaTheme="majorEastAsia"/>
          <w:b w:val="0"/>
          <w:bCs w:val="0"/>
        </w:rPr>
        <w:t>sustainability performance (SP)</w:t>
      </w:r>
      <w:r w:rsidRPr="00AF515D">
        <w:t>,</w:t>
      </w:r>
      <w:r w:rsidRPr="00AF515D">
        <w:rPr>
          <w:b/>
          <w:bCs/>
        </w:rPr>
        <w:t xml:space="preserve"> </w:t>
      </w:r>
      <w:r w:rsidRPr="00AF515D">
        <w:t>amplifying an “intention–realization gap” (IRG)</w:t>
      </w:r>
      <w:r w:rsidRPr="00AF515D">
        <w:rPr>
          <w:color w:val="000000"/>
          <w:vertAlign w:val="superscript"/>
        </w:rPr>
        <w:t xml:space="preserve"> </w:t>
      </w:r>
      <w:r>
        <w:rPr>
          <w:color w:val="000000"/>
          <w:vertAlign w:val="superscript"/>
        </w:rPr>
        <w:footnoteReference w:id="1"/>
      </w:r>
      <w:r w:rsidRPr="00AF515D">
        <w:t xml:space="preserve"> (Danso et al., 2020; Jamali et al., 2020; Liou &amp; Rao-Nicholson, 2021</w:t>
      </w:r>
      <w:r>
        <w:t xml:space="preserve">; </w:t>
      </w:r>
      <w:r w:rsidRPr="00AF515D">
        <w:t xml:space="preserve">Dau &amp; Moore, 2023). As a micro-foundational complement, the </w:t>
      </w:r>
      <w:r w:rsidRPr="00AF515D">
        <w:rPr>
          <w:rStyle w:val="Strong"/>
          <w:rFonts w:eastAsiaTheme="majorEastAsia"/>
          <w:b w:val="0"/>
          <w:bCs w:val="0"/>
        </w:rPr>
        <w:t>Attention-Based View (ABV)</w:t>
      </w:r>
      <w:r w:rsidRPr="00AF515D">
        <w:t xml:space="preserve"> highlights managerial attention as a scarce resource that conditions how external pressures are converted into organizational action (Ocasio, 1997; Brielmaier &amp; </w:t>
      </w:r>
      <w:proofErr w:type="spellStart"/>
      <w:r w:rsidRPr="00AF515D">
        <w:t>Friesl</w:t>
      </w:r>
      <w:proofErr w:type="spellEnd"/>
      <w:r w:rsidRPr="00AF515D">
        <w:t>, 2023). Yet the firm-level operationalization of ethical commitments</w:t>
      </w:r>
      <w:r w:rsidR="00C877B1">
        <w:t xml:space="preserve"> </w:t>
      </w:r>
      <w:r w:rsidRPr="00AF515D">
        <w:lastRenderedPageBreak/>
        <w:t>remains underexplored (Lucas, 2010; Treviño &amp; Nelson, 2017; Zhang &amp; Ma, 2021</w:t>
      </w:r>
      <w:r>
        <w:t xml:space="preserve">; </w:t>
      </w:r>
      <w:r w:rsidRPr="00AF515D">
        <w:t xml:space="preserve">Ren et al., 2023). We address this gap through two research questions: (1) How do </w:t>
      </w:r>
      <w:r>
        <w:t>ethical practices</w:t>
      </w:r>
      <w:r w:rsidRPr="00AF515D">
        <w:t xml:space="preserve"> influence </w:t>
      </w:r>
      <w:r>
        <w:t>sustainability performance</w:t>
      </w:r>
      <w:r w:rsidRPr="00AF515D">
        <w:t xml:space="preserve"> in MENA-based MNEs, and what role do actionable strategies, such as </w:t>
      </w:r>
      <w:r>
        <w:t>environmental management</w:t>
      </w:r>
      <w:r w:rsidRPr="00AF515D">
        <w:t xml:space="preserve"> and SDG adoption, play in this process? (2) How does SDG adoption mediate and/or moderate the relationship between </w:t>
      </w:r>
      <w:r>
        <w:t>ethical practices</w:t>
      </w:r>
      <w:r w:rsidRPr="00AF515D">
        <w:t xml:space="preserve"> and </w:t>
      </w:r>
      <w:r>
        <w:t>sustainability performance</w:t>
      </w:r>
      <w:r w:rsidRPr="00AF515D">
        <w:t xml:space="preserve"> in institutionally complex environments?</w:t>
      </w:r>
    </w:p>
    <w:p w14:paraId="223BC61B" w14:textId="0725BBB6" w:rsidR="00C877B1" w:rsidRPr="00AF515D" w:rsidRDefault="00C877B1" w:rsidP="00C877B1">
      <w:pPr>
        <w:pStyle w:val="NormalWeb"/>
        <w:spacing w:line="360" w:lineRule="auto"/>
        <w:ind w:firstLine="720"/>
        <w:jc w:val="both"/>
      </w:pPr>
      <w:r w:rsidRPr="00C877B1">
        <w:t xml:space="preserve">To examine these questions, we test a stakeholder-theoretic framework that links </w:t>
      </w:r>
      <w:r w:rsidRPr="00C877B1">
        <w:rPr>
          <w:rStyle w:val="Strong"/>
          <w:b w:val="0"/>
          <w:bCs w:val="0"/>
        </w:rPr>
        <w:t>EP</w:t>
      </w:r>
      <w:r w:rsidRPr="00C877B1">
        <w:t xml:space="preserve">, </w:t>
      </w:r>
      <w:r w:rsidRPr="00C877B1">
        <w:rPr>
          <w:rStyle w:val="Strong"/>
          <w:b w:val="0"/>
          <w:bCs w:val="0"/>
        </w:rPr>
        <w:t>EMP</w:t>
      </w:r>
      <w:r w:rsidRPr="00C877B1">
        <w:t xml:space="preserve">, </w:t>
      </w:r>
      <w:r w:rsidRPr="00C877B1">
        <w:rPr>
          <w:rStyle w:val="Strong"/>
          <w:b w:val="0"/>
          <w:bCs w:val="0"/>
        </w:rPr>
        <w:t>SDG adoption</w:t>
      </w:r>
      <w:r w:rsidRPr="00C877B1">
        <w:t xml:space="preserve">, and </w:t>
      </w:r>
      <w:r w:rsidRPr="00C877B1">
        <w:rPr>
          <w:rStyle w:val="Strong"/>
          <w:b w:val="0"/>
          <w:bCs w:val="0"/>
        </w:rPr>
        <w:t>SP</w:t>
      </w:r>
      <w:r w:rsidRPr="00C877B1">
        <w:t xml:space="preserve"> in </w:t>
      </w:r>
      <w:r w:rsidRPr="00C877B1">
        <w:rPr>
          <w:rStyle w:val="Strong"/>
          <w:b w:val="0"/>
          <w:bCs w:val="0"/>
        </w:rPr>
        <w:t>560 MENA-headquartered MNEs</w:t>
      </w:r>
      <w:r w:rsidRPr="00C877B1">
        <w:t xml:space="preserve">. Drawing on the </w:t>
      </w:r>
      <w:r w:rsidRPr="00C877B1">
        <w:rPr>
          <w:rStyle w:val="Strong"/>
          <w:b w:val="0"/>
          <w:bCs w:val="0"/>
        </w:rPr>
        <w:t>ABV</w:t>
      </w:r>
      <w:r w:rsidRPr="00C877B1">
        <w:t>, we evaluate direct, mediating, and moderating paths and find: (</w:t>
      </w:r>
      <w:proofErr w:type="spellStart"/>
      <w:r w:rsidRPr="00C877B1">
        <w:t>i</w:t>
      </w:r>
      <w:proofErr w:type="spellEnd"/>
      <w:r w:rsidRPr="00C877B1">
        <w:t xml:space="preserve">) a </w:t>
      </w:r>
      <w:r w:rsidRPr="00C877B1">
        <w:rPr>
          <w:rStyle w:val="Strong"/>
          <w:b w:val="0"/>
          <w:bCs w:val="0"/>
        </w:rPr>
        <w:t>paradoxical EP–SP association</w:t>
      </w:r>
      <w:r w:rsidRPr="00C877B1">
        <w:t xml:space="preserve"> in which ethical commitments do not automatically translate into outcomes; (ii) a </w:t>
      </w:r>
      <w:r w:rsidRPr="00C877B1">
        <w:rPr>
          <w:rStyle w:val="Strong"/>
          <w:b w:val="0"/>
          <w:bCs w:val="0"/>
        </w:rPr>
        <w:t>positive</w:t>
      </w:r>
      <w:r w:rsidRPr="00C877B1">
        <w:rPr>
          <w:rStyle w:val="Strong"/>
        </w:rPr>
        <w:t xml:space="preserve"> </w:t>
      </w:r>
      <w:r w:rsidRPr="00C877B1">
        <w:rPr>
          <w:rStyle w:val="Strong"/>
          <w:b w:val="0"/>
          <w:bCs w:val="0"/>
        </w:rPr>
        <w:t>mediating role of EMP</w:t>
      </w:r>
      <w:r w:rsidRPr="00C877B1">
        <w:t>, indicating</w:t>
      </w:r>
      <w:r>
        <w:t xml:space="preserve"> that operational routines (e.g., environmental supply-chain practices, waste and energy management) are the conduit that converts intent into performance; and (iii) mixed SDG effects, with negative mediation consistent with coordination and attention costs when SDG agendas are broad, but positive moderation when SDGs are embedded in governance, strengthening the EP–SP link. Situated in a heterogeneous MENA context, these results nuance the limits of codifying ethics in institutionally weak settings and the conditions under which global frameworks add value (Pogge &amp; Sengupta, 2015; Valentinov &amp; Hajdu, 2021; Kaptein, 2023).</w:t>
      </w:r>
    </w:p>
    <w:p w14:paraId="1F411383" w14:textId="279C6B07" w:rsidR="00C877B1" w:rsidRPr="00AF515D" w:rsidRDefault="00C877B1" w:rsidP="00EA733E">
      <w:pPr>
        <w:pStyle w:val="NormalWeb"/>
        <w:spacing w:line="360" w:lineRule="auto"/>
        <w:ind w:firstLine="720"/>
        <w:jc w:val="both"/>
      </w:pPr>
      <w:r>
        <w:t xml:space="preserve">This study advances stakeholder theory by showing how ethical commitments are, or are not, translated into performance-enhancing actions under institutional constraints (Donaldson &amp; Preston, 1995; Freeman et al., 2010; Jones et al., 2018; Jamali et al., 2020). We also contribute to SDG-integration scholarship by specifying how global frameworks interact with firm capabilities and governance structures, clarifying when SDG adoption supports substance rather than symbolism (van Zanten &amp; van </w:t>
      </w:r>
      <w:proofErr w:type="spellStart"/>
      <w:r>
        <w:t>Tulder</w:t>
      </w:r>
      <w:proofErr w:type="spellEnd"/>
      <w:r>
        <w:t xml:space="preserve">, 2018; van </w:t>
      </w:r>
      <w:proofErr w:type="spellStart"/>
      <w:r>
        <w:t>Tulder</w:t>
      </w:r>
      <w:proofErr w:type="spellEnd"/>
      <w:r>
        <w:t xml:space="preserve"> et al., 2021; OECD, 2020; Ghauri, 2022; Gutierrez et al., 2022). Finally, by incorporating the ABV, we highlight how limited managerial attention conditions the conversion of intentions into outcomes amid competing sustainability priorities (Ocasio, 1997; Durand &amp; </w:t>
      </w:r>
      <w:proofErr w:type="spellStart"/>
      <w:r>
        <w:t>Jacqueminet</w:t>
      </w:r>
      <w:proofErr w:type="spellEnd"/>
      <w:r>
        <w:t xml:space="preserve">, 2015; Brielmaier &amp; </w:t>
      </w:r>
      <w:proofErr w:type="spellStart"/>
      <w:r>
        <w:t>Friesl</w:t>
      </w:r>
      <w:proofErr w:type="spellEnd"/>
      <w:r>
        <w:t>, 2023), complementing recent arguments on the ethical paradox and the intention–realization gap in weak institutional environments (Kaptein, 2023; Valentinov &amp; Hajdu, 2021).</w:t>
      </w:r>
    </w:p>
    <w:p w14:paraId="0C757FFC" w14:textId="3C519D99" w:rsidR="00EA733E" w:rsidRPr="00C877B1" w:rsidRDefault="00EA733E" w:rsidP="00C877B1">
      <w:pPr>
        <w:pStyle w:val="NormalWeb"/>
        <w:spacing w:line="360" w:lineRule="auto"/>
        <w:ind w:firstLine="720"/>
        <w:jc w:val="both"/>
      </w:pPr>
      <w:r w:rsidRPr="00AF515D">
        <w:lastRenderedPageBreak/>
        <w:t>The remainder of the paper is structured as follows: Section 2 develops the theoretical background, reviews relevant literature, and presents the hypotheses. Section 3 outlines the methodology and data. Section 4 presents the results. Section 5 discusses theoretical and practical implications and suggests future research directions. Section 6 concludes.</w:t>
      </w:r>
    </w:p>
    <w:p w14:paraId="00000012" w14:textId="258F7B2F" w:rsidR="00E07592" w:rsidRDefault="00C67442">
      <w:pPr>
        <w:pBdr>
          <w:top w:val="nil"/>
          <w:left w:val="nil"/>
          <w:bottom w:val="nil"/>
          <w:right w:val="nil"/>
          <w:between w:val="nil"/>
        </w:pBdr>
        <w:spacing w:before="120" w:after="120" w:line="360" w:lineRule="auto"/>
        <w:jc w:val="both"/>
        <w:rPr>
          <w:color w:val="000000"/>
        </w:rPr>
      </w:pPr>
      <w:r>
        <w:rPr>
          <w:b/>
          <w:color w:val="000000"/>
        </w:rPr>
        <w:t>2. Theoretical Background and Hypotheses Development</w:t>
      </w:r>
    </w:p>
    <w:p w14:paraId="00000013" w14:textId="77777777" w:rsidR="00E07592" w:rsidRDefault="00C67442">
      <w:pPr>
        <w:pBdr>
          <w:top w:val="nil"/>
          <w:left w:val="nil"/>
          <w:bottom w:val="nil"/>
          <w:right w:val="nil"/>
          <w:between w:val="nil"/>
        </w:pBdr>
        <w:spacing w:before="120" w:after="120" w:line="360" w:lineRule="auto"/>
        <w:jc w:val="both"/>
        <w:rPr>
          <w:color w:val="000000"/>
        </w:rPr>
      </w:pPr>
      <w:r>
        <w:rPr>
          <w:b/>
          <w:color w:val="000000"/>
        </w:rPr>
        <w:t>2.1 Linking stakeholder theory and sustainability performance</w:t>
      </w:r>
    </w:p>
    <w:p w14:paraId="0497A9FD" w14:textId="77777777" w:rsidR="00C877B1" w:rsidRPr="00C877B1" w:rsidRDefault="00C877B1" w:rsidP="00C877B1">
      <w:pPr>
        <w:pStyle w:val="NormalWeb"/>
        <w:spacing w:line="360" w:lineRule="auto"/>
        <w:ind w:firstLine="720"/>
        <w:jc w:val="both"/>
      </w:pPr>
      <w:r w:rsidRPr="00C877B1">
        <w:t>Stakeholder theory, in its normative (NST) and instrumental (IST) forms, explains how firms define and justify responsibilities toward affected parties (Donaldson &amp; Preston, 1995). NST emphasizes moral obligations to stakeholders. IST highlights strategic benefits such as reputation, risk reduction, and license to operate (Freeman et al., 2010; Jones et al., 2018). SP reflects the extent to which organizations embed environmental and social responsibilities in strategic decision-making (Khaled et al., 2021; Yildiz Çankaya &amp; Sezen, 2019). For MNEs, aligning stakeholder responsibilities with operational realities is a persistent challenge under multi-stakeholder scrutiny (Park et al., 2014; Burritt et al., 2020; Nielsen et al., 2023).</w:t>
      </w:r>
    </w:p>
    <w:p w14:paraId="4960F905" w14:textId="77777777" w:rsidR="00C877B1" w:rsidRPr="00C877B1" w:rsidRDefault="00C877B1" w:rsidP="00C877B1">
      <w:pPr>
        <w:pStyle w:val="NormalWeb"/>
        <w:spacing w:line="360" w:lineRule="auto"/>
        <w:ind w:firstLine="720"/>
        <w:jc w:val="both"/>
      </w:pPr>
      <w:r w:rsidRPr="00C877B1">
        <w:t xml:space="preserve">Stakeholder theory helps explain how firms translate stakeholder claims into SP by balancing ethical obligations and instrumental goals (Freeman, 1999; Gilbert &amp; Rasche, 2008; Schuler et al., 2017; Valentinov &amp; Hajdu, 2021). In many contexts, weak public institutions, underdeveloped regulation, and heterogeneous norms hinder this translation and widen the intention–realization gap (Danso et al., 2020; Jamali et al., 2020; </w:t>
      </w:r>
      <w:proofErr w:type="spellStart"/>
      <w:r w:rsidRPr="00C877B1">
        <w:t>Lashitew</w:t>
      </w:r>
      <w:proofErr w:type="spellEnd"/>
      <w:r w:rsidRPr="00C877B1">
        <w:t xml:space="preserve">, 2021). To connect these high-level obligations and incentives to managerial action, we introduce the ABV as a micro-foundational complement. ABV holds that managerial attention is scarce and shapes which stakeholder claims become salient, how issues are prioritized, and where resources are allocated (Ocasio, 1997; Brielmaier &amp; </w:t>
      </w:r>
      <w:proofErr w:type="spellStart"/>
      <w:r w:rsidRPr="00C877B1">
        <w:t>Friesl</w:t>
      </w:r>
      <w:proofErr w:type="spellEnd"/>
      <w:r w:rsidRPr="00C877B1">
        <w:t>, 2023).</w:t>
      </w:r>
    </w:p>
    <w:p w14:paraId="283E11CE" w14:textId="77777777" w:rsidR="00C877B1" w:rsidRPr="00C877B1" w:rsidRDefault="00C877B1" w:rsidP="00C877B1">
      <w:pPr>
        <w:pStyle w:val="NormalWeb"/>
        <w:spacing w:line="360" w:lineRule="auto"/>
        <w:ind w:firstLine="720"/>
        <w:jc w:val="both"/>
      </w:pPr>
      <w:r w:rsidRPr="00C877B1">
        <w:t xml:space="preserve">By addressing diverse stakeholder expectations, firms can strengthen legitimacy, attract socially responsible investors, and build resilience to regulatory and reputational risks (Jones et al., 2018; </w:t>
      </w:r>
      <w:proofErr w:type="spellStart"/>
      <w:r w:rsidRPr="00C877B1">
        <w:t>Drempetic</w:t>
      </w:r>
      <w:proofErr w:type="spellEnd"/>
      <w:r w:rsidRPr="00C877B1">
        <w:t xml:space="preserve"> et al., 2020). At the same time, firms often face tensions between normative commitments and profit-driven imperatives, especially in culturally and institutionally diverse settings (Nielsen et al., 2023). These tensions can complicate SP outcomes and erode trust when </w:t>
      </w:r>
      <w:r w:rsidRPr="00C877B1">
        <w:lastRenderedPageBreak/>
        <w:t xml:space="preserve">transparency and accountability are weak (Danso et al., 2020; Jamali et al., 2020; </w:t>
      </w:r>
      <w:proofErr w:type="spellStart"/>
      <w:r w:rsidRPr="00C877B1">
        <w:t>Lashitew</w:t>
      </w:r>
      <w:proofErr w:type="spellEnd"/>
      <w:r w:rsidRPr="00C877B1">
        <w:t>, 2021; Schuler et al., 2017). A stakeholder-theoretic approach therefore provides both a normative rationale and a strategic framework for enhancing SP, particularly when governance practices are context sensitive and align ethical engagement with performance-based goals (Freeman et al., 2010; Valentinov &amp; Hajdu, 2021).</w:t>
      </w:r>
    </w:p>
    <w:p w14:paraId="00000019" w14:textId="275028FE" w:rsidR="00E07592" w:rsidRDefault="00C67442">
      <w:pPr>
        <w:pBdr>
          <w:top w:val="nil"/>
          <w:left w:val="nil"/>
          <w:bottom w:val="nil"/>
          <w:right w:val="nil"/>
          <w:between w:val="nil"/>
        </w:pBdr>
        <w:spacing w:before="120" w:after="120" w:line="360" w:lineRule="auto"/>
        <w:jc w:val="both"/>
        <w:rPr>
          <w:b/>
          <w:color w:val="000000"/>
        </w:rPr>
      </w:pPr>
      <w:r>
        <w:rPr>
          <w:b/>
          <w:color w:val="000000"/>
        </w:rPr>
        <w:t xml:space="preserve">2.2 Linking </w:t>
      </w:r>
      <w:r w:rsidR="00C877B1">
        <w:rPr>
          <w:b/>
          <w:color w:val="000000"/>
        </w:rPr>
        <w:t>EP</w:t>
      </w:r>
      <w:r>
        <w:rPr>
          <w:b/>
          <w:color w:val="000000"/>
        </w:rPr>
        <w:t xml:space="preserve">, </w:t>
      </w:r>
      <w:r w:rsidR="00C877B1">
        <w:rPr>
          <w:b/>
          <w:color w:val="000000"/>
        </w:rPr>
        <w:t>EMP</w:t>
      </w:r>
      <w:r>
        <w:rPr>
          <w:b/>
          <w:color w:val="000000"/>
        </w:rPr>
        <w:t xml:space="preserve">, and </w:t>
      </w:r>
      <w:r w:rsidR="00C877B1">
        <w:rPr>
          <w:b/>
          <w:color w:val="000000"/>
        </w:rPr>
        <w:t>SP</w:t>
      </w:r>
    </w:p>
    <w:p w14:paraId="41BC5FFF" w14:textId="77777777" w:rsidR="00C877B1" w:rsidRPr="00266C6E" w:rsidRDefault="00C877B1" w:rsidP="00C877B1">
      <w:pPr>
        <w:pBdr>
          <w:top w:val="nil"/>
          <w:left w:val="nil"/>
          <w:bottom w:val="nil"/>
          <w:right w:val="nil"/>
          <w:between w:val="nil"/>
        </w:pBdr>
        <w:spacing w:before="120" w:after="120" w:line="360" w:lineRule="auto"/>
        <w:jc w:val="both"/>
        <w:rPr>
          <w:color w:val="000000"/>
        </w:rPr>
      </w:pPr>
      <w:r w:rsidRPr="00266C6E">
        <w:rPr>
          <w:color w:val="000000"/>
        </w:rPr>
        <w:t xml:space="preserve">EP, rooted in NST, reflect the moral obligations MNEs have toward stakeholders. These obligations include fair labor standards, anti-corruption initiatives, and community engagement, and extend beyond the pursuit of profit (Jones &amp; Felps, 2013; </w:t>
      </w:r>
      <w:proofErr w:type="spellStart"/>
      <w:r w:rsidRPr="00266C6E">
        <w:rPr>
          <w:color w:val="000000"/>
        </w:rPr>
        <w:t>Lythreatis</w:t>
      </w:r>
      <w:proofErr w:type="spellEnd"/>
      <w:r w:rsidRPr="00266C6E">
        <w:rPr>
          <w:color w:val="000000"/>
        </w:rPr>
        <w:t xml:space="preserve"> et al., 2019</w:t>
      </w:r>
      <w:r>
        <w:rPr>
          <w:color w:val="000000"/>
        </w:rPr>
        <w:t xml:space="preserve">; </w:t>
      </w:r>
      <w:proofErr w:type="spellStart"/>
      <w:r w:rsidRPr="00266C6E">
        <w:rPr>
          <w:color w:val="000000"/>
        </w:rPr>
        <w:t>Burrit</w:t>
      </w:r>
      <w:proofErr w:type="spellEnd"/>
      <w:r w:rsidRPr="00266C6E">
        <w:rPr>
          <w:color w:val="000000"/>
        </w:rPr>
        <w:t xml:space="preserve"> et al., 2020). Context-specific ethical expectations and historical legacies often influence how EP are framed and implemented in emerging markets. Many MNEs in these settings have historically provided public goods and social benefits, such as healthcare, education, and housing, to compensate for underdeveloped public institutions and culturally embedded expectations (Doh et al., 2016; Husted, 2015).</w:t>
      </w:r>
    </w:p>
    <w:p w14:paraId="72BBA30F" w14:textId="77777777" w:rsidR="00C877B1" w:rsidRPr="00266C6E" w:rsidRDefault="00C877B1" w:rsidP="00C877B1">
      <w:pPr>
        <w:pBdr>
          <w:top w:val="nil"/>
          <w:left w:val="nil"/>
          <w:bottom w:val="nil"/>
          <w:right w:val="nil"/>
          <w:between w:val="nil"/>
        </w:pBdr>
        <w:spacing w:before="120" w:after="120" w:line="360" w:lineRule="auto"/>
        <w:ind w:firstLine="720"/>
        <w:jc w:val="both"/>
        <w:rPr>
          <w:color w:val="000000"/>
        </w:rPr>
      </w:pPr>
      <w:r w:rsidRPr="00266C6E">
        <w:rPr>
          <w:color w:val="000000"/>
        </w:rPr>
        <w:t>These precedents continue to influence contemporary practices and help MNEs navigate CSR challenges such as child labor, low safety standards, and corruption (Park et al., 2014; Sampath &amp; Rahman, 2019</w:t>
      </w:r>
      <w:r>
        <w:rPr>
          <w:color w:val="000000"/>
        </w:rPr>
        <w:t xml:space="preserve">; </w:t>
      </w:r>
      <w:proofErr w:type="spellStart"/>
      <w:r w:rsidRPr="00266C6E">
        <w:rPr>
          <w:color w:val="000000"/>
        </w:rPr>
        <w:t>Kluijtmans</w:t>
      </w:r>
      <w:proofErr w:type="spellEnd"/>
      <w:r w:rsidRPr="00266C6E">
        <w:rPr>
          <w:color w:val="000000"/>
        </w:rPr>
        <w:t xml:space="preserve"> et al., 2024). EP influence employee behavior by fostering trust, accountability, and improved organizational outcomes (Key, 1999; Grojean et al., 2004; Waheed &amp; Zhang, 2022). Consumers, managers, employees, and NGOs also exert pressure on MNEs to uphold ethical standards, particularly where public governance is weak (Wu et al., 2015</w:t>
      </w:r>
      <w:r>
        <w:rPr>
          <w:color w:val="000000"/>
        </w:rPr>
        <w:t xml:space="preserve">; </w:t>
      </w:r>
      <w:r w:rsidRPr="00266C6E">
        <w:rPr>
          <w:color w:val="000000"/>
        </w:rPr>
        <w:t>Waheed &amp; Zhang, 2022</w:t>
      </w:r>
      <w:r>
        <w:rPr>
          <w:color w:val="000000"/>
        </w:rPr>
        <w:t xml:space="preserve">; </w:t>
      </w:r>
      <w:r w:rsidRPr="00266C6E">
        <w:rPr>
          <w:color w:val="000000"/>
        </w:rPr>
        <w:t>Nielsen et al., 2023). Firms often engage in voluntary activities to enhance societal welfare beyond legal obligations (Singh et al., 2008</w:t>
      </w:r>
      <w:r>
        <w:rPr>
          <w:color w:val="000000"/>
        </w:rPr>
        <w:t xml:space="preserve">; </w:t>
      </w:r>
      <w:r w:rsidRPr="00266C6E">
        <w:rPr>
          <w:color w:val="000000"/>
        </w:rPr>
        <w:t>Park et al., 2014).</w:t>
      </w:r>
    </w:p>
    <w:p w14:paraId="7EE5EE71" w14:textId="77777777" w:rsidR="00A162B6" w:rsidRPr="00266C6E" w:rsidRDefault="00A162B6" w:rsidP="00A162B6">
      <w:pPr>
        <w:pBdr>
          <w:top w:val="nil"/>
          <w:left w:val="nil"/>
          <w:bottom w:val="nil"/>
          <w:right w:val="nil"/>
          <w:between w:val="nil"/>
        </w:pBdr>
        <w:spacing w:before="120" w:after="120" w:line="360" w:lineRule="auto"/>
        <w:ind w:firstLine="720"/>
        <w:jc w:val="both"/>
        <w:rPr>
          <w:color w:val="000000"/>
        </w:rPr>
      </w:pPr>
      <w:r w:rsidRPr="00266C6E">
        <w:rPr>
          <w:color w:val="000000"/>
        </w:rPr>
        <w:t>The ethical paradox, where well-intentioned ethical commitments fail to yield positive outcomes, is especially salient in emerging-market institutional voids (Kaptein, 2023). Weak governance, uneven enforcement, and coordination gaps can convert principled pledges into symbolic rather than substantive action (Danso et al., 2020). Recent studies illustrate this slippage. In China’s semiconductor sector, third-party environmental disclosure improves financial performance only under specific organizational and political conditions (</w:t>
      </w:r>
      <w:proofErr w:type="spellStart"/>
      <w:r w:rsidRPr="00266C6E">
        <w:rPr>
          <w:color w:val="000000"/>
        </w:rPr>
        <w:t>Alnafrah</w:t>
      </w:r>
      <w:proofErr w:type="spellEnd"/>
      <w:r w:rsidRPr="00266C6E">
        <w:rPr>
          <w:color w:val="000000"/>
        </w:rPr>
        <w:t xml:space="preserve"> et al., 2024). Across countries, AI adoption intended to support sustainability can worsen environmental outcomes once policy or capability thresholds are exceeded, which points to a digital rebound </w:t>
      </w:r>
      <w:r w:rsidRPr="00266C6E">
        <w:rPr>
          <w:color w:val="000000"/>
        </w:rPr>
        <w:lastRenderedPageBreak/>
        <w:t>effect and the need for integrated environmental and digital governance (</w:t>
      </w:r>
      <w:proofErr w:type="spellStart"/>
      <w:r w:rsidRPr="00266C6E">
        <w:rPr>
          <w:color w:val="000000"/>
        </w:rPr>
        <w:t>Alnafrah</w:t>
      </w:r>
      <w:proofErr w:type="spellEnd"/>
      <w:r w:rsidRPr="00266C6E">
        <w:rPr>
          <w:color w:val="000000"/>
        </w:rPr>
        <w:t>, 2025a). Green-innovation efficiency often follows non-linear paths and underperforms without enabling policies such as green taxes or renewable support, so good intentions require institutional complements (</w:t>
      </w:r>
      <w:proofErr w:type="spellStart"/>
      <w:r w:rsidRPr="00266C6E">
        <w:rPr>
          <w:color w:val="000000"/>
        </w:rPr>
        <w:t>Alnafrah</w:t>
      </w:r>
      <w:proofErr w:type="spellEnd"/>
      <w:r w:rsidRPr="00266C6E">
        <w:rPr>
          <w:color w:val="000000"/>
        </w:rPr>
        <w:t>, 2025b). Systems-level resource-management efficiency and digital governance also shape whether ethical and sustainability practices deliver promised benefits (Liu et al., 2024). Governance innovations that improve stakeholder coordination, including blockchain-based incentives, are proposed to address collaboration failures around the SDGs by turning diffuse commitments into monitorable, enforceable actions (Xie et al., 2025). Consistent with Kaptein (2023), these patterns indicate that</w:t>
      </w:r>
      <w:r>
        <w:rPr>
          <w:color w:val="000000"/>
        </w:rPr>
        <w:t>, even with good intentions,</w:t>
      </w:r>
      <w:r w:rsidRPr="00266C6E">
        <w:rPr>
          <w:color w:val="000000"/>
        </w:rPr>
        <w:t xml:space="preserve"> ethical commitments can fail to deliver when managerial systems and institutional supports are weak</w:t>
      </w:r>
      <w:r>
        <w:rPr>
          <w:color w:val="000000"/>
        </w:rPr>
        <w:t xml:space="preserve"> (i.e., under-realization)</w:t>
      </w:r>
      <w:r w:rsidRPr="00266C6E">
        <w:rPr>
          <w:color w:val="000000"/>
        </w:rPr>
        <w:t>. EP influence on SP is therefore conditional on governance quality, enforcement capacity, and stakeholder coordination.</w:t>
      </w:r>
    </w:p>
    <w:p w14:paraId="0A56C1E9" w14:textId="77777777" w:rsidR="00A162B6" w:rsidRPr="00266C6E" w:rsidRDefault="00A162B6" w:rsidP="00A162B6">
      <w:pPr>
        <w:pBdr>
          <w:top w:val="nil"/>
          <w:left w:val="nil"/>
          <w:bottom w:val="nil"/>
          <w:right w:val="nil"/>
          <w:between w:val="nil"/>
        </w:pBdr>
        <w:spacing w:before="120" w:after="120" w:line="360" w:lineRule="auto"/>
        <w:ind w:firstLine="720"/>
        <w:jc w:val="both"/>
        <w:rPr>
          <w:color w:val="000000"/>
        </w:rPr>
      </w:pPr>
      <w:r w:rsidRPr="00266C6E">
        <w:rPr>
          <w:color w:val="000000"/>
        </w:rPr>
        <w:t>CSR can function as a strategic response to institutional voids and as a means to secure legitimacy and a license to operate, particularly in developing-country contexts (Doh et al., 2016). EP therefore play a dual role. They satisfy normative obligations to stakeholders and they support instrumental performance by aligning organizational conduct with sustainability goals (Ruiz-Palomino &amp; Martínez-Cañas, 2014; Waheed &amp; Zhang, 2022). Ethical lapses trigger stakeholder pushback, which prompts firms to adjust CSR strategies and to realign with stakeholder expectations (Park et al., 2014; Yang &amp; Rivers, 2009). In this way, EP shape day-to-day sustainability practices and, over time, can influence SP (Key, 1999; Waheed &amp; Zhang, 2022). We posit the following.</w:t>
      </w:r>
    </w:p>
    <w:p w14:paraId="3D59B0EE" w14:textId="77777777" w:rsidR="00A162B6" w:rsidRPr="00266C6E" w:rsidRDefault="00A162B6" w:rsidP="00A162B6">
      <w:pPr>
        <w:pBdr>
          <w:top w:val="nil"/>
          <w:left w:val="nil"/>
          <w:bottom w:val="nil"/>
          <w:right w:val="nil"/>
          <w:between w:val="nil"/>
        </w:pBdr>
        <w:spacing w:before="120" w:after="120" w:line="360" w:lineRule="auto"/>
        <w:ind w:firstLine="720"/>
        <w:jc w:val="both"/>
        <w:rPr>
          <w:color w:val="000000"/>
        </w:rPr>
      </w:pPr>
      <w:r w:rsidRPr="00266C6E">
        <w:rPr>
          <w:color w:val="000000"/>
        </w:rPr>
        <w:t>H1: Ethical practices, rooted in obligations to diverse stakeholder groups, significantly influence sustainability performance.</w:t>
      </w:r>
    </w:p>
    <w:p w14:paraId="0196DA30" w14:textId="77777777" w:rsidR="00A162B6" w:rsidRPr="00266C6E" w:rsidRDefault="00A162B6" w:rsidP="00A162B6">
      <w:pPr>
        <w:pBdr>
          <w:top w:val="nil"/>
          <w:left w:val="nil"/>
          <w:bottom w:val="nil"/>
          <w:right w:val="nil"/>
          <w:between w:val="nil"/>
        </w:pBdr>
        <w:spacing w:before="120" w:after="120" w:line="360" w:lineRule="auto"/>
        <w:ind w:firstLine="720"/>
        <w:jc w:val="both"/>
        <w:rPr>
          <w:color w:val="000000"/>
        </w:rPr>
      </w:pPr>
      <w:r w:rsidRPr="00266C6E">
        <w:rPr>
          <w:color w:val="000000"/>
        </w:rPr>
        <w:t>According to Litzinger and Schaefer (1987), EP are aspirational in that they articulate desired ethical norms that often exceed current organizational routines and capabilities, aiming to bridge the gap between “</w:t>
      </w:r>
      <w:r w:rsidRPr="00266C6E">
        <w:rPr>
          <w:i/>
          <w:iCs/>
          <w:color w:val="000000"/>
        </w:rPr>
        <w:t>what is</w:t>
      </w:r>
      <w:r w:rsidRPr="00266C6E">
        <w:rPr>
          <w:color w:val="000000"/>
        </w:rPr>
        <w:t>” and “</w:t>
      </w:r>
      <w:r w:rsidRPr="00266C6E">
        <w:rPr>
          <w:i/>
          <w:iCs/>
          <w:color w:val="000000"/>
        </w:rPr>
        <w:t>what ought to be</w:t>
      </w:r>
      <w:r w:rsidRPr="00266C6E">
        <w:rPr>
          <w:color w:val="000000"/>
        </w:rPr>
        <w:t xml:space="preserve">.” Because these commitments reach beyond what is already institutionalized, high ethical standards can create implementation risks. Intensified scrutiny magnifies minor lapses, and overly ambitious commitments can outpace organizational capacity (Kaptein, 2023). A perceived ethics halo may also dampen oversight, inviting concealment or complacency (Bondy, 2008; Kaptein, 2023; Nielsen et al., 2023; </w:t>
      </w:r>
      <w:proofErr w:type="spellStart"/>
      <w:r w:rsidRPr="00266C6E">
        <w:rPr>
          <w:color w:val="000000"/>
        </w:rPr>
        <w:lastRenderedPageBreak/>
        <w:t>Parboteeah</w:t>
      </w:r>
      <w:proofErr w:type="spellEnd"/>
      <w:r w:rsidRPr="00266C6E">
        <w:rPr>
          <w:color w:val="000000"/>
        </w:rPr>
        <w:t xml:space="preserve"> et al., 2024). Converting aspirations into outcomes therefore requires cross-level integration that aligns policies, routines, and governance at operational, tactical, and strategic levels (Svensson &amp; Wood, 2007).</w:t>
      </w:r>
    </w:p>
    <w:p w14:paraId="133D1019" w14:textId="77777777" w:rsidR="00A162B6" w:rsidRPr="00266C6E" w:rsidRDefault="00A162B6" w:rsidP="00A162B6">
      <w:pPr>
        <w:pBdr>
          <w:top w:val="nil"/>
          <w:left w:val="nil"/>
          <w:bottom w:val="nil"/>
          <w:right w:val="nil"/>
          <w:between w:val="nil"/>
        </w:pBdr>
        <w:spacing w:before="120" w:after="120" w:line="360" w:lineRule="auto"/>
        <w:ind w:firstLine="720"/>
        <w:jc w:val="both"/>
        <w:rPr>
          <w:color w:val="000000"/>
        </w:rPr>
      </w:pPr>
      <w:r w:rsidRPr="00266C6E">
        <w:rPr>
          <w:color w:val="000000"/>
        </w:rPr>
        <w:t>These perspectives highlight inherent tensions in EP and the need for mechanisms that translate intent into performance. EMP play this role and are valued for their performance implications, including compliance with international standards (Schuler et al., 2017). EMP encompass organizational actions that reduce environmental footprints and foster sustainability. Examples include pollution prevention, resource conservation, regulatory compliance, and the integration of sustainable processes into daily operations (Lucas, 2010; Ren et al., 2023). EMP also include strategic initiatives such as environmental training, stakeholder communication, and investments in green technologies to enhance efficiency and reduce impacts (Porter &amp; van der Linde, 1995; Zhang &amp; Ma, 2021). Control systems that integrate ecological and financial metrics further align environmental practices with corporate goals and support systematic oversight and adaptation (Rehman et al., 2021).</w:t>
      </w:r>
    </w:p>
    <w:p w14:paraId="50511A69" w14:textId="77777777" w:rsidR="00A162B6" w:rsidRPr="00266C6E" w:rsidRDefault="00A162B6" w:rsidP="00A162B6">
      <w:pPr>
        <w:pBdr>
          <w:top w:val="nil"/>
          <w:left w:val="nil"/>
          <w:bottom w:val="nil"/>
          <w:right w:val="nil"/>
          <w:between w:val="nil"/>
        </w:pBdr>
        <w:spacing w:before="120" w:after="120" w:line="360" w:lineRule="auto"/>
        <w:ind w:firstLine="720"/>
        <w:jc w:val="both"/>
        <w:rPr>
          <w:color w:val="000000"/>
        </w:rPr>
      </w:pPr>
      <w:r w:rsidRPr="00266C6E">
        <w:rPr>
          <w:color w:val="000000"/>
        </w:rPr>
        <w:t>Research supports a strong link between EP and EMP. Ethical leadership fosters a culture of sustainable decision-making and accountability, which promotes innovative approaches to environmental management (Colvin et al., 2020; Zhang &amp; Ma, 2021). Managers who view environmental priorities as part of their ethical commitments are more likely to adopt cleaner production technologies proactively (Russo &amp; Fouts, 1997</w:t>
      </w:r>
      <w:r>
        <w:rPr>
          <w:color w:val="000000"/>
        </w:rPr>
        <w:t xml:space="preserve">; </w:t>
      </w:r>
      <w:r w:rsidRPr="00266C6E">
        <w:rPr>
          <w:color w:val="000000"/>
        </w:rPr>
        <w:t>López-Gamero et al., 2008). Stakeholder pressures from NGOs, consumers, and employees also drive firms toward EMP, aligning EP with expectations for environmental responsibility (Shahzad et al., 2020). This alignment helps firms balance proactive and reactive pollution-prevention methods and meet sustainability objectives effectively (Klassen &amp; Whybark, 1999; López-Gamero et al., 2008).</w:t>
      </w:r>
    </w:p>
    <w:p w14:paraId="526F049C" w14:textId="77777777" w:rsidR="00A162B6" w:rsidRPr="00266C6E" w:rsidRDefault="00A162B6" w:rsidP="00A162B6">
      <w:pPr>
        <w:pBdr>
          <w:top w:val="nil"/>
          <w:left w:val="nil"/>
          <w:bottom w:val="nil"/>
          <w:right w:val="nil"/>
          <w:between w:val="nil"/>
        </w:pBdr>
        <w:spacing w:before="120" w:after="120" w:line="360" w:lineRule="auto"/>
        <w:ind w:firstLine="720"/>
        <w:jc w:val="both"/>
        <w:rPr>
          <w:color w:val="000000"/>
        </w:rPr>
      </w:pPr>
      <w:r>
        <w:rPr>
          <w:color w:val="000000"/>
        </w:rPr>
        <w:t xml:space="preserve">On the other hand, </w:t>
      </w:r>
      <w:r w:rsidRPr="00266C6E">
        <w:rPr>
          <w:color w:val="000000"/>
        </w:rPr>
        <w:t xml:space="preserve">EMP enhance SP through cost reduction, improved reputation, and higher employee morale (Sharma &amp; Vredenburg, 1998; </w:t>
      </w:r>
      <w:proofErr w:type="spellStart"/>
      <w:r w:rsidRPr="00266C6E">
        <w:rPr>
          <w:color w:val="000000"/>
        </w:rPr>
        <w:t>Lannelongue</w:t>
      </w:r>
      <w:proofErr w:type="spellEnd"/>
      <w:r w:rsidRPr="00266C6E">
        <w:rPr>
          <w:color w:val="000000"/>
        </w:rPr>
        <w:t xml:space="preserve"> et al., 2017; Longoni et al., 2018; Yildiz Çankaya &amp; Sezen, 2019; Zhang &amp; Ma, 2021). Investments in pollution-prevention technologies lower material and energy use, improving operational efficiency and long-term performance (Porter &amp; van der Linde, 1995</w:t>
      </w:r>
      <w:r>
        <w:rPr>
          <w:color w:val="000000"/>
        </w:rPr>
        <w:t xml:space="preserve">; </w:t>
      </w:r>
      <w:r w:rsidRPr="00266C6E">
        <w:rPr>
          <w:color w:val="000000"/>
        </w:rPr>
        <w:t xml:space="preserve">Lucas, 2010). EMP also foster innovation by embedding environmental objectives in strategy, strengthening stakeholder collaboration, and building knowledge resources that support competitive advantage (Lucas, 2010; Russo &amp; Fouts, </w:t>
      </w:r>
      <w:r w:rsidRPr="00266C6E">
        <w:rPr>
          <w:color w:val="000000"/>
        </w:rPr>
        <w:lastRenderedPageBreak/>
        <w:t>1997). In addition, EMP mitigate risk by improving relationships with external stakeholders and reducing regulatory and reputational exposure (Stefan &amp; Paul, 2008</w:t>
      </w:r>
      <w:r>
        <w:rPr>
          <w:color w:val="000000"/>
        </w:rPr>
        <w:t xml:space="preserve">; </w:t>
      </w:r>
      <w:r w:rsidRPr="00266C6E">
        <w:rPr>
          <w:color w:val="000000"/>
        </w:rPr>
        <w:t>Shahzad et al., 2020).</w:t>
      </w:r>
    </w:p>
    <w:p w14:paraId="0369361D" w14:textId="27040B7C" w:rsidR="00A162B6" w:rsidRPr="00266C6E" w:rsidRDefault="00A162B6" w:rsidP="00A162B6">
      <w:pPr>
        <w:pBdr>
          <w:top w:val="nil"/>
          <w:left w:val="nil"/>
          <w:bottom w:val="nil"/>
          <w:right w:val="nil"/>
          <w:between w:val="nil"/>
        </w:pBdr>
        <w:spacing w:before="120" w:after="120" w:line="360" w:lineRule="auto"/>
        <w:ind w:firstLine="720"/>
        <w:jc w:val="both"/>
        <w:rPr>
          <w:color w:val="000000"/>
        </w:rPr>
      </w:pPr>
      <w:r>
        <w:rPr>
          <w:color w:val="000000"/>
        </w:rPr>
        <w:t>However, t</w:t>
      </w:r>
      <w:r w:rsidRPr="00266C6E">
        <w:rPr>
          <w:color w:val="000000"/>
        </w:rPr>
        <w:t>he performance payoffs of EMP are not linear; they depend on how practices are configured and integrated (</w:t>
      </w:r>
      <w:proofErr w:type="spellStart"/>
      <w:r w:rsidRPr="00266C6E">
        <w:rPr>
          <w:color w:val="000000"/>
        </w:rPr>
        <w:t>Schaltegger</w:t>
      </w:r>
      <w:proofErr w:type="spellEnd"/>
      <w:r w:rsidRPr="00266C6E">
        <w:rPr>
          <w:color w:val="000000"/>
        </w:rPr>
        <w:t xml:space="preserve"> &amp; Synnestvedt, 2002). Evidence shows that broad adoption can exhibit an inverted U-shape with performance, while deeper integration tends to improve outcomes, partly via green innovation (Zhang &amp; Ma, 2021). Excessive EMP can also strain resources and yield diminishing returns, especially when ambitious goals require major technological shifts and organizational change (</w:t>
      </w:r>
      <w:proofErr w:type="spellStart"/>
      <w:r w:rsidRPr="00266C6E">
        <w:rPr>
          <w:color w:val="000000"/>
        </w:rPr>
        <w:t>Schaltegger</w:t>
      </w:r>
      <w:proofErr w:type="spellEnd"/>
      <w:r w:rsidRPr="00266C6E">
        <w:rPr>
          <w:color w:val="000000"/>
        </w:rPr>
        <w:t xml:space="preserve"> &amp; Synnestvedt, 2002; Zhang &amp; Ma, 2021). Moving from reactive to proactive prevention often needs sizable investments in green technologies, employee training, and management-system reconfiguration, which calls for careful sequencing and strategic planning (Longoni et al., 2018; López-Gamero et al., 2008). In emerging markets, context-specific approaches that balance global standards with local conditions are essential. Firms must account for institutional and regulatory variation and use EMP to build resilience and adaptability amid environmental and market volatility (Arora &amp; De, 2020; Jamali et al., 2020; Ren et al., 2023). EMP therefore act as a mechanism that </w:t>
      </w:r>
      <w:r>
        <w:rPr>
          <w:color w:val="000000"/>
        </w:rPr>
        <w:t xml:space="preserve">operationalizes </w:t>
      </w:r>
      <w:r w:rsidRPr="00266C6E">
        <w:rPr>
          <w:color w:val="000000"/>
        </w:rPr>
        <w:t>ethical intent into tangible sustainability outcomes</w:t>
      </w:r>
      <w:r>
        <w:rPr>
          <w:color w:val="000000"/>
        </w:rPr>
        <w:t xml:space="preserve"> </w:t>
      </w:r>
      <w:r w:rsidRPr="00266C6E">
        <w:rPr>
          <w:color w:val="000000"/>
        </w:rPr>
        <w:t>by converting broad ethical commitments into specific routines, investments, and controls</w:t>
      </w:r>
      <w:r>
        <w:rPr>
          <w:color w:val="000000"/>
        </w:rPr>
        <w:t xml:space="preserve">. This leads to the following hypothesis: </w:t>
      </w:r>
    </w:p>
    <w:p w14:paraId="00000028" w14:textId="7C5EC3EE" w:rsidR="00E07592" w:rsidRDefault="00C67442" w:rsidP="00CD213E">
      <w:pPr>
        <w:pBdr>
          <w:top w:val="nil"/>
          <w:left w:val="nil"/>
          <w:bottom w:val="nil"/>
          <w:right w:val="nil"/>
          <w:between w:val="nil"/>
        </w:pBdr>
        <w:spacing w:before="120" w:after="120" w:line="360" w:lineRule="auto"/>
        <w:ind w:firstLine="720"/>
        <w:jc w:val="both"/>
        <w:rPr>
          <w:color w:val="000000"/>
        </w:rPr>
      </w:pPr>
      <w:r>
        <w:rPr>
          <w:color w:val="000000"/>
        </w:rPr>
        <w:t xml:space="preserve">H2: </w:t>
      </w:r>
      <w:r>
        <w:t>Environmental management practices</w:t>
      </w:r>
      <w:r>
        <w:rPr>
          <w:color w:val="000000"/>
        </w:rPr>
        <w:t xml:space="preserve"> mediate the relationship between </w:t>
      </w:r>
      <w:r>
        <w:t>ethical practices</w:t>
      </w:r>
      <w:r>
        <w:rPr>
          <w:color w:val="000000"/>
        </w:rPr>
        <w:t xml:space="preserve"> and</w:t>
      </w:r>
      <w:r>
        <w:t xml:space="preserve"> sustainability performance</w:t>
      </w:r>
      <w:r>
        <w:rPr>
          <w:color w:val="000000"/>
        </w:rPr>
        <w:t>, operationalizing ethical commitments into practical actions that enhance sustainability outcomes.</w:t>
      </w:r>
    </w:p>
    <w:p w14:paraId="00000029" w14:textId="77777777" w:rsidR="00E07592" w:rsidRDefault="00C67442">
      <w:pPr>
        <w:pBdr>
          <w:top w:val="nil"/>
          <w:left w:val="nil"/>
          <w:bottom w:val="nil"/>
          <w:right w:val="nil"/>
          <w:between w:val="nil"/>
        </w:pBdr>
        <w:spacing w:before="120" w:after="120" w:line="360" w:lineRule="auto"/>
        <w:jc w:val="both"/>
        <w:rPr>
          <w:b/>
          <w:color w:val="000000"/>
        </w:rPr>
      </w:pPr>
      <w:r>
        <w:rPr>
          <w:b/>
          <w:color w:val="000000"/>
        </w:rPr>
        <w:t>2.3 The Role of SDGs Adoption by MNEs</w:t>
      </w:r>
    </w:p>
    <w:p w14:paraId="0000002A" w14:textId="77777777" w:rsidR="00E07592" w:rsidRDefault="00C67442">
      <w:pPr>
        <w:pBdr>
          <w:top w:val="nil"/>
          <w:left w:val="nil"/>
          <w:bottom w:val="nil"/>
          <w:right w:val="nil"/>
          <w:between w:val="nil"/>
        </w:pBdr>
        <w:spacing w:before="120" w:after="120" w:line="360" w:lineRule="auto"/>
        <w:jc w:val="both"/>
        <w:rPr>
          <w:color w:val="000000"/>
        </w:rPr>
      </w:pPr>
      <w:r>
        <w:rPr>
          <w:color w:val="000000"/>
        </w:rPr>
        <w:t xml:space="preserve">The SDGs, established by the United Nations in 2015, provide a universal framework comprising 17 interconnected goals to address global challenges, including poverty, inequality, climate change, and environmental degradation (United Nations, 2015). These goals, </w:t>
      </w:r>
      <w:r>
        <w:t>which form the foundation of Agenda 2030, encompass economic, social, and environmental dimensions, providing</w:t>
      </w:r>
      <w:r>
        <w:rPr>
          <w:color w:val="000000"/>
        </w:rPr>
        <w:t xml:space="preserve"> a comprehensive roadmap for global development (Kolk et al., 2017; </w:t>
      </w:r>
      <w:r>
        <w:t>v</w:t>
      </w:r>
      <w:r>
        <w:rPr>
          <w:color w:val="000000"/>
        </w:rPr>
        <w:t xml:space="preserve">an </w:t>
      </w:r>
      <w:proofErr w:type="spellStart"/>
      <w:r>
        <w:rPr>
          <w:color w:val="000000"/>
        </w:rPr>
        <w:t>Tulder</w:t>
      </w:r>
      <w:proofErr w:type="spellEnd"/>
      <w:r>
        <w:rPr>
          <w:color w:val="000000"/>
        </w:rPr>
        <w:t xml:space="preserve"> et al., 2021; </w:t>
      </w:r>
      <w:r>
        <w:t>v</w:t>
      </w:r>
      <w:r>
        <w:rPr>
          <w:color w:val="000000"/>
        </w:rPr>
        <w:t xml:space="preserve">an </w:t>
      </w:r>
      <w:proofErr w:type="spellStart"/>
      <w:r>
        <w:rPr>
          <w:color w:val="000000"/>
        </w:rPr>
        <w:t>Tulder</w:t>
      </w:r>
      <w:proofErr w:type="spellEnd"/>
      <w:r>
        <w:rPr>
          <w:color w:val="000000"/>
        </w:rPr>
        <w:t xml:space="preserve"> &amp; van Mil, 2023). Unlike earlier sustainability frameworks, the SDGs follow a principles-based approach, guided by overarching principles such as “</w:t>
      </w:r>
      <w:r>
        <w:rPr>
          <w:i/>
          <w:color w:val="000000"/>
        </w:rPr>
        <w:t>no one left behind</w:t>
      </w:r>
      <w:r>
        <w:rPr>
          <w:color w:val="000000"/>
        </w:rPr>
        <w:t xml:space="preserve">” and dimensions of People, Planet, Prosperity, Peace, and Partnership (Nonet et al., 2022). Given their </w:t>
      </w:r>
      <w:r>
        <w:rPr>
          <w:color w:val="000000"/>
        </w:rPr>
        <w:lastRenderedPageBreak/>
        <w:t>global reach and innovative c</w:t>
      </w:r>
      <w:r>
        <w:rPr>
          <w:color w:val="000000"/>
        </w:rPr>
        <w:t xml:space="preserve">apacity, MNEs play a crucial role in embedding SDGs into their strategies (van </w:t>
      </w:r>
      <w:proofErr w:type="spellStart"/>
      <w:r>
        <w:rPr>
          <w:color w:val="000000"/>
        </w:rPr>
        <w:t>Tulder</w:t>
      </w:r>
      <w:proofErr w:type="spellEnd"/>
      <w:r>
        <w:rPr>
          <w:color w:val="000000"/>
        </w:rPr>
        <w:t xml:space="preserve"> et al., 2021; Nielsen et al., 2023).</w:t>
      </w:r>
    </w:p>
    <w:p w14:paraId="0000002B" w14:textId="77777777" w:rsidR="00E07592" w:rsidRDefault="00C67442">
      <w:pPr>
        <w:pBdr>
          <w:top w:val="nil"/>
          <w:left w:val="nil"/>
          <w:bottom w:val="nil"/>
          <w:right w:val="nil"/>
          <w:between w:val="nil"/>
        </w:pBdr>
        <w:spacing w:before="120" w:after="120" w:line="360" w:lineRule="auto"/>
        <w:ind w:firstLine="720"/>
        <w:jc w:val="both"/>
        <w:rPr>
          <w:color w:val="000000"/>
        </w:rPr>
      </w:pPr>
      <w:r>
        <w:rPr>
          <w:color w:val="000000"/>
        </w:rPr>
        <w:t>Achieving these goals requires active participation and collaboration among MNEs, governments, and societal stakeholders to foster inclusivity and equity (Ghauri, 2022). Nonetheless, the effectiveness of SDG adoption in institutionally weak emerging markets remains understudied, particularly concerning sustainability practices (Liou &amp; Rao-Nicholson, 2021). By aligning their corporate objectives with the SDGs, firms can enhance their legitimacy and reinforce stakeholder trust, signaling their dedication to s</w:t>
      </w:r>
      <w:r>
        <w:rPr>
          <w:color w:val="000000"/>
        </w:rPr>
        <w:t xml:space="preserve">ocietal and environmental responsibilities (van </w:t>
      </w:r>
      <w:proofErr w:type="spellStart"/>
      <w:r>
        <w:rPr>
          <w:color w:val="000000"/>
        </w:rPr>
        <w:t>Tulder</w:t>
      </w:r>
      <w:proofErr w:type="spellEnd"/>
      <w:r>
        <w:rPr>
          <w:color w:val="000000"/>
        </w:rPr>
        <w:t xml:space="preserve"> et al., 2021; Wiessner et al., 2023). </w:t>
      </w:r>
      <w:r>
        <w:t>L</w:t>
      </w:r>
      <w:r>
        <w:rPr>
          <w:color w:val="000000"/>
        </w:rPr>
        <w:t>iterature identifies multiple factors influencing corporate SDG integration, including institutional environments, industry norms, organizational culture and leadership (</w:t>
      </w:r>
      <w:r>
        <w:t>v</w:t>
      </w:r>
      <w:r>
        <w:rPr>
          <w:color w:val="000000"/>
        </w:rPr>
        <w:t xml:space="preserve">an Zanten &amp; </w:t>
      </w:r>
      <w:r>
        <w:t>v</w:t>
      </w:r>
      <w:r>
        <w:rPr>
          <w:color w:val="000000"/>
        </w:rPr>
        <w:t xml:space="preserve">an </w:t>
      </w:r>
      <w:proofErr w:type="spellStart"/>
      <w:r>
        <w:rPr>
          <w:color w:val="000000"/>
        </w:rPr>
        <w:t>Tulder</w:t>
      </w:r>
      <w:proofErr w:type="spellEnd"/>
      <w:r>
        <w:rPr>
          <w:color w:val="000000"/>
        </w:rPr>
        <w:t>, 2021; de Almeida et al., 2023). Santos and Silva Bastos (2020) highlight ethical, economic, and contextual motivations as determinants shaping firms' SDG strategies. This multi-level understanding is critical for operationa</w:t>
      </w:r>
      <w:r>
        <w:rPr>
          <w:color w:val="000000"/>
        </w:rPr>
        <w:t>lizing SDGs effectively in challenging institutional contexts.</w:t>
      </w:r>
    </w:p>
    <w:p w14:paraId="0000002C" w14:textId="2762A592" w:rsidR="00E07592" w:rsidRDefault="00C67442">
      <w:pPr>
        <w:pBdr>
          <w:top w:val="nil"/>
          <w:left w:val="nil"/>
          <w:bottom w:val="nil"/>
          <w:right w:val="nil"/>
          <w:between w:val="nil"/>
        </w:pBdr>
        <w:spacing w:before="120" w:after="120" w:line="360" w:lineRule="auto"/>
        <w:ind w:firstLine="720"/>
        <w:jc w:val="both"/>
        <w:rPr>
          <w:color w:val="000000"/>
        </w:rPr>
      </w:pPr>
      <w:r>
        <w:rPr>
          <w:color w:val="000000"/>
        </w:rPr>
        <w:t>However, global progress on SDGs has stalled or regressed in many areas since 2020 (United Nations, 2024). Critics emphasize that corporate engagement with SDGs frequently appears more symbolic than substantive, aiming primarily at enhancing legitimacy and reputation (</w:t>
      </w:r>
      <w:r>
        <w:t>v</w:t>
      </w:r>
      <w:r>
        <w:rPr>
          <w:color w:val="000000"/>
        </w:rPr>
        <w:t xml:space="preserve">an der Waal &amp; </w:t>
      </w:r>
      <w:proofErr w:type="spellStart"/>
      <w:r>
        <w:rPr>
          <w:color w:val="000000"/>
        </w:rPr>
        <w:t>Thijssens</w:t>
      </w:r>
      <w:proofErr w:type="spellEnd"/>
      <w:r>
        <w:rPr>
          <w:color w:val="000000"/>
        </w:rPr>
        <w:t>, 2020). This symbolic approach risks producing superficial partnerships</w:t>
      </w:r>
      <w:r w:rsidR="0033619A">
        <w:rPr>
          <w:color w:val="000000"/>
        </w:rPr>
        <w:t xml:space="preserve">, </w:t>
      </w:r>
      <w:r>
        <w:rPr>
          <w:color w:val="000000"/>
        </w:rPr>
        <w:t>labelled “</w:t>
      </w:r>
      <w:r>
        <w:rPr>
          <w:i/>
          <w:color w:val="000000"/>
        </w:rPr>
        <w:t>rainbow washers</w:t>
      </w:r>
      <w:r w:rsidR="0033619A">
        <w:rPr>
          <w:i/>
          <w:color w:val="000000"/>
        </w:rPr>
        <w:t>,</w:t>
      </w:r>
      <w:r>
        <w:rPr>
          <w:color w:val="000000"/>
        </w:rPr>
        <w:t>”</w:t>
      </w:r>
      <w:r w:rsidR="0033619A">
        <w:rPr>
          <w:color w:val="000000"/>
        </w:rPr>
        <w:t xml:space="preserve"> </w:t>
      </w:r>
      <w:r>
        <w:rPr>
          <w:color w:val="000000"/>
        </w:rPr>
        <w:t>where companies engage in nominally meaningful collaborations but fail to deliver substantive outcomes due to insufficient governance or misaligned objectives (Gutierrez et al., 2022). Such superficial engagement widens the IRG, leaving ethical commitments and sustainability goals unfulfilled amid resource constraints, conflicting priorities, and institutional weaknesses (</w:t>
      </w:r>
      <w:r>
        <w:t>Dau &amp; Moore</w:t>
      </w:r>
      <w:r>
        <w:t xml:space="preserve">, 2023; </w:t>
      </w:r>
      <w:r>
        <w:rPr>
          <w:color w:val="000000"/>
        </w:rPr>
        <w:t xml:space="preserve">Nonet et al., 2022; </w:t>
      </w:r>
      <w:r>
        <w:t>Pogge &amp; Sengupta, 2015</w:t>
      </w:r>
      <w:r>
        <w:rPr>
          <w:color w:val="000000"/>
        </w:rPr>
        <w:t>).</w:t>
      </w:r>
    </w:p>
    <w:p w14:paraId="0000002D" w14:textId="5EE8C215" w:rsidR="00E07592" w:rsidRDefault="00C67442">
      <w:pPr>
        <w:pBdr>
          <w:top w:val="nil"/>
          <w:left w:val="nil"/>
          <w:bottom w:val="nil"/>
          <w:right w:val="nil"/>
          <w:between w:val="nil"/>
        </w:pBdr>
        <w:spacing w:before="120" w:after="120" w:line="360" w:lineRule="auto"/>
        <w:ind w:firstLine="720"/>
        <w:jc w:val="both"/>
        <w:rPr>
          <w:color w:val="000000"/>
        </w:rPr>
      </w:pPr>
      <w:r>
        <w:rPr>
          <w:color w:val="000000"/>
        </w:rPr>
        <w:t>Wicked problems</w:t>
      </w:r>
      <w:r w:rsidR="0033619A">
        <w:rPr>
          <w:color w:val="000000"/>
        </w:rPr>
        <w:t xml:space="preserve"> (i.e., </w:t>
      </w:r>
      <w:r>
        <w:rPr>
          <w:color w:val="000000"/>
        </w:rPr>
        <w:t>interconnected, complex issues without straightforward solutions</w:t>
      </w:r>
      <w:r w:rsidR="0033619A">
        <w:rPr>
          <w:color w:val="000000"/>
        </w:rPr>
        <w:t xml:space="preserve">) </w:t>
      </w:r>
      <w:r>
        <w:rPr>
          <w:color w:val="000000"/>
        </w:rPr>
        <w:t>further complicate SDG implementation, such as tensions between profitability and sustainability or conflicting stakeholder demands (</w:t>
      </w:r>
      <w:r>
        <w:t>Alexander et al., 2022; Liou &amp; Rao-Nicholson, 2021; v</w:t>
      </w:r>
      <w:r>
        <w:rPr>
          <w:color w:val="000000"/>
        </w:rPr>
        <w:t xml:space="preserve">an </w:t>
      </w:r>
      <w:proofErr w:type="spellStart"/>
      <w:r>
        <w:rPr>
          <w:color w:val="000000"/>
        </w:rPr>
        <w:t>Tulder</w:t>
      </w:r>
      <w:proofErr w:type="spellEnd"/>
      <w:r>
        <w:rPr>
          <w:color w:val="000000"/>
        </w:rPr>
        <w:t xml:space="preserve"> &amp; Keen, 2018). Addressing these challenges requires collaborative regulatory frameworks and incentive structures supporting strategic alignment with global sustainability demands, </w:t>
      </w:r>
      <w:r>
        <w:rPr>
          <w:color w:val="000000"/>
        </w:rPr>
        <w:lastRenderedPageBreak/>
        <w:t>ensuring marginalized perspectives inform sustainability decisions and</w:t>
      </w:r>
      <w:r>
        <w:rPr>
          <w:color w:val="000000"/>
        </w:rPr>
        <w:t xml:space="preserve"> promote equitable outcomes (Ghauri, 2022; </w:t>
      </w:r>
      <w:r>
        <w:t>Menton et al., 2020</w:t>
      </w:r>
      <w:r>
        <w:rPr>
          <w:color w:val="000000"/>
        </w:rPr>
        <w:t>).</w:t>
      </w:r>
    </w:p>
    <w:p w14:paraId="0000002E" w14:textId="77777777" w:rsidR="00E07592" w:rsidRDefault="00C67442">
      <w:pPr>
        <w:pBdr>
          <w:top w:val="nil"/>
          <w:left w:val="nil"/>
          <w:bottom w:val="nil"/>
          <w:right w:val="nil"/>
          <w:between w:val="nil"/>
        </w:pBdr>
        <w:spacing w:before="120" w:after="120" w:line="360" w:lineRule="auto"/>
        <w:ind w:firstLine="720"/>
        <w:jc w:val="both"/>
        <w:rPr>
          <w:color w:val="000000"/>
        </w:rPr>
      </w:pPr>
      <w:r>
        <w:rPr>
          <w:color w:val="000000"/>
        </w:rPr>
        <w:t xml:space="preserve">Effective SDG adoption encourages MNEs to set clear, actionable sustainability targets, </w:t>
      </w:r>
      <w:r>
        <w:t>which in turn influence</w:t>
      </w:r>
      <w:r>
        <w:rPr>
          <w:color w:val="000000"/>
        </w:rPr>
        <w:t xml:space="preserve"> EMP. Through initiatives such as pollution prevention, resource optimization, and sustainable process integration, firms can directly operationalize SDG commitments, simultaneously addressing environmental concerns and social equity (Lucas, 2010; Menton et al., 2020; </w:t>
      </w:r>
      <w:r>
        <w:t>Ren et al., 2023</w:t>
      </w:r>
      <w:r>
        <w:rPr>
          <w:color w:val="000000"/>
        </w:rPr>
        <w:t>). Justice-oriented EMP frameworks, in particular, facilitate equitable distribution of environmental benefits and burdens, aligning with broader SDG objectives (Cugueró-</w:t>
      </w:r>
      <w:proofErr w:type="spellStart"/>
      <w:r>
        <w:rPr>
          <w:color w:val="000000"/>
        </w:rPr>
        <w:t>Escofet</w:t>
      </w:r>
      <w:proofErr w:type="spellEnd"/>
      <w:r>
        <w:rPr>
          <w:color w:val="000000"/>
        </w:rPr>
        <w:t xml:space="preserve"> &amp; Fortin, 2014). Moreover,</w:t>
      </w:r>
      <w:r>
        <w:rPr>
          <w:color w:val="000000"/>
        </w:rPr>
        <w:t xml:space="preserve"> adopting SDGs heightens the stakeholder pressure on firms, intensifying expectations for measurable</w:t>
      </w:r>
      <w:r>
        <w:t>,</w:t>
      </w:r>
      <w:r>
        <w:rPr>
          <w:color w:val="000000"/>
        </w:rPr>
        <w:t xml:space="preserve"> accountable environmental actions that align with global sustainability benchmarks (Shahzad et al., 2020). Such practices </w:t>
      </w:r>
      <w:r>
        <w:t xml:space="preserve">enable firms to effectively bridge aspirational commitments and tangible outcomes, thereby </w:t>
      </w:r>
      <w:r>
        <w:rPr>
          <w:color w:val="000000"/>
        </w:rPr>
        <w:t>enhancing SP through cost savings, improved reputation, and increased employee morale (Sharma &amp; Vredenburg, 1998; Zhang &amp; Ma, 2021).</w:t>
      </w:r>
    </w:p>
    <w:p w14:paraId="0000002F" w14:textId="77777777" w:rsidR="00E07592" w:rsidRDefault="00C67442">
      <w:pPr>
        <w:pBdr>
          <w:top w:val="nil"/>
          <w:left w:val="nil"/>
          <w:bottom w:val="nil"/>
          <w:right w:val="nil"/>
          <w:between w:val="nil"/>
        </w:pBdr>
        <w:spacing w:before="120" w:after="120" w:line="360" w:lineRule="auto"/>
        <w:ind w:firstLine="720"/>
        <w:jc w:val="both"/>
      </w:pPr>
      <w:r>
        <w:rPr>
          <w:color w:val="000000"/>
        </w:rPr>
        <w:t>Nevertheless, achieving SDG objectives remains challenging, particularly for MNEs in the Global South, facing constraints such as limited resources and weak institutional frameworks (Liou &amp; Rao-Nicholson, 2021</w:t>
      </w:r>
      <w:r>
        <w:t xml:space="preserve">; Nilsson &amp; Fougère, 2024; van Zanten &amp; van </w:t>
      </w:r>
      <w:proofErr w:type="spellStart"/>
      <w:r>
        <w:t>Tulder</w:t>
      </w:r>
      <w:proofErr w:type="spellEnd"/>
      <w:r>
        <w:t>, 2018</w:t>
      </w:r>
      <w:r>
        <w:rPr>
          <w:color w:val="000000"/>
        </w:rPr>
        <w:t>). Research identifies several mechanisms through which SDGs impact corporate sustainability strategies, including governance diversity in sustainability committees (Zampone et al., 2024), government-supported green innovation (Ullah et al., 2023), and board-level initiatives targeting specific sustainability outcomes (</w:t>
      </w:r>
      <w:proofErr w:type="spellStart"/>
      <w:r>
        <w:rPr>
          <w:color w:val="000000"/>
        </w:rPr>
        <w:t>Toukabri</w:t>
      </w:r>
      <w:proofErr w:type="spellEnd"/>
      <w:r>
        <w:rPr>
          <w:color w:val="000000"/>
        </w:rPr>
        <w:t xml:space="preserve"> &amp; Mohamed Youssef, 2023). </w:t>
      </w:r>
    </w:p>
    <w:p w14:paraId="00000031" w14:textId="1406FA5D" w:rsidR="00E07592" w:rsidRDefault="00C67442" w:rsidP="0050455B">
      <w:pPr>
        <w:pBdr>
          <w:top w:val="nil"/>
          <w:left w:val="nil"/>
          <w:bottom w:val="nil"/>
          <w:right w:val="nil"/>
          <w:between w:val="nil"/>
        </w:pBdr>
        <w:spacing w:before="120" w:after="120" w:line="360" w:lineRule="auto"/>
        <w:ind w:firstLine="720"/>
        <w:jc w:val="both"/>
        <w:rPr>
          <w:color w:val="000000"/>
        </w:rPr>
      </w:pPr>
      <w:r>
        <w:rPr>
          <w:color w:val="000000"/>
        </w:rPr>
        <w:t xml:space="preserve">Furthermore, </w:t>
      </w:r>
      <w:r>
        <w:t>the SDGs have demonstrated moderating roles in digital reputation management, innovation strategies, and the influence of financial inclusion</w:t>
      </w:r>
      <w:r>
        <w:rPr>
          <w:color w:val="000000"/>
        </w:rPr>
        <w:t xml:space="preserve"> on sustainable outcomes (</w:t>
      </w:r>
      <w:r>
        <w:t xml:space="preserve">Barkat et al., 2024; </w:t>
      </w:r>
      <w:proofErr w:type="spellStart"/>
      <w:r>
        <w:t>Opazo-Basáez</w:t>
      </w:r>
      <w:proofErr w:type="spellEnd"/>
      <w:r>
        <w:t xml:space="preserve"> et al., 2024; </w:t>
      </w:r>
      <w:proofErr w:type="spellStart"/>
      <w:r>
        <w:rPr>
          <w:color w:val="000000"/>
        </w:rPr>
        <w:t>Rosamartina</w:t>
      </w:r>
      <w:proofErr w:type="spellEnd"/>
      <w:r>
        <w:rPr>
          <w:color w:val="000000"/>
        </w:rPr>
        <w:t xml:space="preserve"> et al., 2022). These mixed effects highlight the complexity of aligning SDG objectives with corporate practices, underscoring the necessity of a deeper examination into how SDG adoption interacts with EP and EMP. Therefore, this study aims to explore </w:t>
      </w:r>
      <w:r>
        <w:t>the mediating and moderating roles</w:t>
      </w:r>
      <w:r>
        <w:t xml:space="preserve"> of SDG adoption </w:t>
      </w:r>
      <w:r>
        <w:rPr>
          <w:color w:val="000000"/>
        </w:rPr>
        <w:t>in the relationship between EP, environmental management, and corporate sustainability outcomes. Based on these considerations, we propose the following:</w:t>
      </w:r>
    </w:p>
    <w:p w14:paraId="00000033" w14:textId="6E3CD0F4" w:rsidR="00E07592" w:rsidRDefault="00C67442" w:rsidP="0050455B">
      <w:pPr>
        <w:pBdr>
          <w:top w:val="nil"/>
          <w:left w:val="nil"/>
          <w:bottom w:val="nil"/>
          <w:right w:val="nil"/>
          <w:between w:val="nil"/>
        </w:pBdr>
        <w:spacing w:before="120" w:after="120" w:line="360" w:lineRule="auto"/>
        <w:ind w:firstLine="720"/>
        <w:jc w:val="both"/>
        <w:rPr>
          <w:color w:val="000000"/>
        </w:rPr>
      </w:pPr>
      <w:r>
        <w:rPr>
          <w:color w:val="000000"/>
        </w:rPr>
        <w:lastRenderedPageBreak/>
        <w:t xml:space="preserve">H3: MNEs' adoption of the SDGs mediates the relationship between </w:t>
      </w:r>
      <w:r>
        <w:t>ethical practices</w:t>
      </w:r>
      <w:r>
        <w:rPr>
          <w:color w:val="000000"/>
        </w:rPr>
        <w:t xml:space="preserve"> and </w:t>
      </w:r>
      <w:r>
        <w:t>sustainability performance</w:t>
      </w:r>
      <w:r>
        <w:rPr>
          <w:color w:val="000000"/>
        </w:rPr>
        <w:t>, facilitating the translation of ethical commitments into measurable sustainability outcomes.</w:t>
      </w:r>
    </w:p>
    <w:p w14:paraId="00000035" w14:textId="2A4683D8" w:rsidR="00E07592" w:rsidRDefault="00C67442" w:rsidP="0050455B">
      <w:pPr>
        <w:pBdr>
          <w:top w:val="nil"/>
          <w:left w:val="nil"/>
          <w:bottom w:val="nil"/>
          <w:right w:val="nil"/>
          <w:between w:val="nil"/>
        </w:pBdr>
        <w:spacing w:before="120" w:after="120" w:line="360" w:lineRule="auto"/>
        <w:ind w:firstLine="720"/>
        <w:jc w:val="both"/>
        <w:rPr>
          <w:color w:val="000000"/>
        </w:rPr>
      </w:pPr>
      <w:r>
        <w:rPr>
          <w:color w:val="000000"/>
        </w:rPr>
        <w:t xml:space="preserve">H4: MNEs' adoption of the SDGs mediates the relationship between </w:t>
      </w:r>
      <w:r>
        <w:t xml:space="preserve">environmental management practices </w:t>
      </w:r>
      <w:r>
        <w:rPr>
          <w:color w:val="000000"/>
        </w:rPr>
        <w:t xml:space="preserve">and </w:t>
      </w:r>
      <w:r>
        <w:t>sustainability performance</w:t>
      </w:r>
      <w:r>
        <w:rPr>
          <w:color w:val="000000"/>
        </w:rPr>
        <w:t>, integrating environmental initiatives with global sustainability objectives.</w:t>
      </w:r>
    </w:p>
    <w:p w14:paraId="00000037" w14:textId="7824351A" w:rsidR="00E07592" w:rsidRDefault="00C67442" w:rsidP="0050455B">
      <w:pPr>
        <w:pBdr>
          <w:top w:val="nil"/>
          <w:left w:val="nil"/>
          <w:bottom w:val="nil"/>
          <w:right w:val="nil"/>
          <w:between w:val="nil"/>
        </w:pBdr>
        <w:spacing w:before="120" w:after="120" w:line="360" w:lineRule="auto"/>
        <w:ind w:firstLine="720"/>
        <w:jc w:val="both"/>
        <w:rPr>
          <w:color w:val="000000"/>
        </w:rPr>
      </w:pPr>
      <w:r>
        <w:rPr>
          <w:color w:val="000000"/>
        </w:rPr>
        <w:t xml:space="preserve">H5: MNEs' adoption of the SDGs moderates the impact of </w:t>
      </w:r>
      <w:r>
        <w:t>ethical practices</w:t>
      </w:r>
      <w:r>
        <w:rPr>
          <w:color w:val="000000"/>
        </w:rPr>
        <w:t xml:space="preserve"> on </w:t>
      </w:r>
      <w:r>
        <w:t>sustainability performance</w:t>
      </w:r>
      <w:r>
        <w:rPr>
          <w:color w:val="000000"/>
        </w:rPr>
        <w:t>, amplifying their alignment with global sustainability goals.</w:t>
      </w:r>
    </w:p>
    <w:p w14:paraId="591F76DC" w14:textId="3810D0BA" w:rsidR="0050455B" w:rsidRPr="0050455B" w:rsidRDefault="00C67442" w:rsidP="0050455B">
      <w:pPr>
        <w:pStyle w:val="Heading3"/>
        <w:keepNext w:val="0"/>
        <w:keepLines w:val="0"/>
        <w:spacing w:before="120" w:after="120" w:line="360" w:lineRule="auto"/>
        <w:ind w:firstLine="720"/>
        <w:jc w:val="both"/>
        <w:rPr>
          <w:color w:val="000000"/>
          <w:sz w:val="24"/>
          <w:szCs w:val="24"/>
        </w:rPr>
      </w:pPr>
      <w:r>
        <w:rPr>
          <w:color w:val="000000"/>
          <w:sz w:val="24"/>
          <w:szCs w:val="24"/>
        </w:rPr>
        <w:t>H6: MNEs' adoption of the SDGs moderates the impact of environmental management practices on sustainability performance, amplifying their contribution to sustainability outcomes.</w:t>
      </w:r>
    </w:p>
    <w:p w14:paraId="0000003C" w14:textId="5A35B2F6" w:rsidR="00E07592" w:rsidRPr="0050455B" w:rsidRDefault="00C67442" w:rsidP="0050455B">
      <w:pPr>
        <w:spacing w:before="240" w:after="240" w:line="360" w:lineRule="auto"/>
        <w:jc w:val="both"/>
        <w:rPr>
          <w:b/>
        </w:rPr>
      </w:pPr>
      <w:r>
        <w:rPr>
          <w:b/>
        </w:rPr>
        <w:t>3. Materials and Methods</w:t>
      </w:r>
    </w:p>
    <w:p w14:paraId="0000003D" w14:textId="77777777" w:rsidR="00E07592" w:rsidRDefault="00C67442">
      <w:pPr>
        <w:spacing w:before="120" w:after="120" w:line="360" w:lineRule="auto"/>
        <w:jc w:val="both"/>
        <w:rPr>
          <w:b/>
        </w:rPr>
      </w:pPr>
      <w:r>
        <w:rPr>
          <w:b/>
        </w:rPr>
        <w:t>3.1 Sample and Method Overview</w:t>
      </w:r>
    </w:p>
    <w:p w14:paraId="7099E572" w14:textId="1CE0EAEC" w:rsidR="0050455B" w:rsidRDefault="0050455B">
      <w:pPr>
        <w:spacing w:before="120" w:after="120" w:line="360" w:lineRule="auto"/>
        <w:jc w:val="both"/>
      </w:pPr>
      <w:r>
        <w:t>To test our research model (Fig.1)</w:t>
      </w:r>
      <w:r w:rsidRPr="0050455B">
        <w:t>, we analyze a sample of 560 MNEs operating across Consumer Goods, Energy and Resources, Financial Services, Healthcare, and Technology using calendar-year 2023 data from Refinitiv (LSEG)</w:t>
      </w:r>
      <w:r>
        <w:rPr>
          <w:vertAlign w:val="superscript"/>
        </w:rPr>
        <w:footnoteReference w:id="2"/>
      </w:r>
      <w:r>
        <w:t>.</w:t>
      </w:r>
      <w:r w:rsidRPr="0050455B">
        <w:t xml:space="preserve"> </w:t>
      </w:r>
      <w:r w:rsidRPr="00CD213E">
        <w:rPr>
          <w:u w:val="single"/>
        </w:rPr>
        <w:t>Table 1</w:t>
      </w:r>
      <w:r w:rsidRPr="0050455B">
        <w:t xml:space="preserve"> provides the distribution of sampled MNEs by industry and country. This broad inclusion enables a comprehensive view of how firms confront cross-industry sustainability challenges while aligning EP, EMP, and SP, and it allows us to study the roles of SDG adoption as both mediator and moderator among these constructs. Prior studies emphasize both the opportunities and complexities of integrating SDG frameworks into corporate strategy, particularly under diverse institutional conditions (Liou &amp; Rao-Nicholson, 2021; Nilsson &amp; Fougère, 2024; van </w:t>
      </w:r>
      <w:proofErr w:type="spellStart"/>
      <w:r w:rsidRPr="0050455B">
        <w:t>Tulder</w:t>
      </w:r>
      <w:proofErr w:type="spellEnd"/>
      <w:r w:rsidRPr="0050455B">
        <w:t xml:space="preserve"> &amp; van Mil, 2023). </w:t>
      </w:r>
    </w:p>
    <w:p w14:paraId="4CE73A18" w14:textId="3C35B9CE" w:rsidR="00CD213E" w:rsidRDefault="00CD213E" w:rsidP="00CD213E">
      <w:pPr>
        <w:spacing w:before="120" w:after="120" w:line="360" w:lineRule="auto"/>
        <w:jc w:val="center"/>
      </w:pPr>
      <w:r w:rsidRPr="00315657">
        <w:rPr>
          <w:noProof/>
        </w:rPr>
        <w:lastRenderedPageBreak/>
        <w:drawing>
          <wp:inline distT="0" distB="0" distL="0" distR="0" wp14:anchorId="7425E6EE" wp14:editId="18E77BB0">
            <wp:extent cx="5563402" cy="4746401"/>
            <wp:effectExtent l="0" t="0" r="0" b="0"/>
            <wp:docPr id="1675696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96611" name=""/>
                    <pic:cNvPicPr/>
                  </pic:nvPicPr>
                  <pic:blipFill rotWithShape="1">
                    <a:blip r:embed="rId8"/>
                    <a:srcRect b="13361"/>
                    <a:stretch/>
                  </pic:blipFill>
                  <pic:spPr bwMode="auto">
                    <a:xfrm>
                      <a:off x="0" y="0"/>
                      <a:ext cx="5689213" cy="4853736"/>
                    </a:xfrm>
                    <a:prstGeom prst="rect">
                      <a:avLst/>
                    </a:prstGeom>
                    <a:ln>
                      <a:noFill/>
                    </a:ln>
                    <a:extLst>
                      <a:ext uri="{53640926-AAD7-44D8-BBD7-CCE9431645EC}">
                        <a14:shadowObscured xmlns:a14="http://schemas.microsoft.com/office/drawing/2010/main"/>
                      </a:ext>
                    </a:extLst>
                  </pic:spPr>
                </pic:pic>
              </a:graphicData>
            </a:graphic>
          </wp:inline>
        </w:drawing>
      </w:r>
    </w:p>
    <w:p w14:paraId="001092C4" w14:textId="623F579C" w:rsidR="00CD213E" w:rsidRPr="00CD213E" w:rsidRDefault="00CD213E" w:rsidP="00CD213E">
      <w:pPr>
        <w:spacing w:before="120" w:after="120" w:line="360" w:lineRule="auto"/>
        <w:jc w:val="center"/>
        <w:rPr>
          <w:i/>
          <w:iCs/>
        </w:rPr>
      </w:pPr>
      <w:r w:rsidRPr="00CD213E">
        <w:rPr>
          <w:i/>
          <w:iCs/>
        </w:rPr>
        <w:t>Figure 1. Research Model.</w:t>
      </w:r>
    </w:p>
    <w:p w14:paraId="4AB62C2A" w14:textId="7C686F7C" w:rsidR="00CD213E" w:rsidRDefault="0050455B" w:rsidP="0050455B">
      <w:pPr>
        <w:spacing w:before="120" w:after="120" w:line="360" w:lineRule="auto"/>
        <w:jc w:val="both"/>
        <w:sectPr w:rsidR="00CD213E" w:rsidSect="00C806BF">
          <w:footerReference w:type="even" r:id="rId9"/>
          <w:footerReference w:type="default" r:id="rId10"/>
          <w:footerReference w:type="first" r:id="rId11"/>
          <w:pgSz w:w="12240" w:h="15840"/>
          <w:pgMar w:top="1440" w:right="1440" w:bottom="1440" w:left="1440" w:header="720" w:footer="720" w:gutter="0"/>
          <w:cols w:space="720"/>
          <w:titlePg/>
        </w:sectPr>
      </w:pPr>
      <w:r>
        <w:t>Following UNCTAD’s FDI-based criterion for identifying foreign affiliates</w:t>
      </w:r>
      <w:r>
        <w:rPr>
          <w:vertAlign w:val="superscript"/>
        </w:rPr>
        <w:footnoteReference w:id="3"/>
      </w:r>
      <w:r>
        <w:t xml:space="preserve">, we focus on </w:t>
      </w:r>
      <w:r w:rsidRPr="0050455B">
        <w:rPr>
          <w:rStyle w:val="Strong"/>
          <w:b w:val="0"/>
          <w:bCs w:val="0"/>
        </w:rPr>
        <w:t>MENA-headquartered multinational enterprises</w:t>
      </w:r>
      <w:r>
        <w:t xml:space="preserve"> and exclude purely domestic firms </w:t>
      </w:r>
      <w:r w:rsidRPr="0050455B">
        <w:t xml:space="preserve">to foreground global–local tensions in sustainability management. To assess potential selection bias from restricting the sample to MNEs, we estimated a Heckman two-stage model; the inverse Mills ratio was not significant, indicating no detectable selection bias. We also tested industry fixed effects via dummy variables; coefficients were non-significant and results were unchanged, so we report the baseline model without industry dummies. Refinitiv reports many items as both a binary adoption indicator </w:t>
      </w:r>
      <w:r w:rsidR="00CD213E" w:rsidRPr="0050455B">
        <w:t>and a scaled 0–100 score. For construct clarity and cross-country comparability, we operationalize</w:t>
      </w:r>
    </w:p>
    <w:p w14:paraId="3E2572F1" w14:textId="77777777" w:rsidR="00CD213E" w:rsidRDefault="00CD213E" w:rsidP="00CD213E">
      <w:pPr>
        <w:rPr>
          <w:i/>
          <w:iCs/>
        </w:rPr>
      </w:pPr>
      <w:r w:rsidRPr="49D4511B">
        <w:rPr>
          <w:b/>
          <w:bCs/>
        </w:rPr>
        <w:lastRenderedPageBreak/>
        <w:t xml:space="preserve">Table </w:t>
      </w:r>
      <w:r>
        <w:rPr>
          <w:b/>
          <w:bCs/>
        </w:rPr>
        <w:t>1</w:t>
      </w:r>
      <w:r w:rsidRPr="49D4511B">
        <w:rPr>
          <w:b/>
          <w:bCs/>
        </w:rPr>
        <w:t xml:space="preserve">. </w:t>
      </w:r>
      <w:r w:rsidRPr="49D4511B">
        <w:rPr>
          <w:i/>
          <w:iCs/>
        </w:rPr>
        <w:t>Distribution of</w:t>
      </w:r>
      <w:r w:rsidRPr="49D4511B">
        <w:rPr>
          <w:b/>
          <w:bCs/>
        </w:rPr>
        <w:t xml:space="preserve"> </w:t>
      </w:r>
      <w:r w:rsidRPr="49D4511B">
        <w:rPr>
          <w:i/>
          <w:iCs/>
        </w:rPr>
        <w:t>MNEs by Country and Industry</w:t>
      </w:r>
    </w:p>
    <w:tbl>
      <w:tblPr>
        <w:tblStyle w:val="TableGrid"/>
        <w:tblW w:w="12994" w:type="dxa"/>
        <w:tblLayout w:type="fixed"/>
        <w:tblLook w:val="04A0" w:firstRow="1" w:lastRow="0" w:firstColumn="1" w:lastColumn="0" w:noHBand="0" w:noVBand="1"/>
      </w:tblPr>
      <w:tblGrid>
        <w:gridCol w:w="988"/>
        <w:gridCol w:w="850"/>
        <w:gridCol w:w="1134"/>
        <w:gridCol w:w="1134"/>
        <w:gridCol w:w="992"/>
        <w:gridCol w:w="1134"/>
        <w:gridCol w:w="1560"/>
        <w:gridCol w:w="769"/>
        <w:gridCol w:w="1215"/>
        <w:gridCol w:w="992"/>
        <w:gridCol w:w="1425"/>
        <w:gridCol w:w="801"/>
      </w:tblGrid>
      <w:tr w:rsidR="00CD213E" w:rsidRPr="00575F63" w14:paraId="2F3E6858" w14:textId="77777777" w:rsidTr="00150C7F">
        <w:trPr>
          <w:trHeight w:val="849"/>
        </w:trPr>
        <w:tc>
          <w:tcPr>
            <w:tcW w:w="988" w:type="dxa"/>
            <w:vAlign w:val="center"/>
            <w:hideMark/>
          </w:tcPr>
          <w:p w14:paraId="3DB766A3" w14:textId="77777777" w:rsidR="00CD213E" w:rsidRPr="008A3D03" w:rsidRDefault="00CD213E" w:rsidP="00150C7F">
            <w:pPr>
              <w:spacing w:line="259" w:lineRule="auto"/>
              <w:jc w:val="center"/>
            </w:pPr>
            <w:r w:rsidRPr="49D4511B">
              <w:rPr>
                <w:b/>
                <w:bCs/>
                <w:color w:val="000000" w:themeColor="text1"/>
                <w:sz w:val="18"/>
                <w:szCs w:val="18"/>
              </w:rPr>
              <w:t>Country\ Industry</w:t>
            </w:r>
          </w:p>
        </w:tc>
        <w:tc>
          <w:tcPr>
            <w:tcW w:w="850" w:type="dxa"/>
            <w:vAlign w:val="center"/>
            <w:hideMark/>
          </w:tcPr>
          <w:p w14:paraId="3FE941F3" w14:textId="77777777" w:rsidR="00CD213E" w:rsidRPr="008A3D03" w:rsidRDefault="00CD213E" w:rsidP="00150C7F">
            <w:pPr>
              <w:jc w:val="center"/>
              <w:rPr>
                <w:b/>
                <w:bCs/>
                <w:color w:val="000000"/>
                <w:sz w:val="18"/>
                <w:szCs w:val="18"/>
              </w:rPr>
            </w:pPr>
            <w:r w:rsidRPr="00575F63">
              <w:rPr>
                <w:b/>
                <w:bCs/>
                <w:color w:val="000000"/>
                <w:sz w:val="18"/>
                <w:szCs w:val="18"/>
              </w:rPr>
              <w:t>Real Estate</w:t>
            </w:r>
          </w:p>
        </w:tc>
        <w:tc>
          <w:tcPr>
            <w:tcW w:w="1134" w:type="dxa"/>
            <w:vAlign w:val="center"/>
            <w:hideMark/>
          </w:tcPr>
          <w:p w14:paraId="7293CCBC" w14:textId="77777777" w:rsidR="00CD213E" w:rsidRPr="008A3D03" w:rsidRDefault="00CD213E" w:rsidP="00150C7F">
            <w:pPr>
              <w:jc w:val="center"/>
              <w:rPr>
                <w:b/>
                <w:bCs/>
                <w:color w:val="000000"/>
                <w:sz w:val="18"/>
                <w:szCs w:val="18"/>
              </w:rPr>
            </w:pPr>
            <w:r w:rsidRPr="008A3D03">
              <w:rPr>
                <w:b/>
                <w:bCs/>
                <w:color w:val="000000"/>
                <w:sz w:val="18"/>
                <w:szCs w:val="18"/>
              </w:rPr>
              <w:t>Consumer Goods</w:t>
            </w:r>
          </w:p>
        </w:tc>
        <w:tc>
          <w:tcPr>
            <w:tcW w:w="1134" w:type="dxa"/>
            <w:vAlign w:val="center"/>
            <w:hideMark/>
          </w:tcPr>
          <w:p w14:paraId="2B2230C0" w14:textId="77777777" w:rsidR="00CD213E" w:rsidRPr="008A3D03" w:rsidRDefault="00CD213E" w:rsidP="00150C7F">
            <w:pPr>
              <w:jc w:val="center"/>
              <w:rPr>
                <w:b/>
                <w:bCs/>
                <w:color w:val="000000"/>
                <w:sz w:val="18"/>
                <w:szCs w:val="18"/>
              </w:rPr>
            </w:pPr>
            <w:r w:rsidRPr="008A3D03">
              <w:rPr>
                <w:b/>
                <w:bCs/>
                <w:color w:val="000000"/>
                <w:sz w:val="18"/>
                <w:szCs w:val="18"/>
              </w:rPr>
              <w:t>Energy and Resources</w:t>
            </w:r>
          </w:p>
        </w:tc>
        <w:tc>
          <w:tcPr>
            <w:tcW w:w="992" w:type="dxa"/>
            <w:vAlign w:val="center"/>
            <w:hideMark/>
          </w:tcPr>
          <w:p w14:paraId="59B4F12B" w14:textId="77777777" w:rsidR="00CD213E" w:rsidRPr="008A3D03" w:rsidRDefault="00CD213E" w:rsidP="00150C7F">
            <w:pPr>
              <w:jc w:val="center"/>
              <w:rPr>
                <w:b/>
                <w:bCs/>
                <w:color w:val="000000"/>
                <w:sz w:val="18"/>
                <w:szCs w:val="18"/>
              </w:rPr>
            </w:pPr>
            <w:r w:rsidRPr="008A3D03">
              <w:rPr>
                <w:b/>
                <w:bCs/>
                <w:color w:val="000000"/>
                <w:sz w:val="18"/>
                <w:szCs w:val="18"/>
              </w:rPr>
              <w:t>Financial Services</w:t>
            </w:r>
          </w:p>
        </w:tc>
        <w:tc>
          <w:tcPr>
            <w:tcW w:w="1134" w:type="dxa"/>
            <w:vAlign w:val="center"/>
            <w:hideMark/>
          </w:tcPr>
          <w:p w14:paraId="0D94DA09" w14:textId="77777777" w:rsidR="00CD213E" w:rsidRPr="008A3D03" w:rsidRDefault="00CD213E" w:rsidP="00150C7F">
            <w:pPr>
              <w:jc w:val="center"/>
              <w:rPr>
                <w:b/>
                <w:bCs/>
                <w:color w:val="000000"/>
                <w:sz w:val="18"/>
                <w:szCs w:val="18"/>
              </w:rPr>
            </w:pPr>
            <w:r w:rsidRPr="008A3D03">
              <w:rPr>
                <w:b/>
                <w:bCs/>
                <w:color w:val="000000"/>
                <w:sz w:val="18"/>
                <w:szCs w:val="18"/>
              </w:rPr>
              <w:t>Healthcare</w:t>
            </w:r>
          </w:p>
        </w:tc>
        <w:tc>
          <w:tcPr>
            <w:tcW w:w="1560" w:type="dxa"/>
            <w:vAlign w:val="center"/>
            <w:hideMark/>
          </w:tcPr>
          <w:p w14:paraId="227D55D3" w14:textId="77777777" w:rsidR="00CD213E" w:rsidRPr="008A3D03" w:rsidRDefault="00CD213E" w:rsidP="00150C7F">
            <w:pPr>
              <w:jc w:val="center"/>
              <w:rPr>
                <w:b/>
                <w:bCs/>
                <w:color w:val="000000"/>
                <w:sz w:val="18"/>
                <w:szCs w:val="18"/>
              </w:rPr>
            </w:pPr>
            <w:r w:rsidRPr="008A3D03">
              <w:rPr>
                <w:b/>
                <w:bCs/>
                <w:color w:val="000000"/>
                <w:sz w:val="18"/>
                <w:szCs w:val="18"/>
              </w:rPr>
              <w:t>Manufacturing</w:t>
            </w:r>
          </w:p>
        </w:tc>
        <w:tc>
          <w:tcPr>
            <w:tcW w:w="769" w:type="dxa"/>
            <w:vAlign w:val="center"/>
            <w:hideMark/>
          </w:tcPr>
          <w:p w14:paraId="3D524F3A" w14:textId="77777777" w:rsidR="00CD213E" w:rsidRPr="008A3D03" w:rsidRDefault="00CD213E" w:rsidP="00150C7F">
            <w:pPr>
              <w:jc w:val="center"/>
              <w:rPr>
                <w:b/>
                <w:bCs/>
                <w:color w:val="000000"/>
                <w:sz w:val="18"/>
                <w:szCs w:val="18"/>
              </w:rPr>
            </w:pPr>
            <w:r w:rsidRPr="008A3D03">
              <w:rPr>
                <w:b/>
                <w:bCs/>
                <w:color w:val="000000"/>
                <w:sz w:val="18"/>
                <w:szCs w:val="18"/>
              </w:rPr>
              <w:t>Media</w:t>
            </w:r>
          </w:p>
        </w:tc>
        <w:tc>
          <w:tcPr>
            <w:tcW w:w="1215" w:type="dxa"/>
            <w:vAlign w:val="center"/>
            <w:hideMark/>
          </w:tcPr>
          <w:p w14:paraId="19B63A2A" w14:textId="77777777" w:rsidR="00CD213E" w:rsidRPr="008A3D03" w:rsidRDefault="00CD213E" w:rsidP="00150C7F">
            <w:pPr>
              <w:jc w:val="center"/>
              <w:rPr>
                <w:b/>
                <w:bCs/>
                <w:color w:val="000000"/>
                <w:sz w:val="18"/>
                <w:szCs w:val="18"/>
              </w:rPr>
            </w:pPr>
            <w:r w:rsidRPr="008A3D03">
              <w:rPr>
                <w:b/>
                <w:bCs/>
                <w:color w:val="000000"/>
                <w:sz w:val="18"/>
                <w:szCs w:val="18"/>
              </w:rPr>
              <w:t>Technology</w:t>
            </w:r>
          </w:p>
        </w:tc>
        <w:tc>
          <w:tcPr>
            <w:tcW w:w="992" w:type="dxa"/>
            <w:vAlign w:val="center"/>
            <w:hideMark/>
          </w:tcPr>
          <w:p w14:paraId="7EE22BC7" w14:textId="77777777" w:rsidR="00CD213E" w:rsidRPr="008A3D03" w:rsidRDefault="00CD213E" w:rsidP="00150C7F">
            <w:pPr>
              <w:jc w:val="center"/>
              <w:rPr>
                <w:b/>
                <w:bCs/>
                <w:color w:val="000000"/>
                <w:sz w:val="18"/>
                <w:szCs w:val="18"/>
              </w:rPr>
            </w:pPr>
            <w:r w:rsidRPr="008A3D03">
              <w:rPr>
                <w:b/>
                <w:bCs/>
                <w:color w:val="000000"/>
                <w:sz w:val="18"/>
                <w:szCs w:val="18"/>
              </w:rPr>
              <w:t>Tourism</w:t>
            </w:r>
          </w:p>
        </w:tc>
        <w:tc>
          <w:tcPr>
            <w:tcW w:w="1425" w:type="dxa"/>
            <w:vAlign w:val="center"/>
            <w:hideMark/>
          </w:tcPr>
          <w:p w14:paraId="45B67F48" w14:textId="77777777" w:rsidR="00CD213E" w:rsidRPr="008A3D03" w:rsidRDefault="00CD213E" w:rsidP="00150C7F">
            <w:pPr>
              <w:jc w:val="center"/>
              <w:rPr>
                <w:b/>
                <w:bCs/>
                <w:color w:val="000000"/>
                <w:sz w:val="18"/>
                <w:szCs w:val="18"/>
              </w:rPr>
            </w:pPr>
            <w:r w:rsidRPr="008A3D03">
              <w:rPr>
                <w:b/>
                <w:bCs/>
                <w:color w:val="000000"/>
                <w:sz w:val="18"/>
                <w:szCs w:val="18"/>
              </w:rPr>
              <w:t>Transportation</w:t>
            </w:r>
          </w:p>
        </w:tc>
        <w:tc>
          <w:tcPr>
            <w:tcW w:w="801" w:type="dxa"/>
            <w:vAlign w:val="center"/>
            <w:hideMark/>
          </w:tcPr>
          <w:p w14:paraId="053DCF17" w14:textId="77777777" w:rsidR="00CD213E" w:rsidRPr="008A3D03" w:rsidRDefault="00CD213E" w:rsidP="00150C7F">
            <w:pPr>
              <w:jc w:val="center"/>
              <w:rPr>
                <w:b/>
                <w:bCs/>
                <w:color w:val="000000"/>
                <w:sz w:val="18"/>
                <w:szCs w:val="18"/>
              </w:rPr>
            </w:pPr>
            <w:r w:rsidRPr="008A3D03">
              <w:rPr>
                <w:b/>
                <w:bCs/>
                <w:color w:val="000000"/>
                <w:sz w:val="18"/>
                <w:szCs w:val="18"/>
              </w:rPr>
              <w:t>Total</w:t>
            </w:r>
          </w:p>
        </w:tc>
      </w:tr>
      <w:tr w:rsidR="00CD213E" w:rsidRPr="00575F63" w14:paraId="139F86EB" w14:textId="77777777" w:rsidTr="00150C7F">
        <w:trPr>
          <w:trHeight w:val="408"/>
        </w:trPr>
        <w:tc>
          <w:tcPr>
            <w:tcW w:w="988" w:type="dxa"/>
            <w:noWrap/>
            <w:vAlign w:val="center"/>
            <w:hideMark/>
          </w:tcPr>
          <w:p w14:paraId="0835BA49" w14:textId="77777777" w:rsidR="00CD213E" w:rsidRPr="008A3D03" w:rsidRDefault="00CD213E" w:rsidP="00150C7F">
            <w:pPr>
              <w:jc w:val="center"/>
              <w:rPr>
                <w:b/>
                <w:bCs/>
                <w:color w:val="000000"/>
                <w:sz w:val="18"/>
                <w:szCs w:val="18"/>
              </w:rPr>
            </w:pPr>
            <w:r w:rsidRPr="008A3D03">
              <w:rPr>
                <w:b/>
                <w:bCs/>
                <w:color w:val="000000"/>
                <w:sz w:val="18"/>
                <w:szCs w:val="18"/>
              </w:rPr>
              <w:t>Bahrain</w:t>
            </w:r>
          </w:p>
        </w:tc>
        <w:tc>
          <w:tcPr>
            <w:tcW w:w="850" w:type="dxa"/>
            <w:noWrap/>
            <w:vAlign w:val="center"/>
            <w:hideMark/>
          </w:tcPr>
          <w:p w14:paraId="10382C7C" w14:textId="77777777" w:rsidR="00CD213E" w:rsidRPr="008A3D03" w:rsidRDefault="00CD213E" w:rsidP="00150C7F">
            <w:pPr>
              <w:jc w:val="center"/>
              <w:rPr>
                <w:color w:val="000000"/>
                <w:sz w:val="18"/>
                <w:szCs w:val="18"/>
              </w:rPr>
            </w:pPr>
            <w:r w:rsidRPr="008A3D03">
              <w:rPr>
                <w:color w:val="000000"/>
                <w:sz w:val="18"/>
                <w:szCs w:val="18"/>
              </w:rPr>
              <w:t>1</w:t>
            </w:r>
          </w:p>
        </w:tc>
        <w:tc>
          <w:tcPr>
            <w:tcW w:w="1134" w:type="dxa"/>
            <w:noWrap/>
            <w:vAlign w:val="center"/>
            <w:hideMark/>
          </w:tcPr>
          <w:p w14:paraId="560F39BB" w14:textId="77777777" w:rsidR="00CD213E" w:rsidRPr="008A3D03" w:rsidRDefault="00CD213E" w:rsidP="00150C7F">
            <w:pPr>
              <w:jc w:val="center"/>
              <w:rPr>
                <w:color w:val="000000"/>
                <w:sz w:val="18"/>
                <w:szCs w:val="18"/>
              </w:rPr>
            </w:pPr>
            <w:r w:rsidRPr="008A3D03">
              <w:rPr>
                <w:color w:val="000000"/>
                <w:sz w:val="18"/>
                <w:szCs w:val="18"/>
              </w:rPr>
              <w:t>2</w:t>
            </w:r>
          </w:p>
        </w:tc>
        <w:tc>
          <w:tcPr>
            <w:tcW w:w="1134" w:type="dxa"/>
            <w:noWrap/>
            <w:vAlign w:val="center"/>
            <w:hideMark/>
          </w:tcPr>
          <w:p w14:paraId="2126ACFA" w14:textId="77777777" w:rsidR="00CD213E" w:rsidRPr="008A3D03" w:rsidRDefault="00CD213E" w:rsidP="00150C7F">
            <w:pPr>
              <w:jc w:val="center"/>
              <w:rPr>
                <w:color w:val="000000"/>
                <w:sz w:val="18"/>
                <w:szCs w:val="18"/>
              </w:rPr>
            </w:pPr>
            <w:r w:rsidRPr="008A3D03">
              <w:rPr>
                <w:color w:val="000000"/>
                <w:sz w:val="18"/>
                <w:szCs w:val="18"/>
              </w:rPr>
              <w:t>1</w:t>
            </w:r>
          </w:p>
        </w:tc>
        <w:tc>
          <w:tcPr>
            <w:tcW w:w="992" w:type="dxa"/>
            <w:noWrap/>
            <w:vAlign w:val="center"/>
            <w:hideMark/>
          </w:tcPr>
          <w:p w14:paraId="63C6B7D4" w14:textId="77777777" w:rsidR="00CD213E" w:rsidRPr="008A3D03" w:rsidRDefault="00CD213E" w:rsidP="00150C7F">
            <w:pPr>
              <w:jc w:val="center"/>
              <w:rPr>
                <w:color w:val="000000"/>
                <w:sz w:val="18"/>
                <w:szCs w:val="18"/>
              </w:rPr>
            </w:pPr>
            <w:r w:rsidRPr="008A3D03">
              <w:rPr>
                <w:color w:val="000000"/>
                <w:sz w:val="18"/>
                <w:szCs w:val="18"/>
              </w:rPr>
              <w:t>10</w:t>
            </w:r>
          </w:p>
        </w:tc>
        <w:tc>
          <w:tcPr>
            <w:tcW w:w="1134" w:type="dxa"/>
            <w:noWrap/>
            <w:vAlign w:val="center"/>
            <w:hideMark/>
          </w:tcPr>
          <w:p w14:paraId="59872505" w14:textId="77777777" w:rsidR="00CD213E" w:rsidRPr="008A3D03" w:rsidRDefault="00CD213E" w:rsidP="00150C7F">
            <w:pPr>
              <w:jc w:val="center"/>
              <w:rPr>
                <w:color w:val="000000"/>
                <w:sz w:val="18"/>
                <w:szCs w:val="18"/>
              </w:rPr>
            </w:pPr>
            <w:r w:rsidRPr="008A3D03">
              <w:rPr>
                <w:color w:val="000000"/>
                <w:sz w:val="18"/>
                <w:szCs w:val="18"/>
              </w:rPr>
              <w:t>0</w:t>
            </w:r>
          </w:p>
        </w:tc>
        <w:tc>
          <w:tcPr>
            <w:tcW w:w="1560" w:type="dxa"/>
            <w:noWrap/>
            <w:vAlign w:val="center"/>
            <w:hideMark/>
          </w:tcPr>
          <w:p w14:paraId="30A404F6" w14:textId="77777777" w:rsidR="00CD213E" w:rsidRPr="008A3D03" w:rsidRDefault="00CD213E" w:rsidP="00150C7F">
            <w:pPr>
              <w:jc w:val="center"/>
              <w:rPr>
                <w:color w:val="000000"/>
                <w:sz w:val="18"/>
                <w:szCs w:val="18"/>
              </w:rPr>
            </w:pPr>
            <w:r w:rsidRPr="008A3D03">
              <w:rPr>
                <w:color w:val="000000"/>
                <w:sz w:val="18"/>
                <w:szCs w:val="18"/>
              </w:rPr>
              <w:t>1</w:t>
            </w:r>
          </w:p>
        </w:tc>
        <w:tc>
          <w:tcPr>
            <w:tcW w:w="769" w:type="dxa"/>
            <w:noWrap/>
            <w:vAlign w:val="center"/>
            <w:hideMark/>
          </w:tcPr>
          <w:p w14:paraId="1F5F2A89" w14:textId="77777777" w:rsidR="00CD213E" w:rsidRPr="008A3D03" w:rsidRDefault="00CD213E" w:rsidP="00150C7F">
            <w:pPr>
              <w:jc w:val="center"/>
              <w:rPr>
                <w:color w:val="000000"/>
                <w:sz w:val="18"/>
                <w:szCs w:val="18"/>
              </w:rPr>
            </w:pPr>
            <w:r w:rsidRPr="008A3D03">
              <w:rPr>
                <w:color w:val="000000"/>
                <w:sz w:val="18"/>
                <w:szCs w:val="18"/>
              </w:rPr>
              <w:t>0</w:t>
            </w:r>
          </w:p>
        </w:tc>
        <w:tc>
          <w:tcPr>
            <w:tcW w:w="1215" w:type="dxa"/>
            <w:noWrap/>
            <w:vAlign w:val="center"/>
            <w:hideMark/>
          </w:tcPr>
          <w:p w14:paraId="20EF8318" w14:textId="77777777" w:rsidR="00CD213E" w:rsidRPr="008A3D03" w:rsidRDefault="00CD213E" w:rsidP="00150C7F">
            <w:pPr>
              <w:jc w:val="center"/>
              <w:rPr>
                <w:color w:val="000000"/>
                <w:sz w:val="18"/>
                <w:szCs w:val="18"/>
              </w:rPr>
            </w:pPr>
            <w:r w:rsidRPr="008A3D03">
              <w:rPr>
                <w:color w:val="000000"/>
                <w:sz w:val="18"/>
                <w:szCs w:val="18"/>
              </w:rPr>
              <w:t>1</w:t>
            </w:r>
          </w:p>
        </w:tc>
        <w:tc>
          <w:tcPr>
            <w:tcW w:w="992" w:type="dxa"/>
            <w:noWrap/>
            <w:vAlign w:val="center"/>
            <w:hideMark/>
          </w:tcPr>
          <w:p w14:paraId="1F84E179" w14:textId="77777777" w:rsidR="00CD213E" w:rsidRPr="008A3D03" w:rsidRDefault="00CD213E" w:rsidP="00150C7F">
            <w:pPr>
              <w:jc w:val="center"/>
              <w:rPr>
                <w:color w:val="000000"/>
                <w:sz w:val="18"/>
                <w:szCs w:val="18"/>
              </w:rPr>
            </w:pPr>
            <w:r w:rsidRPr="008A3D03">
              <w:rPr>
                <w:color w:val="000000"/>
                <w:sz w:val="18"/>
                <w:szCs w:val="18"/>
              </w:rPr>
              <w:t>0</w:t>
            </w:r>
          </w:p>
        </w:tc>
        <w:tc>
          <w:tcPr>
            <w:tcW w:w="1425" w:type="dxa"/>
            <w:noWrap/>
            <w:vAlign w:val="center"/>
            <w:hideMark/>
          </w:tcPr>
          <w:p w14:paraId="47CAA9CF" w14:textId="77777777" w:rsidR="00CD213E" w:rsidRPr="008A3D03" w:rsidRDefault="00CD213E" w:rsidP="00150C7F">
            <w:pPr>
              <w:jc w:val="center"/>
              <w:rPr>
                <w:color w:val="000000"/>
                <w:sz w:val="18"/>
                <w:szCs w:val="18"/>
              </w:rPr>
            </w:pPr>
            <w:r w:rsidRPr="008A3D03">
              <w:rPr>
                <w:color w:val="000000"/>
                <w:sz w:val="18"/>
                <w:szCs w:val="18"/>
              </w:rPr>
              <w:t>0</w:t>
            </w:r>
          </w:p>
        </w:tc>
        <w:tc>
          <w:tcPr>
            <w:tcW w:w="801" w:type="dxa"/>
            <w:noWrap/>
            <w:vAlign w:val="center"/>
            <w:hideMark/>
          </w:tcPr>
          <w:p w14:paraId="44E155A5" w14:textId="77777777" w:rsidR="00CD213E" w:rsidRPr="008A3D03" w:rsidRDefault="00CD213E" w:rsidP="00150C7F">
            <w:pPr>
              <w:jc w:val="center"/>
              <w:rPr>
                <w:b/>
                <w:bCs/>
                <w:color w:val="000000"/>
                <w:sz w:val="18"/>
                <w:szCs w:val="18"/>
              </w:rPr>
            </w:pPr>
            <w:r w:rsidRPr="008A3D03">
              <w:rPr>
                <w:b/>
                <w:bCs/>
                <w:color w:val="000000"/>
                <w:sz w:val="18"/>
                <w:szCs w:val="18"/>
              </w:rPr>
              <w:t>16</w:t>
            </w:r>
          </w:p>
        </w:tc>
      </w:tr>
      <w:tr w:rsidR="00CD213E" w:rsidRPr="00575F63" w14:paraId="181B2B95" w14:textId="77777777" w:rsidTr="00150C7F">
        <w:trPr>
          <w:trHeight w:val="427"/>
        </w:trPr>
        <w:tc>
          <w:tcPr>
            <w:tcW w:w="988" w:type="dxa"/>
            <w:noWrap/>
            <w:vAlign w:val="center"/>
            <w:hideMark/>
          </w:tcPr>
          <w:p w14:paraId="6A078F07" w14:textId="77777777" w:rsidR="00CD213E" w:rsidRPr="008A3D03" w:rsidRDefault="00CD213E" w:rsidP="00150C7F">
            <w:pPr>
              <w:jc w:val="center"/>
              <w:rPr>
                <w:b/>
                <w:bCs/>
                <w:color w:val="000000"/>
                <w:sz w:val="18"/>
                <w:szCs w:val="18"/>
              </w:rPr>
            </w:pPr>
            <w:r w:rsidRPr="008A3D03">
              <w:rPr>
                <w:b/>
                <w:bCs/>
                <w:color w:val="000000"/>
                <w:sz w:val="18"/>
                <w:szCs w:val="18"/>
              </w:rPr>
              <w:t>Egypt</w:t>
            </w:r>
          </w:p>
        </w:tc>
        <w:tc>
          <w:tcPr>
            <w:tcW w:w="850" w:type="dxa"/>
            <w:noWrap/>
            <w:vAlign w:val="center"/>
            <w:hideMark/>
          </w:tcPr>
          <w:p w14:paraId="3F06FF72" w14:textId="77777777" w:rsidR="00CD213E" w:rsidRPr="008A3D03" w:rsidRDefault="00CD213E" w:rsidP="00150C7F">
            <w:pPr>
              <w:jc w:val="center"/>
              <w:rPr>
                <w:color w:val="000000"/>
                <w:sz w:val="18"/>
                <w:szCs w:val="18"/>
              </w:rPr>
            </w:pPr>
            <w:r w:rsidRPr="008A3D03">
              <w:rPr>
                <w:color w:val="000000"/>
                <w:sz w:val="18"/>
                <w:szCs w:val="18"/>
              </w:rPr>
              <w:t>4</w:t>
            </w:r>
          </w:p>
        </w:tc>
        <w:tc>
          <w:tcPr>
            <w:tcW w:w="1134" w:type="dxa"/>
            <w:noWrap/>
            <w:vAlign w:val="center"/>
            <w:hideMark/>
          </w:tcPr>
          <w:p w14:paraId="0A829494" w14:textId="77777777" w:rsidR="00CD213E" w:rsidRPr="008A3D03" w:rsidRDefault="00CD213E" w:rsidP="00150C7F">
            <w:pPr>
              <w:jc w:val="center"/>
              <w:rPr>
                <w:color w:val="000000"/>
                <w:sz w:val="18"/>
                <w:szCs w:val="18"/>
              </w:rPr>
            </w:pPr>
            <w:r w:rsidRPr="008A3D03">
              <w:rPr>
                <w:color w:val="000000"/>
                <w:sz w:val="18"/>
                <w:szCs w:val="18"/>
              </w:rPr>
              <w:t>5</w:t>
            </w:r>
          </w:p>
        </w:tc>
        <w:tc>
          <w:tcPr>
            <w:tcW w:w="1134" w:type="dxa"/>
            <w:noWrap/>
            <w:vAlign w:val="center"/>
            <w:hideMark/>
          </w:tcPr>
          <w:p w14:paraId="4E8AB547" w14:textId="77777777" w:rsidR="00CD213E" w:rsidRPr="008A3D03" w:rsidRDefault="00CD213E" w:rsidP="00150C7F">
            <w:pPr>
              <w:jc w:val="center"/>
              <w:rPr>
                <w:color w:val="000000"/>
                <w:sz w:val="18"/>
                <w:szCs w:val="18"/>
              </w:rPr>
            </w:pPr>
            <w:r w:rsidRPr="008A3D03">
              <w:rPr>
                <w:color w:val="000000"/>
                <w:sz w:val="18"/>
                <w:szCs w:val="18"/>
              </w:rPr>
              <w:t>14</w:t>
            </w:r>
          </w:p>
        </w:tc>
        <w:tc>
          <w:tcPr>
            <w:tcW w:w="992" w:type="dxa"/>
            <w:noWrap/>
            <w:vAlign w:val="center"/>
            <w:hideMark/>
          </w:tcPr>
          <w:p w14:paraId="3A593185" w14:textId="77777777" w:rsidR="00CD213E" w:rsidRPr="008A3D03" w:rsidRDefault="00CD213E" w:rsidP="00150C7F">
            <w:pPr>
              <w:jc w:val="center"/>
              <w:rPr>
                <w:color w:val="000000"/>
                <w:sz w:val="18"/>
                <w:szCs w:val="18"/>
              </w:rPr>
            </w:pPr>
            <w:r w:rsidRPr="008A3D03">
              <w:rPr>
                <w:color w:val="000000"/>
                <w:sz w:val="18"/>
                <w:szCs w:val="18"/>
              </w:rPr>
              <w:t>23</w:t>
            </w:r>
          </w:p>
        </w:tc>
        <w:tc>
          <w:tcPr>
            <w:tcW w:w="1134" w:type="dxa"/>
            <w:noWrap/>
            <w:vAlign w:val="center"/>
            <w:hideMark/>
          </w:tcPr>
          <w:p w14:paraId="0ACD9529" w14:textId="77777777" w:rsidR="00CD213E" w:rsidRPr="008A3D03" w:rsidRDefault="00CD213E" w:rsidP="00150C7F">
            <w:pPr>
              <w:jc w:val="center"/>
              <w:rPr>
                <w:color w:val="000000"/>
                <w:sz w:val="18"/>
                <w:szCs w:val="18"/>
              </w:rPr>
            </w:pPr>
            <w:r w:rsidRPr="008A3D03">
              <w:rPr>
                <w:color w:val="000000"/>
                <w:sz w:val="18"/>
                <w:szCs w:val="18"/>
              </w:rPr>
              <w:t>6</w:t>
            </w:r>
          </w:p>
        </w:tc>
        <w:tc>
          <w:tcPr>
            <w:tcW w:w="1560" w:type="dxa"/>
            <w:noWrap/>
            <w:vAlign w:val="center"/>
            <w:hideMark/>
          </w:tcPr>
          <w:p w14:paraId="0BDFF135" w14:textId="77777777" w:rsidR="00CD213E" w:rsidRPr="008A3D03" w:rsidRDefault="00CD213E" w:rsidP="00150C7F">
            <w:pPr>
              <w:jc w:val="center"/>
              <w:rPr>
                <w:color w:val="000000"/>
                <w:sz w:val="18"/>
                <w:szCs w:val="18"/>
              </w:rPr>
            </w:pPr>
            <w:r w:rsidRPr="008A3D03">
              <w:rPr>
                <w:color w:val="000000"/>
                <w:sz w:val="18"/>
                <w:szCs w:val="18"/>
              </w:rPr>
              <w:t>7</w:t>
            </w:r>
          </w:p>
        </w:tc>
        <w:tc>
          <w:tcPr>
            <w:tcW w:w="769" w:type="dxa"/>
            <w:noWrap/>
            <w:vAlign w:val="center"/>
            <w:hideMark/>
          </w:tcPr>
          <w:p w14:paraId="29353148" w14:textId="77777777" w:rsidR="00CD213E" w:rsidRPr="008A3D03" w:rsidRDefault="00CD213E" w:rsidP="00150C7F">
            <w:pPr>
              <w:jc w:val="center"/>
              <w:rPr>
                <w:color w:val="000000"/>
                <w:sz w:val="18"/>
                <w:szCs w:val="18"/>
              </w:rPr>
            </w:pPr>
            <w:r w:rsidRPr="008A3D03">
              <w:rPr>
                <w:color w:val="000000"/>
                <w:sz w:val="18"/>
                <w:szCs w:val="18"/>
              </w:rPr>
              <w:t>0</w:t>
            </w:r>
          </w:p>
        </w:tc>
        <w:tc>
          <w:tcPr>
            <w:tcW w:w="1215" w:type="dxa"/>
            <w:noWrap/>
            <w:vAlign w:val="center"/>
            <w:hideMark/>
          </w:tcPr>
          <w:p w14:paraId="78B06561" w14:textId="77777777" w:rsidR="00CD213E" w:rsidRPr="008A3D03" w:rsidRDefault="00CD213E" w:rsidP="00150C7F">
            <w:pPr>
              <w:jc w:val="center"/>
              <w:rPr>
                <w:color w:val="000000"/>
                <w:sz w:val="18"/>
                <w:szCs w:val="18"/>
              </w:rPr>
            </w:pPr>
            <w:r w:rsidRPr="008A3D03">
              <w:rPr>
                <w:color w:val="000000"/>
                <w:sz w:val="18"/>
                <w:szCs w:val="18"/>
              </w:rPr>
              <w:t>5</w:t>
            </w:r>
          </w:p>
        </w:tc>
        <w:tc>
          <w:tcPr>
            <w:tcW w:w="992" w:type="dxa"/>
            <w:noWrap/>
            <w:vAlign w:val="center"/>
            <w:hideMark/>
          </w:tcPr>
          <w:p w14:paraId="222E2C5B" w14:textId="77777777" w:rsidR="00CD213E" w:rsidRPr="008A3D03" w:rsidRDefault="00CD213E" w:rsidP="00150C7F">
            <w:pPr>
              <w:jc w:val="center"/>
              <w:rPr>
                <w:color w:val="000000"/>
                <w:sz w:val="18"/>
                <w:szCs w:val="18"/>
              </w:rPr>
            </w:pPr>
            <w:r w:rsidRPr="008A3D03">
              <w:rPr>
                <w:color w:val="000000"/>
                <w:sz w:val="18"/>
                <w:szCs w:val="18"/>
              </w:rPr>
              <w:t>1</w:t>
            </w:r>
          </w:p>
        </w:tc>
        <w:tc>
          <w:tcPr>
            <w:tcW w:w="1425" w:type="dxa"/>
            <w:noWrap/>
            <w:vAlign w:val="center"/>
            <w:hideMark/>
          </w:tcPr>
          <w:p w14:paraId="60686B1C" w14:textId="77777777" w:rsidR="00CD213E" w:rsidRPr="008A3D03" w:rsidRDefault="00CD213E" w:rsidP="00150C7F">
            <w:pPr>
              <w:jc w:val="center"/>
              <w:rPr>
                <w:color w:val="000000"/>
                <w:sz w:val="18"/>
                <w:szCs w:val="18"/>
              </w:rPr>
            </w:pPr>
            <w:r w:rsidRPr="008A3D03">
              <w:rPr>
                <w:color w:val="000000"/>
                <w:sz w:val="18"/>
                <w:szCs w:val="18"/>
              </w:rPr>
              <w:t>1</w:t>
            </w:r>
          </w:p>
        </w:tc>
        <w:tc>
          <w:tcPr>
            <w:tcW w:w="801" w:type="dxa"/>
            <w:noWrap/>
            <w:vAlign w:val="center"/>
            <w:hideMark/>
          </w:tcPr>
          <w:p w14:paraId="20E1F906" w14:textId="77777777" w:rsidR="00CD213E" w:rsidRPr="008A3D03" w:rsidRDefault="00CD213E" w:rsidP="00150C7F">
            <w:pPr>
              <w:jc w:val="center"/>
              <w:rPr>
                <w:b/>
                <w:bCs/>
                <w:color w:val="000000"/>
                <w:sz w:val="18"/>
                <w:szCs w:val="18"/>
              </w:rPr>
            </w:pPr>
            <w:r w:rsidRPr="008A3D03">
              <w:rPr>
                <w:b/>
                <w:bCs/>
                <w:color w:val="000000"/>
                <w:sz w:val="18"/>
                <w:szCs w:val="18"/>
              </w:rPr>
              <w:t>66</w:t>
            </w:r>
          </w:p>
        </w:tc>
      </w:tr>
      <w:tr w:rsidR="00CD213E" w:rsidRPr="00575F63" w14:paraId="6CE35FCE" w14:textId="77777777" w:rsidTr="00150C7F">
        <w:trPr>
          <w:trHeight w:val="405"/>
        </w:trPr>
        <w:tc>
          <w:tcPr>
            <w:tcW w:w="988" w:type="dxa"/>
            <w:noWrap/>
            <w:vAlign w:val="center"/>
            <w:hideMark/>
          </w:tcPr>
          <w:p w14:paraId="6563A2C8" w14:textId="77777777" w:rsidR="00CD213E" w:rsidRPr="008A3D03" w:rsidRDefault="00CD213E" w:rsidP="00150C7F">
            <w:pPr>
              <w:jc w:val="center"/>
              <w:rPr>
                <w:b/>
                <w:bCs/>
                <w:color w:val="000000"/>
                <w:sz w:val="18"/>
                <w:szCs w:val="18"/>
              </w:rPr>
            </w:pPr>
            <w:r w:rsidRPr="008A3D03">
              <w:rPr>
                <w:b/>
                <w:bCs/>
                <w:color w:val="000000"/>
                <w:sz w:val="18"/>
                <w:szCs w:val="18"/>
              </w:rPr>
              <w:t>Iraq</w:t>
            </w:r>
          </w:p>
        </w:tc>
        <w:tc>
          <w:tcPr>
            <w:tcW w:w="850" w:type="dxa"/>
            <w:noWrap/>
            <w:vAlign w:val="center"/>
            <w:hideMark/>
          </w:tcPr>
          <w:p w14:paraId="3A68C094"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5FB0B326" w14:textId="77777777" w:rsidR="00CD213E" w:rsidRPr="008A3D03" w:rsidRDefault="00CD213E" w:rsidP="00150C7F">
            <w:pPr>
              <w:jc w:val="center"/>
              <w:rPr>
                <w:color w:val="000000"/>
                <w:sz w:val="18"/>
                <w:szCs w:val="18"/>
              </w:rPr>
            </w:pPr>
            <w:r w:rsidRPr="008A3D03">
              <w:rPr>
                <w:color w:val="000000"/>
                <w:sz w:val="18"/>
                <w:szCs w:val="18"/>
              </w:rPr>
              <w:t>1</w:t>
            </w:r>
          </w:p>
        </w:tc>
        <w:tc>
          <w:tcPr>
            <w:tcW w:w="1134" w:type="dxa"/>
            <w:noWrap/>
            <w:vAlign w:val="center"/>
            <w:hideMark/>
          </w:tcPr>
          <w:p w14:paraId="18D59A4A" w14:textId="77777777" w:rsidR="00CD213E" w:rsidRPr="008A3D03" w:rsidRDefault="00CD213E" w:rsidP="00150C7F">
            <w:pPr>
              <w:jc w:val="center"/>
              <w:rPr>
                <w:color w:val="000000"/>
                <w:sz w:val="18"/>
                <w:szCs w:val="18"/>
              </w:rPr>
            </w:pPr>
            <w:r w:rsidRPr="008A3D03">
              <w:rPr>
                <w:color w:val="000000"/>
                <w:sz w:val="18"/>
                <w:szCs w:val="18"/>
              </w:rPr>
              <w:t>0</w:t>
            </w:r>
          </w:p>
        </w:tc>
        <w:tc>
          <w:tcPr>
            <w:tcW w:w="992" w:type="dxa"/>
            <w:noWrap/>
            <w:vAlign w:val="center"/>
            <w:hideMark/>
          </w:tcPr>
          <w:p w14:paraId="558CC86C" w14:textId="77777777" w:rsidR="00CD213E" w:rsidRPr="008A3D03" w:rsidRDefault="00CD213E" w:rsidP="00150C7F">
            <w:pPr>
              <w:jc w:val="center"/>
              <w:rPr>
                <w:color w:val="000000"/>
                <w:sz w:val="18"/>
                <w:szCs w:val="18"/>
              </w:rPr>
            </w:pPr>
            <w:r w:rsidRPr="008A3D03">
              <w:rPr>
                <w:color w:val="000000"/>
                <w:sz w:val="18"/>
                <w:szCs w:val="18"/>
              </w:rPr>
              <w:t>16</w:t>
            </w:r>
          </w:p>
        </w:tc>
        <w:tc>
          <w:tcPr>
            <w:tcW w:w="1134" w:type="dxa"/>
            <w:noWrap/>
            <w:vAlign w:val="center"/>
            <w:hideMark/>
          </w:tcPr>
          <w:p w14:paraId="14F1B246" w14:textId="77777777" w:rsidR="00CD213E" w:rsidRPr="008A3D03" w:rsidRDefault="00CD213E" w:rsidP="00150C7F">
            <w:pPr>
              <w:jc w:val="center"/>
              <w:rPr>
                <w:color w:val="000000"/>
                <w:sz w:val="18"/>
                <w:szCs w:val="18"/>
              </w:rPr>
            </w:pPr>
            <w:r w:rsidRPr="008A3D03">
              <w:rPr>
                <w:color w:val="000000"/>
                <w:sz w:val="18"/>
                <w:szCs w:val="18"/>
              </w:rPr>
              <w:t>0</w:t>
            </w:r>
          </w:p>
        </w:tc>
        <w:tc>
          <w:tcPr>
            <w:tcW w:w="1560" w:type="dxa"/>
            <w:noWrap/>
            <w:vAlign w:val="center"/>
            <w:hideMark/>
          </w:tcPr>
          <w:p w14:paraId="1750F582" w14:textId="77777777" w:rsidR="00CD213E" w:rsidRPr="008A3D03" w:rsidRDefault="00CD213E" w:rsidP="00150C7F">
            <w:pPr>
              <w:jc w:val="center"/>
              <w:rPr>
                <w:color w:val="000000"/>
                <w:sz w:val="18"/>
                <w:szCs w:val="18"/>
              </w:rPr>
            </w:pPr>
            <w:r w:rsidRPr="008A3D03">
              <w:rPr>
                <w:color w:val="000000"/>
                <w:sz w:val="18"/>
                <w:szCs w:val="18"/>
              </w:rPr>
              <w:t>0</w:t>
            </w:r>
          </w:p>
        </w:tc>
        <w:tc>
          <w:tcPr>
            <w:tcW w:w="769" w:type="dxa"/>
            <w:noWrap/>
            <w:vAlign w:val="center"/>
            <w:hideMark/>
          </w:tcPr>
          <w:p w14:paraId="17E73A0C" w14:textId="77777777" w:rsidR="00CD213E" w:rsidRPr="008A3D03" w:rsidRDefault="00CD213E" w:rsidP="00150C7F">
            <w:pPr>
              <w:jc w:val="center"/>
              <w:rPr>
                <w:color w:val="000000"/>
                <w:sz w:val="18"/>
                <w:szCs w:val="18"/>
              </w:rPr>
            </w:pPr>
            <w:r w:rsidRPr="008A3D03">
              <w:rPr>
                <w:color w:val="000000"/>
                <w:sz w:val="18"/>
                <w:szCs w:val="18"/>
              </w:rPr>
              <w:t>0</w:t>
            </w:r>
          </w:p>
        </w:tc>
        <w:tc>
          <w:tcPr>
            <w:tcW w:w="1215" w:type="dxa"/>
            <w:noWrap/>
            <w:vAlign w:val="center"/>
            <w:hideMark/>
          </w:tcPr>
          <w:p w14:paraId="1CAA8C38" w14:textId="77777777" w:rsidR="00CD213E" w:rsidRPr="008A3D03" w:rsidRDefault="00CD213E" w:rsidP="00150C7F">
            <w:pPr>
              <w:jc w:val="center"/>
              <w:rPr>
                <w:color w:val="000000"/>
                <w:sz w:val="18"/>
                <w:szCs w:val="18"/>
              </w:rPr>
            </w:pPr>
            <w:r w:rsidRPr="008A3D03">
              <w:rPr>
                <w:color w:val="000000"/>
                <w:sz w:val="18"/>
                <w:szCs w:val="18"/>
              </w:rPr>
              <w:t>1</w:t>
            </w:r>
          </w:p>
        </w:tc>
        <w:tc>
          <w:tcPr>
            <w:tcW w:w="992" w:type="dxa"/>
            <w:noWrap/>
            <w:vAlign w:val="center"/>
            <w:hideMark/>
          </w:tcPr>
          <w:p w14:paraId="55D1FA1D" w14:textId="77777777" w:rsidR="00CD213E" w:rsidRPr="008A3D03" w:rsidRDefault="00CD213E" w:rsidP="00150C7F">
            <w:pPr>
              <w:jc w:val="center"/>
              <w:rPr>
                <w:color w:val="000000"/>
                <w:sz w:val="18"/>
                <w:szCs w:val="18"/>
              </w:rPr>
            </w:pPr>
            <w:r w:rsidRPr="008A3D03">
              <w:rPr>
                <w:color w:val="000000"/>
                <w:sz w:val="18"/>
                <w:szCs w:val="18"/>
              </w:rPr>
              <w:t>1</w:t>
            </w:r>
          </w:p>
        </w:tc>
        <w:tc>
          <w:tcPr>
            <w:tcW w:w="1425" w:type="dxa"/>
            <w:noWrap/>
            <w:vAlign w:val="center"/>
            <w:hideMark/>
          </w:tcPr>
          <w:p w14:paraId="73750618" w14:textId="77777777" w:rsidR="00CD213E" w:rsidRPr="008A3D03" w:rsidRDefault="00CD213E" w:rsidP="00150C7F">
            <w:pPr>
              <w:jc w:val="center"/>
              <w:rPr>
                <w:color w:val="000000"/>
                <w:sz w:val="18"/>
                <w:szCs w:val="18"/>
              </w:rPr>
            </w:pPr>
            <w:r w:rsidRPr="008A3D03">
              <w:rPr>
                <w:color w:val="000000"/>
                <w:sz w:val="18"/>
                <w:szCs w:val="18"/>
              </w:rPr>
              <w:t>0</w:t>
            </w:r>
          </w:p>
        </w:tc>
        <w:tc>
          <w:tcPr>
            <w:tcW w:w="801" w:type="dxa"/>
            <w:noWrap/>
            <w:vAlign w:val="center"/>
            <w:hideMark/>
          </w:tcPr>
          <w:p w14:paraId="6B77C592" w14:textId="77777777" w:rsidR="00CD213E" w:rsidRPr="008A3D03" w:rsidRDefault="00CD213E" w:rsidP="00150C7F">
            <w:pPr>
              <w:jc w:val="center"/>
              <w:rPr>
                <w:b/>
                <w:bCs/>
                <w:color w:val="000000"/>
                <w:sz w:val="18"/>
                <w:szCs w:val="18"/>
              </w:rPr>
            </w:pPr>
            <w:r w:rsidRPr="008A3D03">
              <w:rPr>
                <w:b/>
                <w:bCs/>
                <w:color w:val="000000"/>
                <w:sz w:val="18"/>
                <w:szCs w:val="18"/>
              </w:rPr>
              <w:t>19</w:t>
            </w:r>
          </w:p>
        </w:tc>
      </w:tr>
      <w:tr w:rsidR="00CD213E" w:rsidRPr="00575F63" w14:paraId="4CE216C7" w14:textId="77777777" w:rsidTr="00150C7F">
        <w:trPr>
          <w:trHeight w:val="425"/>
        </w:trPr>
        <w:tc>
          <w:tcPr>
            <w:tcW w:w="988" w:type="dxa"/>
            <w:noWrap/>
            <w:vAlign w:val="center"/>
            <w:hideMark/>
          </w:tcPr>
          <w:p w14:paraId="69DF6615" w14:textId="77777777" w:rsidR="00CD213E" w:rsidRPr="008A3D03" w:rsidRDefault="00CD213E" w:rsidP="00150C7F">
            <w:pPr>
              <w:jc w:val="center"/>
              <w:rPr>
                <w:b/>
                <w:bCs/>
                <w:color w:val="000000"/>
                <w:sz w:val="18"/>
                <w:szCs w:val="18"/>
              </w:rPr>
            </w:pPr>
            <w:r w:rsidRPr="008A3D03">
              <w:rPr>
                <w:b/>
                <w:bCs/>
                <w:color w:val="000000"/>
                <w:sz w:val="18"/>
                <w:szCs w:val="18"/>
              </w:rPr>
              <w:t>Israel</w:t>
            </w:r>
          </w:p>
        </w:tc>
        <w:tc>
          <w:tcPr>
            <w:tcW w:w="850" w:type="dxa"/>
            <w:noWrap/>
            <w:vAlign w:val="center"/>
            <w:hideMark/>
          </w:tcPr>
          <w:p w14:paraId="3A5C2466" w14:textId="77777777" w:rsidR="00CD213E" w:rsidRPr="008A3D03" w:rsidRDefault="00CD213E" w:rsidP="00150C7F">
            <w:pPr>
              <w:jc w:val="center"/>
              <w:rPr>
                <w:color w:val="000000"/>
                <w:sz w:val="18"/>
                <w:szCs w:val="18"/>
              </w:rPr>
            </w:pPr>
            <w:r w:rsidRPr="008A3D03">
              <w:rPr>
                <w:color w:val="000000"/>
                <w:sz w:val="18"/>
                <w:szCs w:val="18"/>
              </w:rPr>
              <w:t>2</w:t>
            </w:r>
          </w:p>
        </w:tc>
        <w:tc>
          <w:tcPr>
            <w:tcW w:w="1134" w:type="dxa"/>
            <w:noWrap/>
            <w:vAlign w:val="center"/>
            <w:hideMark/>
          </w:tcPr>
          <w:p w14:paraId="7BED1EB0" w14:textId="77777777" w:rsidR="00CD213E" w:rsidRPr="008A3D03" w:rsidRDefault="00CD213E" w:rsidP="00150C7F">
            <w:pPr>
              <w:jc w:val="center"/>
              <w:rPr>
                <w:color w:val="000000"/>
                <w:sz w:val="18"/>
                <w:szCs w:val="18"/>
              </w:rPr>
            </w:pPr>
            <w:r w:rsidRPr="008A3D03">
              <w:rPr>
                <w:color w:val="000000"/>
                <w:sz w:val="18"/>
                <w:szCs w:val="18"/>
              </w:rPr>
              <w:t>11</w:t>
            </w:r>
          </w:p>
        </w:tc>
        <w:tc>
          <w:tcPr>
            <w:tcW w:w="1134" w:type="dxa"/>
            <w:noWrap/>
            <w:vAlign w:val="center"/>
            <w:hideMark/>
          </w:tcPr>
          <w:p w14:paraId="52BF4AA2" w14:textId="77777777" w:rsidR="00CD213E" w:rsidRPr="008A3D03" w:rsidRDefault="00CD213E" w:rsidP="00150C7F">
            <w:pPr>
              <w:jc w:val="center"/>
              <w:rPr>
                <w:color w:val="000000"/>
                <w:sz w:val="18"/>
                <w:szCs w:val="18"/>
              </w:rPr>
            </w:pPr>
            <w:r w:rsidRPr="008A3D03">
              <w:rPr>
                <w:color w:val="000000"/>
                <w:sz w:val="18"/>
                <w:szCs w:val="18"/>
              </w:rPr>
              <w:t>33</w:t>
            </w:r>
          </w:p>
        </w:tc>
        <w:tc>
          <w:tcPr>
            <w:tcW w:w="992" w:type="dxa"/>
            <w:noWrap/>
            <w:vAlign w:val="center"/>
            <w:hideMark/>
          </w:tcPr>
          <w:p w14:paraId="0F9F1D12" w14:textId="77777777" w:rsidR="00CD213E" w:rsidRPr="008A3D03" w:rsidRDefault="00CD213E" w:rsidP="00150C7F">
            <w:pPr>
              <w:jc w:val="center"/>
              <w:rPr>
                <w:color w:val="000000"/>
                <w:sz w:val="18"/>
                <w:szCs w:val="18"/>
              </w:rPr>
            </w:pPr>
            <w:r w:rsidRPr="008A3D03">
              <w:rPr>
                <w:color w:val="000000"/>
                <w:sz w:val="18"/>
                <w:szCs w:val="18"/>
              </w:rPr>
              <w:t>47</w:t>
            </w:r>
          </w:p>
        </w:tc>
        <w:tc>
          <w:tcPr>
            <w:tcW w:w="1134" w:type="dxa"/>
            <w:noWrap/>
            <w:vAlign w:val="center"/>
            <w:hideMark/>
          </w:tcPr>
          <w:p w14:paraId="662AE473" w14:textId="77777777" w:rsidR="00CD213E" w:rsidRPr="008A3D03" w:rsidRDefault="00CD213E" w:rsidP="00150C7F">
            <w:pPr>
              <w:jc w:val="center"/>
              <w:rPr>
                <w:color w:val="000000"/>
                <w:sz w:val="18"/>
                <w:szCs w:val="18"/>
              </w:rPr>
            </w:pPr>
            <w:r w:rsidRPr="008A3D03">
              <w:rPr>
                <w:color w:val="000000"/>
                <w:sz w:val="18"/>
                <w:szCs w:val="18"/>
              </w:rPr>
              <w:t>4</w:t>
            </w:r>
          </w:p>
        </w:tc>
        <w:tc>
          <w:tcPr>
            <w:tcW w:w="1560" w:type="dxa"/>
            <w:noWrap/>
            <w:vAlign w:val="center"/>
            <w:hideMark/>
          </w:tcPr>
          <w:p w14:paraId="168AF05D" w14:textId="77777777" w:rsidR="00CD213E" w:rsidRPr="008A3D03" w:rsidRDefault="00CD213E" w:rsidP="00150C7F">
            <w:pPr>
              <w:jc w:val="center"/>
              <w:rPr>
                <w:color w:val="000000"/>
                <w:sz w:val="18"/>
                <w:szCs w:val="18"/>
              </w:rPr>
            </w:pPr>
            <w:r w:rsidRPr="008A3D03">
              <w:rPr>
                <w:color w:val="000000"/>
                <w:sz w:val="18"/>
                <w:szCs w:val="18"/>
              </w:rPr>
              <w:t>7</w:t>
            </w:r>
          </w:p>
        </w:tc>
        <w:tc>
          <w:tcPr>
            <w:tcW w:w="769" w:type="dxa"/>
            <w:noWrap/>
            <w:vAlign w:val="center"/>
            <w:hideMark/>
          </w:tcPr>
          <w:p w14:paraId="6B33D86E" w14:textId="77777777" w:rsidR="00CD213E" w:rsidRPr="008A3D03" w:rsidRDefault="00CD213E" w:rsidP="00150C7F">
            <w:pPr>
              <w:jc w:val="center"/>
              <w:rPr>
                <w:color w:val="000000"/>
                <w:sz w:val="18"/>
                <w:szCs w:val="18"/>
              </w:rPr>
            </w:pPr>
            <w:r w:rsidRPr="008A3D03">
              <w:rPr>
                <w:color w:val="000000"/>
                <w:sz w:val="18"/>
                <w:szCs w:val="18"/>
              </w:rPr>
              <w:t>1</w:t>
            </w:r>
          </w:p>
        </w:tc>
        <w:tc>
          <w:tcPr>
            <w:tcW w:w="1215" w:type="dxa"/>
            <w:noWrap/>
            <w:vAlign w:val="center"/>
            <w:hideMark/>
          </w:tcPr>
          <w:p w14:paraId="3F02DA17" w14:textId="77777777" w:rsidR="00CD213E" w:rsidRPr="008A3D03" w:rsidRDefault="00CD213E" w:rsidP="00150C7F">
            <w:pPr>
              <w:jc w:val="center"/>
              <w:rPr>
                <w:color w:val="000000"/>
                <w:sz w:val="18"/>
                <w:szCs w:val="18"/>
              </w:rPr>
            </w:pPr>
            <w:r w:rsidRPr="008A3D03">
              <w:rPr>
                <w:color w:val="000000"/>
                <w:sz w:val="18"/>
                <w:szCs w:val="18"/>
              </w:rPr>
              <w:t>48</w:t>
            </w:r>
          </w:p>
        </w:tc>
        <w:tc>
          <w:tcPr>
            <w:tcW w:w="992" w:type="dxa"/>
            <w:noWrap/>
            <w:vAlign w:val="center"/>
            <w:hideMark/>
          </w:tcPr>
          <w:p w14:paraId="6B756E02" w14:textId="77777777" w:rsidR="00CD213E" w:rsidRPr="008A3D03" w:rsidRDefault="00CD213E" w:rsidP="00150C7F">
            <w:pPr>
              <w:jc w:val="center"/>
              <w:rPr>
                <w:color w:val="000000"/>
                <w:sz w:val="18"/>
                <w:szCs w:val="18"/>
              </w:rPr>
            </w:pPr>
            <w:r w:rsidRPr="008A3D03">
              <w:rPr>
                <w:color w:val="000000"/>
                <w:sz w:val="18"/>
                <w:szCs w:val="18"/>
              </w:rPr>
              <w:t>2</w:t>
            </w:r>
          </w:p>
        </w:tc>
        <w:tc>
          <w:tcPr>
            <w:tcW w:w="1425" w:type="dxa"/>
            <w:noWrap/>
            <w:vAlign w:val="center"/>
            <w:hideMark/>
          </w:tcPr>
          <w:p w14:paraId="130A31C6" w14:textId="77777777" w:rsidR="00CD213E" w:rsidRPr="008A3D03" w:rsidRDefault="00CD213E" w:rsidP="00150C7F">
            <w:pPr>
              <w:jc w:val="center"/>
              <w:rPr>
                <w:color w:val="000000"/>
                <w:sz w:val="18"/>
                <w:szCs w:val="18"/>
              </w:rPr>
            </w:pPr>
            <w:r w:rsidRPr="008A3D03">
              <w:rPr>
                <w:color w:val="000000"/>
                <w:sz w:val="18"/>
                <w:szCs w:val="18"/>
              </w:rPr>
              <w:t>5</w:t>
            </w:r>
          </w:p>
        </w:tc>
        <w:tc>
          <w:tcPr>
            <w:tcW w:w="801" w:type="dxa"/>
            <w:noWrap/>
            <w:vAlign w:val="center"/>
            <w:hideMark/>
          </w:tcPr>
          <w:p w14:paraId="092433C1" w14:textId="77777777" w:rsidR="00CD213E" w:rsidRPr="008A3D03" w:rsidRDefault="00CD213E" w:rsidP="00150C7F">
            <w:pPr>
              <w:jc w:val="center"/>
              <w:rPr>
                <w:b/>
                <w:bCs/>
                <w:color w:val="000000"/>
                <w:sz w:val="18"/>
                <w:szCs w:val="18"/>
              </w:rPr>
            </w:pPr>
            <w:r w:rsidRPr="008A3D03">
              <w:rPr>
                <w:b/>
                <w:bCs/>
                <w:color w:val="000000"/>
                <w:sz w:val="18"/>
                <w:szCs w:val="18"/>
              </w:rPr>
              <w:t>160</w:t>
            </w:r>
          </w:p>
        </w:tc>
      </w:tr>
      <w:tr w:rsidR="00CD213E" w:rsidRPr="00575F63" w14:paraId="06AF8487" w14:textId="77777777" w:rsidTr="00150C7F">
        <w:trPr>
          <w:trHeight w:val="403"/>
        </w:trPr>
        <w:tc>
          <w:tcPr>
            <w:tcW w:w="988" w:type="dxa"/>
            <w:noWrap/>
            <w:vAlign w:val="center"/>
            <w:hideMark/>
          </w:tcPr>
          <w:p w14:paraId="1890BBD1" w14:textId="77777777" w:rsidR="00CD213E" w:rsidRPr="008A3D03" w:rsidRDefault="00CD213E" w:rsidP="00150C7F">
            <w:pPr>
              <w:jc w:val="center"/>
              <w:rPr>
                <w:b/>
                <w:bCs/>
                <w:color w:val="000000"/>
                <w:sz w:val="18"/>
                <w:szCs w:val="18"/>
              </w:rPr>
            </w:pPr>
            <w:r w:rsidRPr="008A3D03">
              <w:rPr>
                <w:b/>
                <w:bCs/>
                <w:color w:val="000000"/>
                <w:sz w:val="18"/>
                <w:szCs w:val="18"/>
              </w:rPr>
              <w:t>Jordan</w:t>
            </w:r>
          </w:p>
        </w:tc>
        <w:tc>
          <w:tcPr>
            <w:tcW w:w="850" w:type="dxa"/>
            <w:noWrap/>
            <w:vAlign w:val="center"/>
            <w:hideMark/>
          </w:tcPr>
          <w:p w14:paraId="03820D82" w14:textId="77777777" w:rsidR="00CD213E" w:rsidRPr="008A3D03" w:rsidRDefault="00CD213E" w:rsidP="00150C7F">
            <w:pPr>
              <w:jc w:val="center"/>
              <w:rPr>
                <w:color w:val="000000"/>
                <w:sz w:val="18"/>
                <w:szCs w:val="18"/>
              </w:rPr>
            </w:pPr>
            <w:r w:rsidRPr="008A3D03">
              <w:rPr>
                <w:color w:val="000000"/>
                <w:sz w:val="18"/>
                <w:szCs w:val="18"/>
              </w:rPr>
              <w:t>1</w:t>
            </w:r>
          </w:p>
        </w:tc>
        <w:tc>
          <w:tcPr>
            <w:tcW w:w="1134" w:type="dxa"/>
            <w:noWrap/>
            <w:vAlign w:val="center"/>
            <w:hideMark/>
          </w:tcPr>
          <w:p w14:paraId="2F4CD9C4" w14:textId="77777777" w:rsidR="00CD213E" w:rsidRPr="008A3D03" w:rsidRDefault="00CD213E" w:rsidP="00150C7F">
            <w:pPr>
              <w:jc w:val="center"/>
              <w:rPr>
                <w:color w:val="000000"/>
                <w:sz w:val="18"/>
                <w:szCs w:val="18"/>
              </w:rPr>
            </w:pPr>
            <w:r w:rsidRPr="008A3D03">
              <w:rPr>
                <w:color w:val="000000"/>
                <w:sz w:val="18"/>
                <w:szCs w:val="18"/>
              </w:rPr>
              <w:t>1</w:t>
            </w:r>
          </w:p>
        </w:tc>
        <w:tc>
          <w:tcPr>
            <w:tcW w:w="1134" w:type="dxa"/>
            <w:noWrap/>
            <w:vAlign w:val="center"/>
            <w:hideMark/>
          </w:tcPr>
          <w:p w14:paraId="324B0E1E" w14:textId="77777777" w:rsidR="00CD213E" w:rsidRPr="008A3D03" w:rsidRDefault="00CD213E" w:rsidP="00150C7F">
            <w:pPr>
              <w:jc w:val="center"/>
              <w:rPr>
                <w:color w:val="000000"/>
                <w:sz w:val="18"/>
                <w:szCs w:val="18"/>
              </w:rPr>
            </w:pPr>
            <w:r w:rsidRPr="008A3D03">
              <w:rPr>
                <w:color w:val="000000"/>
                <w:sz w:val="18"/>
                <w:szCs w:val="18"/>
              </w:rPr>
              <w:t>10</w:t>
            </w:r>
          </w:p>
        </w:tc>
        <w:tc>
          <w:tcPr>
            <w:tcW w:w="992" w:type="dxa"/>
            <w:noWrap/>
            <w:vAlign w:val="center"/>
            <w:hideMark/>
          </w:tcPr>
          <w:p w14:paraId="04696D8B" w14:textId="77777777" w:rsidR="00CD213E" w:rsidRPr="008A3D03" w:rsidRDefault="00CD213E" w:rsidP="00150C7F">
            <w:pPr>
              <w:jc w:val="center"/>
              <w:rPr>
                <w:color w:val="000000"/>
                <w:sz w:val="18"/>
                <w:szCs w:val="18"/>
              </w:rPr>
            </w:pPr>
            <w:r w:rsidRPr="008A3D03">
              <w:rPr>
                <w:color w:val="000000"/>
                <w:sz w:val="18"/>
                <w:szCs w:val="18"/>
              </w:rPr>
              <w:t>29</w:t>
            </w:r>
          </w:p>
        </w:tc>
        <w:tc>
          <w:tcPr>
            <w:tcW w:w="1134" w:type="dxa"/>
            <w:noWrap/>
            <w:vAlign w:val="center"/>
            <w:hideMark/>
          </w:tcPr>
          <w:p w14:paraId="5B9C1C66" w14:textId="77777777" w:rsidR="00CD213E" w:rsidRPr="008A3D03" w:rsidRDefault="00CD213E" w:rsidP="00150C7F">
            <w:pPr>
              <w:jc w:val="center"/>
              <w:rPr>
                <w:color w:val="000000"/>
                <w:sz w:val="18"/>
                <w:szCs w:val="18"/>
              </w:rPr>
            </w:pPr>
            <w:r w:rsidRPr="008A3D03">
              <w:rPr>
                <w:color w:val="000000"/>
                <w:sz w:val="18"/>
                <w:szCs w:val="18"/>
              </w:rPr>
              <w:t>0</w:t>
            </w:r>
          </w:p>
        </w:tc>
        <w:tc>
          <w:tcPr>
            <w:tcW w:w="1560" w:type="dxa"/>
            <w:noWrap/>
            <w:vAlign w:val="center"/>
            <w:hideMark/>
          </w:tcPr>
          <w:p w14:paraId="0EFA6A05" w14:textId="77777777" w:rsidR="00CD213E" w:rsidRPr="008A3D03" w:rsidRDefault="00CD213E" w:rsidP="00150C7F">
            <w:pPr>
              <w:jc w:val="center"/>
              <w:rPr>
                <w:color w:val="000000"/>
                <w:sz w:val="18"/>
                <w:szCs w:val="18"/>
              </w:rPr>
            </w:pPr>
            <w:r w:rsidRPr="008A3D03">
              <w:rPr>
                <w:color w:val="000000"/>
                <w:sz w:val="18"/>
                <w:szCs w:val="18"/>
              </w:rPr>
              <w:t>2</w:t>
            </w:r>
          </w:p>
        </w:tc>
        <w:tc>
          <w:tcPr>
            <w:tcW w:w="769" w:type="dxa"/>
            <w:noWrap/>
            <w:vAlign w:val="center"/>
            <w:hideMark/>
          </w:tcPr>
          <w:p w14:paraId="37C20A0C" w14:textId="77777777" w:rsidR="00CD213E" w:rsidRPr="008A3D03" w:rsidRDefault="00CD213E" w:rsidP="00150C7F">
            <w:pPr>
              <w:jc w:val="center"/>
              <w:rPr>
                <w:color w:val="000000"/>
                <w:sz w:val="18"/>
                <w:szCs w:val="18"/>
              </w:rPr>
            </w:pPr>
            <w:r w:rsidRPr="008A3D03">
              <w:rPr>
                <w:color w:val="000000"/>
                <w:sz w:val="18"/>
                <w:szCs w:val="18"/>
              </w:rPr>
              <w:t>0</w:t>
            </w:r>
          </w:p>
        </w:tc>
        <w:tc>
          <w:tcPr>
            <w:tcW w:w="1215" w:type="dxa"/>
            <w:noWrap/>
            <w:vAlign w:val="center"/>
            <w:hideMark/>
          </w:tcPr>
          <w:p w14:paraId="2A084C19" w14:textId="77777777" w:rsidR="00CD213E" w:rsidRPr="008A3D03" w:rsidRDefault="00CD213E" w:rsidP="00150C7F">
            <w:pPr>
              <w:jc w:val="center"/>
              <w:rPr>
                <w:color w:val="000000"/>
                <w:sz w:val="18"/>
                <w:szCs w:val="18"/>
              </w:rPr>
            </w:pPr>
            <w:r w:rsidRPr="008A3D03">
              <w:rPr>
                <w:color w:val="000000"/>
                <w:sz w:val="18"/>
                <w:szCs w:val="18"/>
              </w:rPr>
              <w:t>1</w:t>
            </w:r>
          </w:p>
        </w:tc>
        <w:tc>
          <w:tcPr>
            <w:tcW w:w="992" w:type="dxa"/>
            <w:noWrap/>
            <w:vAlign w:val="center"/>
            <w:hideMark/>
          </w:tcPr>
          <w:p w14:paraId="1B5C177A" w14:textId="77777777" w:rsidR="00CD213E" w:rsidRPr="008A3D03" w:rsidRDefault="00CD213E" w:rsidP="00150C7F">
            <w:pPr>
              <w:jc w:val="center"/>
              <w:rPr>
                <w:color w:val="000000"/>
                <w:sz w:val="18"/>
                <w:szCs w:val="18"/>
              </w:rPr>
            </w:pPr>
            <w:r w:rsidRPr="008A3D03">
              <w:rPr>
                <w:color w:val="000000"/>
                <w:sz w:val="18"/>
                <w:szCs w:val="18"/>
              </w:rPr>
              <w:t>1</w:t>
            </w:r>
          </w:p>
        </w:tc>
        <w:tc>
          <w:tcPr>
            <w:tcW w:w="1425" w:type="dxa"/>
            <w:noWrap/>
            <w:vAlign w:val="center"/>
            <w:hideMark/>
          </w:tcPr>
          <w:p w14:paraId="36FD663B" w14:textId="77777777" w:rsidR="00CD213E" w:rsidRPr="008A3D03" w:rsidRDefault="00CD213E" w:rsidP="00150C7F">
            <w:pPr>
              <w:jc w:val="center"/>
              <w:rPr>
                <w:color w:val="000000"/>
                <w:sz w:val="18"/>
                <w:szCs w:val="18"/>
              </w:rPr>
            </w:pPr>
            <w:r w:rsidRPr="008A3D03">
              <w:rPr>
                <w:color w:val="000000"/>
                <w:sz w:val="18"/>
                <w:szCs w:val="18"/>
              </w:rPr>
              <w:t>2</w:t>
            </w:r>
          </w:p>
        </w:tc>
        <w:tc>
          <w:tcPr>
            <w:tcW w:w="801" w:type="dxa"/>
            <w:noWrap/>
            <w:vAlign w:val="center"/>
            <w:hideMark/>
          </w:tcPr>
          <w:p w14:paraId="3247C724" w14:textId="77777777" w:rsidR="00CD213E" w:rsidRPr="008A3D03" w:rsidRDefault="00CD213E" w:rsidP="00150C7F">
            <w:pPr>
              <w:jc w:val="center"/>
              <w:rPr>
                <w:b/>
                <w:bCs/>
                <w:color w:val="000000"/>
                <w:sz w:val="18"/>
                <w:szCs w:val="18"/>
              </w:rPr>
            </w:pPr>
            <w:r w:rsidRPr="008A3D03">
              <w:rPr>
                <w:b/>
                <w:bCs/>
                <w:color w:val="000000"/>
                <w:sz w:val="18"/>
                <w:szCs w:val="18"/>
              </w:rPr>
              <w:t>47</w:t>
            </w:r>
          </w:p>
        </w:tc>
      </w:tr>
      <w:tr w:rsidR="00CD213E" w:rsidRPr="00575F63" w14:paraId="5E251AD1" w14:textId="77777777" w:rsidTr="00150C7F">
        <w:trPr>
          <w:trHeight w:val="423"/>
        </w:trPr>
        <w:tc>
          <w:tcPr>
            <w:tcW w:w="988" w:type="dxa"/>
            <w:noWrap/>
            <w:vAlign w:val="center"/>
            <w:hideMark/>
          </w:tcPr>
          <w:p w14:paraId="167BD75B" w14:textId="77777777" w:rsidR="00CD213E" w:rsidRPr="008A3D03" w:rsidRDefault="00CD213E" w:rsidP="00150C7F">
            <w:pPr>
              <w:jc w:val="center"/>
              <w:rPr>
                <w:b/>
                <w:bCs/>
                <w:color w:val="000000"/>
                <w:sz w:val="18"/>
                <w:szCs w:val="18"/>
              </w:rPr>
            </w:pPr>
            <w:r w:rsidRPr="008A3D03">
              <w:rPr>
                <w:b/>
                <w:bCs/>
                <w:color w:val="000000"/>
                <w:sz w:val="18"/>
                <w:szCs w:val="18"/>
              </w:rPr>
              <w:t>Kuwait</w:t>
            </w:r>
          </w:p>
        </w:tc>
        <w:tc>
          <w:tcPr>
            <w:tcW w:w="850" w:type="dxa"/>
            <w:noWrap/>
            <w:vAlign w:val="center"/>
            <w:hideMark/>
          </w:tcPr>
          <w:p w14:paraId="28018D42"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5E94F697" w14:textId="77777777" w:rsidR="00CD213E" w:rsidRPr="008A3D03" w:rsidRDefault="00CD213E" w:rsidP="00150C7F">
            <w:pPr>
              <w:jc w:val="center"/>
              <w:rPr>
                <w:color w:val="000000"/>
                <w:sz w:val="18"/>
                <w:szCs w:val="18"/>
              </w:rPr>
            </w:pPr>
            <w:r w:rsidRPr="008A3D03">
              <w:rPr>
                <w:color w:val="000000"/>
                <w:sz w:val="18"/>
                <w:szCs w:val="18"/>
              </w:rPr>
              <w:t>1</w:t>
            </w:r>
          </w:p>
        </w:tc>
        <w:tc>
          <w:tcPr>
            <w:tcW w:w="1134" w:type="dxa"/>
            <w:noWrap/>
            <w:vAlign w:val="center"/>
            <w:hideMark/>
          </w:tcPr>
          <w:p w14:paraId="13C4E1FD" w14:textId="77777777" w:rsidR="00CD213E" w:rsidRPr="008A3D03" w:rsidRDefault="00CD213E" w:rsidP="00150C7F">
            <w:pPr>
              <w:jc w:val="center"/>
              <w:rPr>
                <w:color w:val="000000"/>
                <w:sz w:val="18"/>
                <w:szCs w:val="18"/>
              </w:rPr>
            </w:pPr>
            <w:r w:rsidRPr="008A3D03">
              <w:rPr>
                <w:color w:val="000000"/>
                <w:sz w:val="18"/>
                <w:szCs w:val="18"/>
              </w:rPr>
              <w:t>5</w:t>
            </w:r>
          </w:p>
        </w:tc>
        <w:tc>
          <w:tcPr>
            <w:tcW w:w="992" w:type="dxa"/>
            <w:noWrap/>
            <w:vAlign w:val="center"/>
            <w:hideMark/>
          </w:tcPr>
          <w:p w14:paraId="031E664E" w14:textId="77777777" w:rsidR="00CD213E" w:rsidRPr="008A3D03" w:rsidRDefault="00CD213E" w:rsidP="00150C7F">
            <w:pPr>
              <w:jc w:val="center"/>
              <w:rPr>
                <w:color w:val="000000"/>
                <w:sz w:val="18"/>
                <w:szCs w:val="18"/>
              </w:rPr>
            </w:pPr>
            <w:r w:rsidRPr="008A3D03">
              <w:rPr>
                <w:color w:val="000000"/>
                <w:sz w:val="18"/>
                <w:szCs w:val="18"/>
              </w:rPr>
              <w:t>39</w:t>
            </w:r>
          </w:p>
        </w:tc>
        <w:tc>
          <w:tcPr>
            <w:tcW w:w="1134" w:type="dxa"/>
            <w:noWrap/>
            <w:vAlign w:val="center"/>
            <w:hideMark/>
          </w:tcPr>
          <w:p w14:paraId="40476513" w14:textId="77777777" w:rsidR="00CD213E" w:rsidRPr="008A3D03" w:rsidRDefault="00CD213E" w:rsidP="00150C7F">
            <w:pPr>
              <w:jc w:val="center"/>
              <w:rPr>
                <w:color w:val="000000"/>
                <w:sz w:val="18"/>
                <w:szCs w:val="18"/>
              </w:rPr>
            </w:pPr>
            <w:r w:rsidRPr="008A3D03">
              <w:rPr>
                <w:color w:val="000000"/>
                <w:sz w:val="18"/>
                <w:szCs w:val="18"/>
              </w:rPr>
              <w:t>1</w:t>
            </w:r>
          </w:p>
        </w:tc>
        <w:tc>
          <w:tcPr>
            <w:tcW w:w="1560" w:type="dxa"/>
            <w:noWrap/>
            <w:vAlign w:val="center"/>
            <w:hideMark/>
          </w:tcPr>
          <w:p w14:paraId="0DFD603A" w14:textId="77777777" w:rsidR="00CD213E" w:rsidRPr="008A3D03" w:rsidRDefault="00CD213E" w:rsidP="00150C7F">
            <w:pPr>
              <w:jc w:val="center"/>
              <w:rPr>
                <w:color w:val="000000"/>
                <w:sz w:val="18"/>
                <w:szCs w:val="18"/>
              </w:rPr>
            </w:pPr>
            <w:r w:rsidRPr="008A3D03">
              <w:rPr>
                <w:color w:val="000000"/>
                <w:sz w:val="18"/>
                <w:szCs w:val="18"/>
              </w:rPr>
              <w:t>2</w:t>
            </w:r>
          </w:p>
        </w:tc>
        <w:tc>
          <w:tcPr>
            <w:tcW w:w="769" w:type="dxa"/>
            <w:noWrap/>
            <w:vAlign w:val="center"/>
            <w:hideMark/>
          </w:tcPr>
          <w:p w14:paraId="4C613EC7" w14:textId="77777777" w:rsidR="00CD213E" w:rsidRPr="008A3D03" w:rsidRDefault="00CD213E" w:rsidP="00150C7F">
            <w:pPr>
              <w:jc w:val="center"/>
              <w:rPr>
                <w:color w:val="000000"/>
                <w:sz w:val="18"/>
                <w:szCs w:val="18"/>
              </w:rPr>
            </w:pPr>
            <w:r w:rsidRPr="008A3D03">
              <w:rPr>
                <w:color w:val="000000"/>
                <w:sz w:val="18"/>
                <w:szCs w:val="18"/>
              </w:rPr>
              <w:t>0</w:t>
            </w:r>
          </w:p>
        </w:tc>
        <w:tc>
          <w:tcPr>
            <w:tcW w:w="1215" w:type="dxa"/>
            <w:noWrap/>
            <w:vAlign w:val="center"/>
            <w:hideMark/>
          </w:tcPr>
          <w:p w14:paraId="49B22A7D" w14:textId="77777777" w:rsidR="00CD213E" w:rsidRPr="008A3D03" w:rsidRDefault="00CD213E" w:rsidP="00150C7F">
            <w:pPr>
              <w:jc w:val="center"/>
              <w:rPr>
                <w:color w:val="000000"/>
                <w:sz w:val="18"/>
                <w:szCs w:val="18"/>
              </w:rPr>
            </w:pPr>
            <w:r w:rsidRPr="008A3D03">
              <w:rPr>
                <w:color w:val="000000"/>
                <w:sz w:val="18"/>
                <w:szCs w:val="18"/>
              </w:rPr>
              <w:t>1</w:t>
            </w:r>
          </w:p>
        </w:tc>
        <w:tc>
          <w:tcPr>
            <w:tcW w:w="992" w:type="dxa"/>
            <w:noWrap/>
            <w:vAlign w:val="center"/>
            <w:hideMark/>
          </w:tcPr>
          <w:p w14:paraId="5314E137" w14:textId="77777777" w:rsidR="00CD213E" w:rsidRPr="008A3D03" w:rsidRDefault="00CD213E" w:rsidP="00150C7F">
            <w:pPr>
              <w:jc w:val="center"/>
              <w:rPr>
                <w:color w:val="000000"/>
                <w:sz w:val="18"/>
                <w:szCs w:val="18"/>
              </w:rPr>
            </w:pPr>
            <w:r w:rsidRPr="008A3D03">
              <w:rPr>
                <w:color w:val="000000"/>
                <w:sz w:val="18"/>
                <w:szCs w:val="18"/>
              </w:rPr>
              <w:t>0</w:t>
            </w:r>
          </w:p>
        </w:tc>
        <w:tc>
          <w:tcPr>
            <w:tcW w:w="1425" w:type="dxa"/>
            <w:noWrap/>
            <w:vAlign w:val="center"/>
            <w:hideMark/>
          </w:tcPr>
          <w:p w14:paraId="6310D2B8" w14:textId="77777777" w:rsidR="00CD213E" w:rsidRPr="008A3D03" w:rsidRDefault="00CD213E" w:rsidP="00150C7F">
            <w:pPr>
              <w:jc w:val="center"/>
              <w:rPr>
                <w:color w:val="000000"/>
                <w:sz w:val="18"/>
                <w:szCs w:val="18"/>
              </w:rPr>
            </w:pPr>
            <w:r w:rsidRPr="008A3D03">
              <w:rPr>
                <w:color w:val="000000"/>
                <w:sz w:val="18"/>
                <w:szCs w:val="18"/>
              </w:rPr>
              <w:t>1</w:t>
            </w:r>
          </w:p>
        </w:tc>
        <w:tc>
          <w:tcPr>
            <w:tcW w:w="801" w:type="dxa"/>
            <w:noWrap/>
            <w:vAlign w:val="center"/>
            <w:hideMark/>
          </w:tcPr>
          <w:p w14:paraId="1770D196" w14:textId="77777777" w:rsidR="00CD213E" w:rsidRPr="008A3D03" w:rsidRDefault="00CD213E" w:rsidP="00150C7F">
            <w:pPr>
              <w:jc w:val="center"/>
              <w:rPr>
                <w:b/>
                <w:bCs/>
                <w:color w:val="000000"/>
                <w:sz w:val="18"/>
                <w:szCs w:val="18"/>
              </w:rPr>
            </w:pPr>
            <w:r w:rsidRPr="008A3D03">
              <w:rPr>
                <w:b/>
                <w:bCs/>
                <w:color w:val="000000"/>
                <w:sz w:val="18"/>
                <w:szCs w:val="18"/>
              </w:rPr>
              <w:t>50</w:t>
            </w:r>
          </w:p>
        </w:tc>
      </w:tr>
      <w:tr w:rsidR="00CD213E" w:rsidRPr="00575F63" w14:paraId="71BD2AF7" w14:textId="77777777" w:rsidTr="00150C7F">
        <w:trPr>
          <w:trHeight w:val="415"/>
        </w:trPr>
        <w:tc>
          <w:tcPr>
            <w:tcW w:w="988" w:type="dxa"/>
            <w:noWrap/>
            <w:vAlign w:val="center"/>
            <w:hideMark/>
          </w:tcPr>
          <w:p w14:paraId="5082AE06" w14:textId="77777777" w:rsidR="00CD213E" w:rsidRPr="008A3D03" w:rsidRDefault="00CD213E" w:rsidP="00150C7F">
            <w:pPr>
              <w:jc w:val="center"/>
              <w:rPr>
                <w:b/>
                <w:bCs/>
                <w:color w:val="000000"/>
                <w:sz w:val="18"/>
                <w:szCs w:val="18"/>
              </w:rPr>
            </w:pPr>
            <w:r w:rsidRPr="008A3D03">
              <w:rPr>
                <w:b/>
                <w:bCs/>
                <w:color w:val="000000"/>
                <w:sz w:val="18"/>
                <w:szCs w:val="18"/>
              </w:rPr>
              <w:t>Lebanon</w:t>
            </w:r>
          </w:p>
        </w:tc>
        <w:tc>
          <w:tcPr>
            <w:tcW w:w="850" w:type="dxa"/>
            <w:noWrap/>
            <w:vAlign w:val="center"/>
            <w:hideMark/>
          </w:tcPr>
          <w:p w14:paraId="405AFDD0"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7DC7E209"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78376C6D" w14:textId="77777777" w:rsidR="00CD213E" w:rsidRPr="008A3D03" w:rsidRDefault="00CD213E" w:rsidP="00150C7F">
            <w:pPr>
              <w:jc w:val="center"/>
              <w:rPr>
                <w:color w:val="000000"/>
                <w:sz w:val="18"/>
                <w:szCs w:val="18"/>
              </w:rPr>
            </w:pPr>
            <w:r w:rsidRPr="008A3D03">
              <w:rPr>
                <w:color w:val="000000"/>
                <w:sz w:val="18"/>
                <w:szCs w:val="18"/>
              </w:rPr>
              <w:t>0</w:t>
            </w:r>
          </w:p>
        </w:tc>
        <w:tc>
          <w:tcPr>
            <w:tcW w:w="992" w:type="dxa"/>
            <w:noWrap/>
            <w:vAlign w:val="center"/>
            <w:hideMark/>
          </w:tcPr>
          <w:p w14:paraId="014786DD" w14:textId="77777777" w:rsidR="00CD213E" w:rsidRPr="008A3D03" w:rsidRDefault="00CD213E" w:rsidP="00150C7F">
            <w:pPr>
              <w:jc w:val="center"/>
              <w:rPr>
                <w:color w:val="000000"/>
                <w:sz w:val="18"/>
                <w:szCs w:val="18"/>
              </w:rPr>
            </w:pPr>
            <w:r w:rsidRPr="008A3D03">
              <w:rPr>
                <w:color w:val="000000"/>
                <w:sz w:val="18"/>
                <w:szCs w:val="18"/>
              </w:rPr>
              <w:t>3</w:t>
            </w:r>
          </w:p>
        </w:tc>
        <w:tc>
          <w:tcPr>
            <w:tcW w:w="1134" w:type="dxa"/>
            <w:noWrap/>
            <w:vAlign w:val="center"/>
            <w:hideMark/>
          </w:tcPr>
          <w:p w14:paraId="300D8A1A" w14:textId="77777777" w:rsidR="00CD213E" w:rsidRPr="008A3D03" w:rsidRDefault="00CD213E" w:rsidP="00150C7F">
            <w:pPr>
              <w:jc w:val="center"/>
              <w:rPr>
                <w:color w:val="000000"/>
                <w:sz w:val="18"/>
                <w:szCs w:val="18"/>
              </w:rPr>
            </w:pPr>
            <w:r w:rsidRPr="008A3D03">
              <w:rPr>
                <w:color w:val="000000"/>
                <w:sz w:val="18"/>
                <w:szCs w:val="18"/>
              </w:rPr>
              <w:t>0</w:t>
            </w:r>
          </w:p>
        </w:tc>
        <w:tc>
          <w:tcPr>
            <w:tcW w:w="1560" w:type="dxa"/>
            <w:noWrap/>
            <w:vAlign w:val="center"/>
            <w:hideMark/>
          </w:tcPr>
          <w:p w14:paraId="1277DBAB" w14:textId="77777777" w:rsidR="00CD213E" w:rsidRPr="008A3D03" w:rsidRDefault="00CD213E" w:rsidP="00150C7F">
            <w:pPr>
              <w:jc w:val="center"/>
              <w:rPr>
                <w:color w:val="000000"/>
                <w:sz w:val="18"/>
                <w:szCs w:val="18"/>
              </w:rPr>
            </w:pPr>
            <w:r w:rsidRPr="008A3D03">
              <w:rPr>
                <w:color w:val="000000"/>
                <w:sz w:val="18"/>
                <w:szCs w:val="18"/>
              </w:rPr>
              <w:t>0</w:t>
            </w:r>
          </w:p>
        </w:tc>
        <w:tc>
          <w:tcPr>
            <w:tcW w:w="769" w:type="dxa"/>
            <w:noWrap/>
            <w:vAlign w:val="center"/>
            <w:hideMark/>
          </w:tcPr>
          <w:p w14:paraId="1B32F465" w14:textId="77777777" w:rsidR="00CD213E" w:rsidRPr="008A3D03" w:rsidRDefault="00CD213E" w:rsidP="00150C7F">
            <w:pPr>
              <w:jc w:val="center"/>
              <w:rPr>
                <w:color w:val="000000"/>
                <w:sz w:val="18"/>
                <w:szCs w:val="18"/>
              </w:rPr>
            </w:pPr>
            <w:r w:rsidRPr="008A3D03">
              <w:rPr>
                <w:color w:val="000000"/>
                <w:sz w:val="18"/>
                <w:szCs w:val="18"/>
              </w:rPr>
              <w:t>0</w:t>
            </w:r>
          </w:p>
        </w:tc>
        <w:tc>
          <w:tcPr>
            <w:tcW w:w="1215" w:type="dxa"/>
            <w:noWrap/>
            <w:vAlign w:val="center"/>
            <w:hideMark/>
          </w:tcPr>
          <w:p w14:paraId="0CD68A8B" w14:textId="77777777" w:rsidR="00CD213E" w:rsidRPr="008A3D03" w:rsidRDefault="00CD213E" w:rsidP="00150C7F">
            <w:pPr>
              <w:jc w:val="center"/>
              <w:rPr>
                <w:color w:val="000000"/>
                <w:sz w:val="18"/>
                <w:szCs w:val="18"/>
              </w:rPr>
            </w:pPr>
            <w:r w:rsidRPr="008A3D03">
              <w:rPr>
                <w:color w:val="000000"/>
                <w:sz w:val="18"/>
                <w:szCs w:val="18"/>
              </w:rPr>
              <w:t>0</w:t>
            </w:r>
          </w:p>
        </w:tc>
        <w:tc>
          <w:tcPr>
            <w:tcW w:w="992" w:type="dxa"/>
            <w:noWrap/>
            <w:vAlign w:val="center"/>
            <w:hideMark/>
          </w:tcPr>
          <w:p w14:paraId="1D8DA90A" w14:textId="77777777" w:rsidR="00CD213E" w:rsidRPr="008A3D03" w:rsidRDefault="00CD213E" w:rsidP="00150C7F">
            <w:pPr>
              <w:jc w:val="center"/>
              <w:rPr>
                <w:color w:val="000000"/>
                <w:sz w:val="18"/>
                <w:szCs w:val="18"/>
              </w:rPr>
            </w:pPr>
            <w:r w:rsidRPr="008A3D03">
              <w:rPr>
                <w:color w:val="000000"/>
                <w:sz w:val="18"/>
                <w:szCs w:val="18"/>
              </w:rPr>
              <w:t>0</w:t>
            </w:r>
          </w:p>
        </w:tc>
        <w:tc>
          <w:tcPr>
            <w:tcW w:w="1425" w:type="dxa"/>
            <w:noWrap/>
            <w:vAlign w:val="center"/>
            <w:hideMark/>
          </w:tcPr>
          <w:p w14:paraId="5E9A98BE" w14:textId="77777777" w:rsidR="00CD213E" w:rsidRPr="008A3D03" w:rsidRDefault="00CD213E" w:rsidP="00150C7F">
            <w:pPr>
              <w:jc w:val="center"/>
              <w:rPr>
                <w:color w:val="000000"/>
                <w:sz w:val="18"/>
                <w:szCs w:val="18"/>
              </w:rPr>
            </w:pPr>
            <w:r w:rsidRPr="008A3D03">
              <w:rPr>
                <w:color w:val="000000"/>
                <w:sz w:val="18"/>
                <w:szCs w:val="18"/>
              </w:rPr>
              <w:t>0</w:t>
            </w:r>
          </w:p>
        </w:tc>
        <w:tc>
          <w:tcPr>
            <w:tcW w:w="801" w:type="dxa"/>
            <w:noWrap/>
            <w:vAlign w:val="center"/>
            <w:hideMark/>
          </w:tcPr>
          <w:p w14:paraId="6BE2AABE" w14:textId="77777777" w:rsidR="00CD213E" w:rsidRPr="008A3D03" w:rsidRDefault="00CD213E" w:rsidP="00150C7F">
            <w:pPr>
              <w:jc w:val="center"/>
              <w:rPr>
                <w:b/>
                <w:bCs/>
                <w:color w:val="000000"/>
                <w:sz w:val="18"/>
                <w:szCs w:val="18"/>
              </w:rPr>
            </w:pPr>
            <w:r w:rsidRPr="008A3D03">
              <w:rPr>
                <w:b/>
                <w:bCs/>
                <w:color w:val="000000"/>
                <w:sz w:val="18"/>
                <w:szCs w:val="18"/>
              </w:rPr>
              <w:t>3</w:t>
            </w:r>
          </w:p>
        </w:tc>
      </w:tr>
      <w:tr w:rsidR="00CD213E" w:rsidRPr="00575F63" w14:paraId="6DB0C4A6" w14:textId="77777777" w:rsidTr="00150C7F">
        <w:trPr>
          <w:trHeight w:val="407"/>
        </w:trPr>
        <w:tc>
          <w:tcPr>
            <w:tcW w:w="988" w:type="dxa"/>
            <w:noWrap/>
            <w:vAlign w:val="center"/>
            <w:hideMark/>
          </w:tcPr>
          <w:p w14:paraId="01262DCF" w14:textId="77777777" w:rsidR="00CD213E" w:rsidRPr="008A3D03" w:rsidRDefault="00CD213E" w:rsidP="00150C7F">
            <w:pPr>
              <w:jc w:val="center"/>
              <w:rPr>
                <w:b/>
                <w:bCs/>
                <w:color w:val="000000"/>
                <w:sz w:val="18"/>
                <w:szCs w:val="18"/>
              </w:rPr>
            </w:pPr>
            <w:r w:rsidRPr="008A3D03">
              <w:rPr>
                <w:b/>
                <w:bCs/>
                <w:color w:val="000000"/>
                <w:sz w:val="18"/>
                <w:szCs w:val="18"/>
              </w:rPr>
              <w:t>Morocco</w:t>
            </w:r>
          </w:p>
        </w:tc>
        <w:tc>
          <w:tcPr>
            <w:tcW w:w="850" w:type="dxa"/>
            <w:noWrap/>
            <w:vAlign w:val="center"/>
            <w:hideMark/>
          </w:tcPr>
          <w:p w14:paraId="30B81D37" w14:textId="77777777" w:rsidR="00CD213E" w:rsidRPr="008A3D03" w:rsidRDefault="00CD213E" w:rsidP="00150C7F">
            <w:pPr>
              <w:jc w:val="center"/>
              <w:rPr>
                <w:color w:val="000000"/>
                <w:sz w:val="18"/>
                <w:szCs w:val="18"/>
              </w:rPr>
            </w:pPr>
            <w:r w:rsidRPr="008A3D03">
              <w:rPr>
                <w:color w:val="000000"/>
                <w:sz w:val="18"/>
                <w:szCs w:val="18"/>
              </w:rPr>
              <w:t>1</w:t>
            </w:r>
          </w:p>
        </w:tc>
        <w:tc>
          <w:tcPr>
            <w:tcW w:w="1134" w:type="dxa"/>
            <w:noWrap/>
            <w:vAlign w:val="center"/>
            <w:hideMark/>
          </w:tcPr>
          <w:p w14:paraId="2245979B" w14:textId="77777777" w:rsidR="00CD213E" w:rsidRPr="008A3D03" w:rsidRDefault="00CD213E" w:rsidP="00150C7F">
            <w:pPr>
              <w:jc w:val="center"/>
              <w:rPr>
                <w:color w:val="000000"/>
                <w:sz w:val="18"/>
                <w:szCs w:val="18"/>
              </w:rPr>
            </w:pPr>
            <w:r w:rsidRPr="008A3D03">
              <w:rPr>
                <w:color w:val="000000"/>
                <w:sz w:val="18"/>
                <w:szCs w:val="18"/>
              </w:rPr>
              <w:t>2</w:t>
            </w:r>
          </w:p>
        </w:tc>
        <w:tc>
          <w:tcPr>
            <w:tcW w:w="1134" w:type="dxa"/>
            <w:noWrap/>
            <w:vAlign w:val="center"/>
            <w:hideMark/>
          </w:tcPr>
          <w:p w14:paraId="62D5E55E" w14:textId="77777777" w:rsidR="00CD213E" w:rsidRPr="008A3D03" w:rsidRDefault="00CD213E" w:rsidP="00150C7F">
            <w:pPr>
              <w:jc w:val="center"/>
              <w:rPr>
                <w:color w:val="000000"/>
                <w:sz w:val="18"/>
                <w:szCs w:val="18"/>
              </w:rPr>
            </w:pPr>
            <w:r w:rsidRPr="008A3D03">
              <w:rPr>
                <w:color w:val="000000"/>
                <w:sz w:val="18"/>
                <w:szCs w:val="18"/>
              </w:rPr>
              <w:t>1</w:t>
            </w:r>
          </w:p>
        </w:tc>
        <w:tc>
          <w:tcPr>
            <w:tcW w:w="992" w:type="dxa"/>
            <w:noWrap/>
            <w:vAlign w:val="center"/>
            <w:hideMark/>
          </w:tcPr>
          <w:p w14:paraId="42CD375B" w14:textId="77777777" w:rsidR="00CD213E" w:rsidRPr="008A3D03" w:rsidRDefault="00CD213E" w:rsidP="00150C7F">
            <w:pPr>
              <w:jc w:val="center"/>
              <w:rPr>
                <w:color w:val="000000"/>
                <w:sz w:val="18"/>
                <w:szCs w:val="18"/>
              </w:rPr>
            </w:pPr>
            <w:r w:rsidRPr="008A3D03">
              <w:rPr>
                <w:color w:val="000000"/>
                <w:sz w:val="18"/>
                <w:szCs w:val="18"/>
              </w:rPr>
              <w:t>4</w:t>
            </w:r>
          </w:p>
        </w:tc>
        <w:tc>
          <w:tcPr>
            <w:tcW w:w="1134" w:type="dxa"/>
            <w:noWrap/>
            <w:vAlign w:val="center"/>
            <w:hideMark/>
          </w:tcPr>
          <w:p w14:paraId="55D16504" w14:textId="77777777" w:rsidR="00CD213E" w:rsidRPr="008A3D03" w:rsidRDefault="00CD213E" w:rsidP="00150C7F">
            <w:pPr>
              <w:jc w:val="center"/>
              <w:rPr>
                <w:color w:val="000000"/>
                <w:sz w:val="18"/>
                <w:szCs w:val="18"/>
              </w:rPr>
            </w:pPr>
            <w:r w:rsidRPr="008A3D03">
              <w:rPr>
                <w:color w:val="000000"/>
                <w:sz w:val="18"/>
                <w:szCs w:val="18"/>
              </w:rPr>
              <w:t>0</w:t>
            </w:r>
          </w:p>
        </w:tc>
        <w:tc>
          <w:tcPr>
            <w:tcW w:w="1560" w:type="dxa"/>
            <w:noWrap/>
            <w:vAlign w:val="center"/>
            <w:hideMark/>
          </w:tcPr>
          <w:p w14:paraId="5D1D24D1" w14:textId="77777777" w:rsidR="00CD213E" w:rsidRPr="008A3D03" w:rsidRDefault="00CD213E" w:rsidP="00150C7F">
            <w:pPr>
              <w:jc w:val="center"/>
              <w:rPr>
                <w:color w:val="000000"/>
                <w:sz w:val="18"/>
                <w:szCs w:val="18"/>
              </w:rPr>
            </w:pPr>
            <w:r w:rsidRPr="008A3D03">
              <w:rPr>
                <w:color w:val="000000"/>
                <w:sz w:val="18"/>
                <w:szCs w:val="18"/>
              </w:rPr>
              <w:t>0</w:t>
            </w:r>
          </w:p>
        </w:tc>
        <w:tc>
          <w:tcPr>
            <w:tcW w:w="769" w:type="dxa"/>
            <w:noWrap/>
            <w:vAlign w:val="center"/>
            <w:hideMark/>
          </w:tcPr>
          <w:p w14:paraId="421A4203" w14:textId="77777777" w:rsidR="00CD213E" w:rsidRPr="008A3D03" w:rsidRDefault="00CD213E" w:rsidP="00150C7F">
            <w:pPr>
              <w:jc w:val="center"/>
              <w:rPr>
                <w:color w:val="000000"/>
                <w:sz w:val="18"/>
                <w:szCs w:val="18"/>
              </w:rPr>
            </w:pPr>
            <w:r w:rsidRPr="008A3D03">
              <w:rPr>
                <w:color w:val="000000"/>
                <w:sz w:val="18"/>
                <w:szCs w:val="18"/>
              </w:rPr>
              <w:t>0</w:t>
            </w:r>
          </w:p>
        </w:tc>
        <w:tc>
          <w:tcPr>
            <w:tcW w:w="1215" w:type="dxa"/>
            <w:noWrap/>
            <w:vAlign w:val="center"/>
            <w:hideMark/>
          </w:tcPr>
          <w:p w14:paraId="04635000" w14:textId="77777777" w:rsidR="00CD213E" w:rsidRPr="008A3D03" w:rsidRDefault="00CD213E" w:rsidP="00150C7F">
            <w:pPr>
              <w:jc w:val="center"/>
              <w:rPr>
                <w:color w:val="000000"/>
                <w:sz w:val="18"/>
                <w:szCs w:val="18"/>
              </w:rPr>
            </w:pPr>
            <w:r w:rsidRPr="008A3D03">
              <w:rPr>
                <w:color w:val="000000"/>
                <w:sz w:val="18"/>
                <w:szCs w:val="18"/>
              </w:rPr>
              <w:t>1</w:t>
            </w:r>
          </w:p>
        </w:tc>
        <w:tc>
          <w:tcPr>
            <w:tcW w:w="992" w:type="dxa"/>
            <w:noWrap/>
            <w:vAlign w:val="center"/>
            <w:hideMark/>
          </w:tcPr>
          <w:p w14:paraId="7100BA7B" w14:textId="77777777" w:rsidR="00CD213E" w:rsidRPr="008A3D03" w:rsidRDefault="00CD213E" w:rsidP="00150C7F">
            <w:pPr>
              <w:jc w:val="center"/>
              <w:rPr>
                <w:color w:val="000000"/>
                <w:sz w:val="18"/>
                <w:szCs w:val="18"/>
              </w:rPr>
            </w:pPr>
            <w:r w:rsidRPr="008A3D03">
              <w:rPr>
                <w:color w:val="000000"/>
                <w:sz w:val="18"/>
                <w:szCs w:val="18"/>
              </w:rPr>
              <w:t>0</w:t>
            </w:r>
          </w:p>
        </w:tc>
        <w:tc>
          <w:tcPr>
            <w:tcW w:w="1425" w:type="dxa"/>
            <w:noWrap/>
            <w:vAlign w:val="center"/>
            <w:hideMark/>
          </w:tcPr>
          <w:p w14:paraId="43FF0083" w14:textId="77777777" w:rsidR="00CD213E" w:rsidRPr="008A3D03" w:rsidRDefault="00CD213E" w:rsidP="00150C7F">
            <w:pPr>
              <w:jc w:val="center"/>
              <w:rPr>
                <w:color w:val="000000"/>
                <w:sz w:val="18"/>
                <w:szCs w:val="18"/>
              </w:rPr>
            </w:pPr>
            <w:r w:rsidRPr="008A3D03">
              <w:rPr>
                <w:color w:val="000000"/>
                <w:sz w:val="18"/>
                <w:szCs w:val="18"/>
              </w:rPr>
              <w:t>3</w:t>
            </w:r>
          </w:p>
        </w:tc>
        <w:tc>
          <w:tcPr>
            <w:tcW w:w="801" w:type="dxa"/>
            <w:noWrap/>
            <w:vAlign w:val="center"/>
            <w:hideMark/>
          </w:tcPr>
          <w:p w14:paraId="28C376C9" w14:textId="77777777" w:rsidR="00CD213E" w:rsidRPr="008A3D03" w:rsidRDefault="00CD213E" w:rsidP="00150C7F">
            <w:pPr>
              <w:jc w:val="center"/>
              <w:rPr>
                <w:b/>
                <w:bCs/>
                <w:color w:val="000000"/>
                <w:sz w:val="18"/>
                <w:szCs w:val="18"/>
              </w:rPr>
            </w:pPr>
            <w:r w:rsidRPr="008A3D03">
              <w:rPr>
                <w:b/>
                <w:bCs/>
                <w:color w:val="000000"/>
                <w:sz w:val="18"/>
                <w:szCs w:val="18"/>
              </w:rPr>
              <w:t>12</w:t>
            </w:r>
          </w:p>
        </w:tc>
      </w:tr>
      <w:tr w:rsidR="00CD213E" w:rsidRPr="00575F63" w14:paraId="0DC7F6F7" w14:textId="77777777" w:rsidTr="00150C7F">
        <w:trPr>
          <w:trHeight w:val="426"/>
        </w:trPr>
        <w:tc>
          <w:tcPr>
            <w:tcW w:w="988" w:type="dxa"/>
            <w:noWrap/>
            <w:vAlign w:val="center"/>
            <w:hideMark/>
          </w:tcPr>
          <w:p w14:paraId="31750705" w14:textId="77777777" w:rsidR="00CD213E" w:rsidRPr="008A3D03" w:rsidRDefault="00CD213E" w:rsidP="00150C7F">
            <w:pPr>
              <w:jc w:val="center"/>
              <w:rPr>
                <w:b/>
                <w:bCs/>
                <w:color w:val="000000"/>
                <w:sz w:val="18"/>
                <w:szCs w:val="18"/>
              </w:rPr>
            </w:pPr>
            <w:r w:rsidRPr="008A3D03">
              <w:rPr>
                <w:b/>
                <w:bCs/>
                <w:color w:val="000000"/>
                <w:sz w:val="18"/>
                <w:szCs w:val="18"/>
              </w:rPr>
              <w:t>Oman</w:t>
            </w:r>
          </w:p>
        </w:tc>
        <w:tc>
          <w:tcPr>
            <w:tcW w:w="850" w:type="dxa"/>
            <w:noWrap/>
            <w:vAlign w:val="center"/>
            <w:hideMark/>
          </w:tcPr>
          <w:p w14:paraId="719B2840" w14:textId="77777777" w:rsidR="00CD213E" w:rsidRPr="008A3D03" w:rsidRDefault="00CD213E" w:rsidP="00150C7F">
            <w:pPr>
              <w:jc w:val="center"/>
              <w:rPr>
                <w:color w:val="000000"/>
                <w:sz w:val="18"/>
                <w:szCs w:val="18"/>
              </w:rPr>
            </w:pPr>
            <w:r w:rsidRPr="008A3D03">
              <w:rPr>
                <w:color w:val="000000"/>
                <w:sz w:val="18"/>
                <w:szCs w:val="18"/>
              </w:rPr>
              <w:t>1</w:t>
            </w:r>
          </w:p>
        </w:tc>
        <w:tc>
          <w:tcPr>
            <w:tcW w:w="1134" w:type="dxa"/>
            <w:noWrap/>
            <w:vAlign w:val="center"/>
            <w:hideMark/>
          </w:tcPr>
          <w:p w14:paraId="68640C7E" w14:textId="77777777" w:rsidR="00CD213E" w:rsidRPr="008A3D03" w:rsidRDefault="00CD213E" w:rsidP="00150C7F">
            <w:pPr>
              <w:jc w:val="center"/>
              <w:rPr>
                <w:color w:val="000000"/>
                <w:sz w:val="18"/>
                <w:szCs w:val="18"/>
              </w:rPr>
            </w:pPr>
            <w:r w:rsidRPr="008A3D03">
              <w:rPr>
                <w:color w:val="000000"/>
                <w:sz w:val="18"/>
                <w:szCs w:val="18"/>
              </w:rPr>
              <w:t>8</w:t>
            </w:r>
          </w:p>
        </w:tc>
        <w:tc>
          <w:tcPr>
            <w:tcW w:w="1134" w:type="dxa"/>
            <w:noWrap/>
            <w:vAlign w:val="center"/>
            <w:hideMark/>
          </w:tcPr>
          <w:p w14:paraId="61403788" w14:textId="77777777" w:rsidR="00CD213E" w:rsidRPr="008A3D03" w:rsidRDefault="00CD213E" w:rsidP="00150C7F">
            <w:pPr>
              <w:jc w:val="center"/>
              <w:rPr>
                <w:color w:val="000000"/>
                <w:sz w:val="18"/>
                <w:szCs w:val="18"/>
              </w:rPr>
            </w:pPr>
            <w:r w:rsidRPr="008A3D03">
              <w:rPr>
                <w:color w:val="000000"/>
                <w:sz w:val="18"/>
                <w:szCs w:val="18"/>
              </w:rPr>
              <w:t>10</w:t>
            </w:r>
          </w:p>
        </w:tc>
        <w:tc>
          <w:tcPr>
            <w:tcW w:w="992" w:type="dxa"/>
            <w:noWrap/>
            <w:vAlign w:val="center"/>
            <w:hideMark/>
          </w:tcPr>
          <w:p w14:paraId="779F3C9C" w14:textId="77777777" w:rsidR="00CD213E" w:rsidRPr="008A3D03" w:rsidRDefault="00CD213E" w:rsidP="00150C7F">
            <w:pPr>
              <w:jc w:val="center"/>
              <w:rPr>
                <w:color w:val="000000"/>
                <w:sz w:val="18"/>
                <w:szCs w:val="18"/>
              </w:rPr>
            </w:pPr>
            <w:r w:rsidRPr="008A3D03">
              <w:rPr>
                <w:color w:val="000000"/>
                <w:sz w:val="18"/>
                <w:szCs w:val="18"/>
              </w:rPr>
              <w:t>12</w:t>
            </w:r>
          </w:p>
        </w:tc>
        <w:tc>
          <w:tcPr>
            <w:tcW w:w="1134" w:type="dxa"/>
            <w:noWrap/>
            <w:vAlign w:val="center"/>
            <w:hideMark/>
          </w:tcPr>
          <w:p w14:paraId="32E53591" w14:textId="77777777" w:rsidR="00CD213E" w:rsidRPr="008A3D03" w:rsidRDefault="00CD213E" w:rsidP="00150C7F">
            <w:pPr>
              <w:jc w:val="center"/>
              <w:rPr>
                <w:color w:val="000000"/>
                <w:sz w:val="18"/>
                <w:szCs w:val="18"/>
              </w:rPr>
            </w:pPr>
            <w:r w:rsidRPr="008A3D03">
              <w:rPr>
                <w:color w:val="000000"/>
                <w:sz w:val="18"/>
                <w:szCs w:val="18"/>
              </w:rPr>
              <w:t>0</w:t>
            </w:r>
          </w:p>
        </w:tc>
        <w:tc>
          <w:tcPr>
            <w:tcW w:w="1560" w:type="dxa"/>
            <w:noWrap/>
            <w:vAlign w:val="center"/>
            <w:hideMark/>
          </w:tcPr>
          <w:p w14:paraId="1E44D01F" w14:textId="77777777" w:rsidR="00CD213E" w:rsidRPr="008A3D03" w:rsidRDefault="00CD213E" w:rsidP="00150C7F">
            <w:pPr>
              <w:jc w:val="center"/>
              <w:rPr>
                <w:color w:val="000000"/>
                <w:sz w:val="18"/>
                <w:szCs w:val="18"/>
              </w:rPr>
            </w:pPr>
            <w:r w:rsidRPr="008A3D03">
              <w:rPr>
                <w:color w:val="000000"/>
                <w:sz w:val="18"/>
                <w:szCs w:val="18"/>
              </w:rPr>
              <w:t>5</w:t>
            </w:r>
          </w:p>
        </w:tc>
        <w:tc>
          <w:tcPr>
            <w:tcW w:w="769" w:type="dxa"/>
            <w:noWrap/>
            <w:vAlign w:val="center"/>
            <w:hideMark/>
          </w:tcPr>
          <w:p w14:paraId="50F103F0" w14:textId="77777777" w:rsidR="00CD213E" w:rsidRPr="008A3D03" w:rsidRDefault="00CD213E" w:rsidP="00150C7F">
            <w:pPr>
              <w:jc w:val="center"/>
              <w:rPr>
                <w:color w:val="000000"/>
                <w:sz w:val="18"/>
                <w:szCs w:val="18"/>
              </w:rPr>
            </w:pPr>
            <w:r w:rsidRPr="008A3D03">
              <w:rPr>
                <w:color w:val="000000"/>
                <w:sz w:val="18"/>
                <w:szCs w:val="18"/>
              </w:rPr>
              <w:t>0</w:t>
            </w:r>
          </w:p>
        </w:tc>
        <w:tc>
          <w:tcPr>
            <w:tcW w:w="1215" w:type="dxa"/>
            <w:noWrap/>
            <w:vAlign w:val="center"/>
            <w:hideMark/>
          </w:tcPr>
          <w:p w14:paraId="4930DD63" w14:textId="77777777" w:rsidR="00CD213E" w:rsidRPr="008A3D03" w:rsidRDefault="00CD213E" w:rsidP="00150C7F">
            <w:pPr>
              <w:jc w:val="center"/>
              <w:rPr>
                <w:color w:val="000000"/>
                <w:sz w:val="18"/>
                <w:szCs w:val="18"/>
              </w:rPr>
            </w:pPr>
            <w:r w:rsidRPr="008A3D03">
              <w:rPr>
                <w:color w:val="000000"/>
                <w:sz w:val="18"/>
                <w:szCs w:val="18"/>
              </w:rPr>
              <w:t>2</w:t>
            </w:r>
          </w:p>
        </w:tc>
        <w:tc>
          <w:tcPr>
            <w:tcW w:w="992" w:type="dxa"/>
            <w:noWrap/>
            <w:vAlign w:val="center"/>
            <w:hideMark/>
          </w:tcPr>
          <w:p w14:paraId="72A9F894" w14:textId="77777777" w:rsidR="00CD213E" w:rsidRPr="008A3D03" w:rsidRDefault="00CD213E" w:rsidP="00150C7F">
            <w:pPr>
              <w:jc w:val="center"/>
              <w:rPr>
                <w:color w:val="000000"/>
                <w:sz w:val="18"/>
                <w:szCs w:val="18"/>
              </w:rPr>
            </w:pPr>
            <w:r w:rsidRPr="008A3D03">
              <w:rPr>
                <w:color w:val="000000"/>
                <w:sz w:val="18"/>
                <w:szCs w:val="18"/>
              </w:rPr>
              <w:t>0</w:t>
            </w:r>
          </w:p>
        </w:tc>
        <w:tc>
          <w:tcPr>
            <w:tcW w:w="1425" w:type="dxa"/>
            <w:noWrap/>
            <w:vAlign w:val="center"/>
            <w:hideMark/>
          </w:tcPr>
          <w:p w14:paraId="7DB228E4" w14:textId="77777777" w:rsidR="00CD213E" w:rsidRPr="008A3D03" w:rsidRDefault="00CD213E" w:rsidP="00150C7F">
            <w:pPr>
              <w:jc w:val="center"/>
              <w:rPr>
                <w:color w:val="000000"/>
                <w:sz w:val="18"/>
                <w:szCs w:val="18"/>
              </w:rPr>
            </w:pPr>
            <w:r w:rsidRPr="008A3D03">
              <w:rPr>
                <w:color w:val="000000"/>
                <w:sz w:val="18"/>
                <w:szCs w:val="18"/>
              </w:rPr>
              <w:t>0</w:t>
            </w:r>
          </w:p>
        </w:tc>
        <w:tc>
          <w:tcPr>
            <w:tcW w:w="801" w:type="dxa"/>
            <w:noWrap/>
            <w:vAlign w:val="center"/>
            <w:hideMark/>
          </w:tcPr>
          <w:p w14:paraId="36D7BF05" w14:textId="77777777" w:rsidR="00CD213E" w:rsidRPr="008A3D03" w:rsidRDefault="00CD213E" w:rsidP="00150C7F">
            <w:pPr>
              <w:jc w:val="center"/>
              <w:rPr>
                <w:b/>
                <w:bCs/>
                <w:color w:val="000000"/>
                <w:sz w:val="18"/>
                <w:szCs w:val="18"/>
              </w:rPr>
            </w:pPr>
            <w:r w:rsidRPr="008A3D03">
              <w:rPr>
                <w:b/>
                <w:bCs/>
                <w:color w:val="000000"/>
                <w:sz w:val="18"/>
                <w:szCs w:val="18"/>
              </w:rPr>
              <w:t>38</w:t>
            </w:r>
          </w:p>
        </w:tc>
      </w:tr>
      <w:tr w:rsidR="00CD213E" w:rsidRPr="00575F63" w14:paraId="6A122100" w14:textId="77777777" w:rsidTr="00150C7F">
        <w:trPr>
          <w:trHeight w:val="405"/>
        </w:trPr>
        <w:tc>
          <w:tcPr>
            <w:tcW w:w="988" w:type="dxa"/>
            <w:noWrap/>
            <w:vAlign w:val="center"/>
            <w:hideMark/>
          </w:tcPr>
          <w:p w14:paraId="4B5A1488" w14:textId="77777777" w:rsidR="00CD213E" w:rsidRPr="008A3D03" w:rsidRDefault="00CD213E" w:rsidP="00150C7F">
            <w:pPr>
              <w:jc w:val="center"/>
              <w:rPr>
                <w:b/>
                <w:bCs/>
                <w:color w:val="000000"/>
                <w:sz w:val="18"/>
                <w:szCs w:val="18"/>
              </w:rPr>
            </w:pPr>
            <w:r w:rsidRPr="008A3D03">
              <w:rPr>
                <w:b/>
                <w:bCs/>
                <w:color w:val="000000"/>
                <w:sz w:val="18"/>
                <w:szCs w:val="18"/>
              </w:rPr>
              <w:t>Palestine</w:t>
            </w:r>
          </w:p>
        </w:tc>
        <w:tc>
          <w:tcPr>
            <w:tcW w:w="850" w:type="dxa"/>
            <w:noWrap/>
            <w:vAlign w:val="center"/>
            <w:hideMark/>
          </w:tcPr>
          <w:p w14:paraId="59D28517"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7C489B78"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08813BD0" w14:textId="77777777" w:rsidR="00CD213E" w:rsidRPr="008A3D03" w:rsidRDefault="00CD213E" w:rsidP="00150C7F">
            <w:pPr>
              <w:jc w:val="center"/>
              <w:rPr>
                <w:color w:val="000000"/>
                <w:sz w:val="18"/>
                <w:szCs w:val="18"/>
              </w:rPr>
            </w:pPr>
            <w:r w:rsidRPr="008A3D03">
              <w:rPr>
                <w:color w:val="000000"/>
                <w:sz w:val="18"/>
                <w:szCs w:val="18"/>
              </w:rPr>
              <w:t>0</w:t>
            </w:r>
          </w:p>
        </w:tc>
        <w:tc>
          <w:tcPr>
            <w:tcW w:w="992" w:type="dxa"/>
            <w:noWrap/>
            <w:vAlign w:val="center"/>
            <w:hideMark/>
          </w:tcPr>
          <w:p w14:paraId="60E05FB8" w14:textId="77777777" w:rsidR="00CD213E" w:rsidRPr="008A3D03" w:rsidRDefault="00CD213E" w:rsidP="00150C7F">
            <w:pPr>
              <w:jc w:val="center"/>
              <w:rPr>
                <w:color w:val="000000"/>
                <w:sz w:val="18"/>
                <w:szCs w:val="18"/>
              </w:rPr>
            </w:pPr>
            <w:r w:rsidRPr="008A3D03">
              <w:rPr>
                <w:color w:val="000000"/>
                <w:sz w:val="18"/>
                <w:szCs w:val="18"/>
              </w:rPr>
              <w:t>9</w:t>
            </w:r>
          </w:p>
        </w:tc>
        <w:tc>
          <w:tcPr>
            <w:tcW w:w="1134" w:type="dxa"/>
            <w:noWrap/>
            <w:vAlign w:val="center"/>
            <w:hideMark/>
          </w:tcPr>
          <w:p w14:paraId="1AC508C9" w14:textId="77777777" w:rsidR="00CD213E" w:rsidRPr="008A3D03" w:rsidRDefault="00CD213E" w:rsidP="00150C7F">
            <w:pPr>
              <w:jc w:val="center"/>
              <w:rPr>
                <w:color w:val="000000"/>
                <w:sz w:val="18"/>
                <w:szCs w:val="18"/>
              </w:rPr>
            </w:pPr>
            <w:r w:rsidRPr="008A3D03">
              <w:rPr>
                <w:color w:val="000000"/>
                <w:sz w:val="18"/>
                <w:szCs w:val="18"/>
              </w:rPr>
              <w:t>2</w:t>
            </w:r>
          </w:p>
        </w:tc>
        <w:tc>
          <w:tcPr>
            <w:tcW w:w="1560" w:type="dxa"/>
            <w:noWrap/>
            <w:vAlign w:val="center"/>
            <w:hideMark/>
          </w:tcPr>
          <w:p w14:paraId="13EED2ED" w14:textId="77777777" w:rsidR="00CD213E" w:rsidRPr="008A3D03" w:rsidRDefault="00CD213E" w:rsidP="00150C7F">
            <w:pPr>
              <w:jc w:val="center"/>
              <w:rPr>
                <w:color w:val="000000"/>
                <w:sz w:val="18"/>
                <w:szCs w:val="18"/>
              </w:rPr>
            </w:pPr>
            <w:r w:rsidRPr="008A3D03">
              <w:rPr>
                <w:color w:val="000000"/>
                <w:sz w:val="18"/>
                <w:szCs w:val="18"/>
              </w:rPr>
              <w:t>0</w:t>
            </w:r>
          </w:p>
        </w:tc>
        <w:tc>
          <w:tcPr>
            <w:tcW w:w="769" w:type="dxa"/>
            <w:noWrap/>
            <w:vAlign w:val="center"/>
            <w:hideMark/>
          </w:tcPr>
          <w:p w14:paraId="4C1E81A6" w14:textId="77777777" w:rsidR="00CD213E" w:rsidRPr="008A3D03" w:rsidRDefault="00CD213E" w:rsidP="00150C7F">
            <w:pPr>
              <w:jc w:val="center"/>
              <w:rPr>
                <w:color w:val="000000"/>
                <w:sz w:val="18"/>
                <w:szCs w:val="18"/>
              </w:rPr>
            </w:pPr>
            <w:r w:rsidRPr="008A3D03">
              <w:rPr>
                <w:color w:val="000000"/>
                <w:sz w:val="18"/>
                <w:szCs w:val="18"/>
              </w:rPr>
              <w:t>0</w:t>
            </w:r>
          </w:p>
        </w:tc>
        <w:tc>
          <w:tcPr>
            <w:tcW w:w="1215" w:type="dxa"/>
            <w:noWrap/>
            <w:vAlign w:val="center"/>
            <w:hideMark/>
          </w:tcPr>
          <w:p w14:paraId="496095F2" w14:textId="77777777" w:rsidR="00CD213E" w:rsidRPr="008A3D03" w:rsidRDefault="00CD213E" w:rsidP="00150C7F">
            <w:pPr>
              <w:jc w:val="center"/>
              <w:rPr>
                <w:color w:val="000000"/>
                <w:sz w:val="18"/>
                <w:szCs w:val="18"/>
              </w:rPr>
            </w:pPr>
            <w:r w:rsidRPr="008A3D03">
              <w:rPr>
                <w:color w:val="000000"/>
                <w:sz w:val="18"/>
                <w:szCs w:val="18"/>
              </w:rPr>
              <w:t>1</w:t>
            </w:r>
          </w:p>
        </w:tc>
        <w:tc>
          <w:tcPr>
            <w:tcW w:w="992" w:type="dxa"/>
            <w:noWrap/>
            <w:vAlign w:val="center"/>
            <w:hideMark/>
          </w:tcPr>
          <w:p w14:paraId="19653A2F" w14:textId="77777777" w:rsidR="00CD213E" w:rsidRPr="008A3D03" w:rsidRDefault="00CD213E" w:rsidP="00150C7F">
            <w:pPr>
              <w:jc w:val="center"/>
              <w:rPr>
                <w:color w:val="000000"/>
                <w:sz w:val="18"/>
                <w:szCs w:val="18"/>
              </w:rPr>
            </w:pPr>
            <w:r w:rsidRPr="008A3D03">
              <w:rPr>
                <w:color w:val="000000"/>
                <w:sz w:val="18"/>
                <w:szCs w:val="18"/>
              </w:rPr>
              <w:t>0</w:t>
            </w:r>
          </w:p>
        </w:tc>
        <w:tc>
          <w:tcPr>
            <w:tcW w:w="1425" w:type="dxa"/>
            <w:noWrap/>
            <w:vAlign w:val="center"/>
            <w:hideMark/>
          </w:tcPr>
          <w:p w14:paraId="5B75EBAC" w14:textId="77777777" w:rsidR="00CD213E" w:rsidRPr="008A3D03" w:rsidRDefault="00CD213E" w:rsidP="00150C7F">
            <w:pPr>
              <w:jc w:val="center"/>
              <w:rPr>
                <w:color w:val="000000"/>
                <w:sz w:val="18"/>
                <w:szCs w:val="18"/>
              </w:rPr>
            </w:pPr>
            <w:r w:rsidRPr="008A3D03">
              <w:rPr>
                <w:color w:val="000000"/>
                <w:sz w:val="18"/>
                <w:szCs w:val="18"/>
              </w:rPr>
              <w:t>0</w:t>
            </w:r>
          </w:p>
        </w:tc>
        <w:tc>
          <w:tcPr>
            <w:tcW w:w="801" w:type="dxa"/>
            <w:noWrap/>
            <w:vAlign w:val="center"/>
            <w:hideMark/>
          </w:tcPr>
          <w:p w14:paraId="55DF1414" w14:textId="77777777" w:rsidR="00CD213E" w:rsidRPr="008A3D03" w:rsidRDefault="00CD213E" w:rsidP="00150C7F">
            <w:pPr>
              <w:jc w:val="center"/>
              <w:rPr>
                <w:b/>
                <w:bCs/>
                <w:color w:val="000000"/>
                <w:sz w:val="18"/>
                <w:szCs w:val="18"/>
              </w:rPr>
            </w:pPr>
            <w:r w:rsidRPr="008A3D03">
              <w:rPr>
                <w:b/>
                <w:bCs/>
                <w:color w:val="000000"/>
                <w:sz w:val="18"/>
                <w:szCs w:val="18"/>
              </w:rPr>
              <w:t>12</w:t>
            </w:r>
          </w:p>
        </w:tc>
      </w:tr>
      <w:tr w:rsidR="00CD213E" w:rsidRPr="00575F63" w14:paraId="23AE8FC6" w14:textId="77777777" w:rsidTr="00150C7F">
        <w:trPr>
          <w:trHeight w:val="425"/>
        </w:trPr>
        <w:tc>
          <w:tcPr>
            <w:tcW w:w="988" w:type="dxa"/>
            <w:noWrap/>
            <w:vAlign w:val="center"/>
            <w:hideMark/>
          </w:tcPr>
          <w:p w14:paraId="5488DFC1" w14:textId="77777777" w:rsidR="00CD213E" w:rsidRPr="008A3D03" w:rsidRDefault="00CD213E" w:rsidP="00150C7F">
            <w:pPr>
              <w:jc w:val="center"/>
              <w:rPr>
                <w:b/>
                <w:bCs/>
                <w:color w:val="000000"/>
                <w:sz w:val="18"/>
                <w:szCs w:val="18"/>
              </w:rPr>
            </w:pPr>
            <w:r w:rsidRPr="008A3D03">
              <w:rPr>
                <w:b/>
                <w:bCs/>
                <w:color w:val="000000"/>
                <w:sz w:val="18"/>
                <w:szCs w:val="18"/>
              </w:rPr>
              <w:t>Qatar</w:t>
            </w:r>
          </w:p>
        </w:tc>
        <w:tc>
          <w:tcPr>
            <w:tcW w:w="850" w:type="dxa"/>
            <w:noWrap/>
            <w:vAlign w:val="center"/>
            <w:hideMark/>
          </w:tcPr>
          <w:p w14:paraId="21FCD864"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7C062FAB"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145FADEE" w14:textId="77777777" w:rsidR="00CD213E" w:rsidRPr="008A3D03" w:rsidRDefault="00CD213E" w:rsidP="00150C7F">
            <w:pPr>
              <w:jc w:val="center"/>
              <w:rPr>
                <w:color w:val="000000"/>
                <w:sz w:val="18"/>
                <w:szCs w:val="18"/>
              </w:rPr>
            </w:pPr>
            <w:r w:rsidRPr="008A3D03">
              <w:rPr>
                <w:color w:val="000000"/>
                <w:sz w:val="18"/>
                <w:szCs w:val="18"/>
              </w:rPr>
              <w:t>5</w:t>
            </w:r>
          </w:p>
        </w:tc>
        <w:tc>
          <w:tcPr>
            <w:tcW w:w="992" w:type="dxa"/>
            <w:noWrap/>
            <w:vAlign w:val="center"/>
            <w:hideMark/>
          </w:tcPr>
          <w:p w14:paraId="35A05236" w14:textId="77777777" w:rsidR="00CD213E" w:rsidRPr="008A3D03" w:rsidRDefault="00CD213E" w:rsidP="00150C7F">
            <w:pPr>
              <w:jc w:val="center"/>
              <w:rPr>
                <w:color w:val="000000"/>
                <w:sz w:val="18"/>
                <w:szCs w:val="18"/>
              </w:rPr>
            </w:pPr>
            <w:r w:rsidRPr="008A3D03">
              <w:rPr>
                <w:color w:val="000000"/>
                <w:sz w:val="18"/>
                <w:szCs w:val="18"/>
              </w:rPr>
              <w:t>7</w:t>
            </w:r>
          </w:p>
        </w:tc>
        <w:tc>
          <w:tcPr>
            <w:tcW w:w="1134" w:type="dxa"/>
            <w:noWrap/>
            <w:vAlign w:val="center"/>
            <w:hideMark/>
          </w:tcPr>
          <w:p w14:paraId="627EB7C8" w14:textId="77777777" w:rsidR="00CD213E" w:rsidRPr="008A3D03" w:rsidRDefault="00CD213E" w:rsidP="00150C7F">
            <w:pPr>
              <w:jc w:val="center"/>
              <w:rPr>
                <w:color w:val="000000"/>
                <w:sz w:val="18"/>
                <w:szCs w:val="18"/>
              </w:rPr>
            </w:pPr>
            <w:r w:rsidRPr="008A3D03">
              <w:rPr>
                <w:color w:val="000000"/>
                <w:sz w:val="18"/>
                <w:szCs w:val="18"/>
              </w:rPr>
              <w:t>1</w:t>
            </w:r>
          </w:p>
        </w:tc>
        <w:tc>
          <w:tcPr>
            <w:tcW w:w="1560" w:type="dxa"/>
            <w:noWrap/>
            <w:vAlign w:val="center"/>
            <w:hideMark/>
          </w:tcPr>
          <w:p w14:paraId="325D6F84" w14:textId="77777777" w:rsidR="00CD213E" w:rsidRPr="008A3D03" w:rsidRDefault="00CD213E" w:rsidP="00150C7F">
            <w:pPr>
              <w:jc w:val="center"/>
              <w:rPr>
                <w:color w:val="000000"/>
                <w:sz w:val="18"/>
                <w:szCs w:val="18"/>
              </w:rPr>
            </w:pPr>
            <w:r w:rsidRPr="008A3D03">
              <w:rPr>
                <w:color w:val="000000"/>
                <w:sz w:val="18"/>
                <w:szCs w:val="18"/>
              </w:rPr>
              <w:t>0</w:t>
            </w:r>
          </w:p>
        </w:tc>
        <w:tc>
          <w:tcPr>
            <w:tcW w:w="769" w:type="dxa"/>
            <w:noWrap/>
            <w:vAlign w:val="center"/>
            <w:hideMark/>
          </w:tcPr>
          <w:p w14:paraId="458BD818" w14:textId="77777777" w:rsidR="00CD213E" w:rsidRPr="008A3D03" w:rsidRDefault="00CD213E" w:rsidP="00150C7F">
            <w:pPr>
              <w:jc w:val="center"/>
              <w:rPr>
                <w:color w:val="000000"/>
                <w:sz w:val="18"/>
                <w:szCs w:val="18"/>
              </w:rPr>
            </w:pPr>
            <w:r w:rsidRPr="008A3D03">
              <w:rPr>
                <w:color w:val="000000"/>
                <w:sz w:val="18"/>
                <w:szCs w:val="18"/>
              </w:rPr>
              <w:t>1</w:t>
            </w:r>
          </w:p>
        </w:tc>
        <w:tc>
          <w:tcPr>
            <w:tcW w:w="1215" w:type="dxa"/>
            <w:noWrap/>
            <w:vAlign w:val="center"/>
            <w:hideMark/>
          </w:tcPr>
          <w:p w14:paraId="20EDF2F4" w14:textId="77777777" w:rsidR="00CD213E" w:rsidRPr="008A3D03" w:rsidRDefault="00CD213E" w:rsidP="00150C7F">
            <w:pPr>
              <w:jc w:val="center"/>
              <w:rPr>
                <w:color w:val="000000"/>
                <w:sz w:val="18"/>
                <w:szCs w:val="18"/>
              </w:rPr>
            </w:pPr>
            <w:r w:rsidRPr="008A3D03">
              <w:rPr>
                <w:color w:val="000000"/>
                <w:sz w:val="18"/>
                <w:szCs w:val="18"/>
              </w:rPr>
              <w:t>2</w:t>
            </w:r>
          </w:p>
        </w:tc>
        <w:tc>
          <w:tcPr>
            <w:tcW w:w="992" w:type="dxa"/>
            <w:noWrap/>
            <w:vAlign w:val="center"/>
            <w:hideMark/>
          </w:tcPr>
          <w:p w14:paraId="638E3322" w14:textId="77777777" w:rsidR="00CD213E" w:rsidRPr="008A3D03" w:rsidRDefault="00CD213E" w:rsidP="00150C7F">
            <w:pPr>
              <w:jc w:val="center"/>
              <w:rPr>
                <w:color w:val="000000"/>
                <w:sz w:val="18"/>
                <w:szCs w:val="18"/>
              </w:rPr>
            </w:pPr>
            <w:r w:rsidRPr="008A3D03">
              <w:rPr>
                <w:color w:val="000000"/>
                <w:sz w:val="18"/>
                <w:szCs w:val="18"/>
              </w:rPr>
              <w:t>0</w:t>
            </w:r>
          </w:p>
        </w:tc>
        <w:tc>
          <w:tcPr>
            <w:tcW w:w="1425" w:type="dxa"/>
            <w:noWrap/>
            <w:vAlign w:val="center"/>
            <w:hideMark/>
          </w:tcPr>
          <w:p w14:paraId="614C9DE7" w14:textId="77777777" w:rsidR="00CD213E" w:rsidRPr="008A3D03" w:rsidRDefault="00CD213E" w:rsidP="00150C7F">
            <w:pPr>
              <w:jc w:val="center"/>
              <w:rPr>
                <w:color w:val="000000"/>
                <w:sz w:val="18"/>
                <w:szCs w:val="18"/>
              </w:rPr>
            </w:pPr>
            <w:r w:rsidRPr="008A3D03">
              <w:rPr>
                <w:color w:val="000000"/>
                <w:sz w:val="18"/>
                <w:szCs w:val="18"/>
              </w:rPr>
              <w:t>0</w:t>
            </w:r>
          </w:p>
        </w:tc>
        <w:tc>
          <w:tcPr>
            <w:tcW w:w="801" w:type="dxa"/>
            <w:noWrap/>
            <w:vAlign w:val="center"/>
            <w:hideMark/>
          </w:tcPr>
          <w:p w14:paraId="53529F1A" w14:textId="77777777" w:rsidR="00CD213E" w:rsidRPr="008A3D03" w:rsidRDefault="00CD213E" w:rsidP="00150C7F">
            <w:pPr>
              <w:jc w:val="center"/>
              <w:rPr>
                <w:b/>
                <w:bCs/>
                <w:color w:val="000000"/>
                <w:sz w:val="18"/>
                <w:szCs w:val="18"/>
              </w:rPr>
            </w:pPr>
            <w:r w:rsidRPr="008A3D03">
              <w:rPr>
                <w:b/>
                <w:bCs/>
                <w:color w:val="000000"/>
                <w:sz w:val="18"/>
                <w:szCs w:val="18"/>
              </w:rPr>
              <w:t>16</w:t>
            </w:r>
          </w:p>
        </w:tc>
      </w:tr>
      <w:tr w:rsidR="00CD213E" w:rsidRPr="00575F63" w14:paraId="6B90C23E" w14:textId="77777777" w:rsidTr="00150C7F">
        <w:trPr>
          <w:trHeight w:val="360"/>
        </w:trPr>
        <w:tc>
          <w:tcPr>
            <w:tcW w:w="988" w:type="dxa"/>
            <w:noWrap/>
            <w:vAlign w:val="center"/>
            <w:hideMark/>
          </w:tcPr>
          <w:p w14:paraId="7ACE64E9" w14:textId="77777777" w:rsidR="00CD213E" w:rsidRPr="008A3D03" w:rsidRDefault="00CD213E" w:rsidP="00150C7F">
            <w:pPr>
              <w:spacing w:line="259" w:lineRule="auto"/>
              <w:jc w:val="center"/>
            </w:pPr>
            <w:r w:rsidRPr="49D4511B">
              <w:rPr>
                <w:b/>
                <w:bCs/>
                <w:color w:val="000000" w:themeColor="text1"/>
                <w:sz w:val="18"/>
                <w:szCs w:val="18"/>
              </w:rPr>
              <w:t>KSA</w:t>
            </w:r>
          </w:p>
        </w:tc>
        <w:tc>
          <w:tcPr>
            <w:tcW w:w="850" w:type="dxa"/>
            <w:noWrap/>
            <w:vAlign w:val="center"/>
            <w:hideMark/>
          </w:tcPr>
          <w:p w14:paraId="5B023182" w14:textId="77777777" w:rsidR="00CD213E" w:rsidRPr="008A3D03" w:rsidRDefault="00CD213E" w:rsidP="00150C7F">
            <w:pPr>
              <w:jc w:val="center"/>
              <w:rPr>
                <w:color w:val="000000"/>
                <w:sz w:val="18"/>
                <w:szCs w:val="18"/>
              </w:rPr>
            </w:pPr>
            <w:r w:rsidRPr="008A3D03">
              <w:rPr>
                <w:color w:val="000000"/>
                <w:sz w:val="18"/>
                <w:szCs w:val="18"/>
              </w:rPr>
              <w:t>3</w:t>
            </w:r>
          </w:p>
        </w:tc>
        <w:tc>
          <w:tcPr>
            <w:tcW w:w="1134" w:type="dxa"/>
            <w:noWrap/>
            <w:vAlign w:val="center"/>
            <w:hideMark/>
          </w:tcPr>
          <w:p w14:paraId="7E323398" w14:textId="77777777" w:rsidR="00CD213E" w:rsidRPr="008A3D03" w:rsidRDefault="00CD213E" w:rsidP="00150C7F">
            <w:pPr>
              <w:jc w:val="center"/>
              <w:rPr>
                <w:color w:val="000000"/>
                <w:sz w:val="18"/>
                <w:szCs w:val="18"/>
              </w:rPr>
            </w:pPr>
            <w:r w:rsidRPr="008A3D03">
              <w:rPr>
                <w:color w:val="000000"/>
                <w:sz w:val="18"/>
                <w:szCs w:val="18"/>
              </w:rPr>
              <w:t>8</w:t>
            </w:r>
          </w:p>
        </w:tc>
        <w:tc>
          <w:tcPr>
            <w:tcW w:w="1134" w:type="dxa"/>
            <w:noWrap/>
            <w:vAlign w:val="center"/>
            <w:hideMark/>
          </w:tcPr>
          <w:p w14:paraId="66F25995" w14:textId="77777777" w:rsidR="00CD213E" w:rsidRPr="008A3D03" w:rsidRDefault="00CD213E" w:rsidP="00150C7F">
            <w:pPr>
              <w:jc w:val="center"/>
              <w:rPr>
                <w:color w:val="000000"/>
                <w:sz w:val="18"/>
                <w:szCs w:val="18"/>
              </w:rPr>
            </w:pPr>
            <w:r w:rsidRPr="008A3D03">
              <w:rPr>
                <w:color w:val="000000"/>
                <w:sz w:val="18"/>
                <w:szCs w:val="18"/>
              </w:rPr>
              <w:t>8</w:t>
            </w:r>
          </w:p>
        </w:tc>
        <w:tc>
          <w:tcPr>
            <w:tcW w:w="992" w:type="dxa"/>
            <w:noWrap/>
            <w:vAlign w:val="center"/>
            <w:hideMark/>
          </w:tcPr>
          <w:p w14:paraId="7A63A3A2" w14:textId="77777777" w:rsidR="00CD213E" w:rsidRPr="008A3D03" w:rsidRDefault="00CD213E" w:rsidP="00150C7F">
            <w:pPr>
              <w:jc w:val="center"/>
              <w:rPr>
                <w:color w:val="000000"/>
                <w:sz w:val="18"/>
                <w:szCs w:val="18"/>
              </w:rPr>
            </w:pPr>
            <w:r w:rsidRPr="008A3D03">
              <w:rPr>
                <w:color w:val="000000"/>
                <w:sz w:val="18"/>
                <w:szCs w:val="18"/>
              </w:rPr>
              <w:t>18</w:t>
            </w:r>
          </w:p>
        </w:tc>
        <w:tc>
          <w:tcPr>
            <w:tcW w:w="1134" w:type="dxa"/>
            <w:noWrap/>
            <w:vAlign w:val="center"/>
            <w:hideMark/>
          </w:tcPr>
          <w:p w14:paraId="5B897D61" w14:textId="77777777" w:rsidR="00CD213E" w:rsidRPr="008A3D03" w:rsidRDefault="00CD213E" w:rsidP="00150C7F">
            <w:pPr>
              <w:jc w:val="center"/>
              <w:rPr>
                <w:color w:val="000000"/>
                <w:sz w:val="18"/>
                <w:szCs w:val="18"/>
              </w:rPr>
            </w:pPr>
            <w:r w:rsidRPr="008A3D03">
              <w:rPr>
                <w:color w:val="000000"/>
                <w:sz w:val="18"/>
                <w:szCs w:val="18"/>
              </w:rPr>
              <w:t>0</w:t>
            </w:r>
          </w:p>
        </w:tc>
        <w:tc>
          <w:tcPr>
            <w:tcW w:w="1560" w:type="dxa"/>
            <w:noWrap/>
            <w:vAlign w:val="center"/>
            <w:hideMark/>
          </w:tcPr>
          <w:p w14:paraId="449BD1EC" w14:textId="77777777" w:rsidR="00CD213E" w:rsidRPr="008A3D03" w:rsidRDefault="00CD213E" w:rsidP="00150C7F">
            <w:pPr>
              <w:jc w:val="center"/>
              <w:rPr>
                <w:color w:val="000000"/>
                <w:sz w:val="18"/>
                <w:szCs w:val="18"/>
              </w:rPr>
            </w:pPr>
            <w:r w:rsidRPr="008A3D03">
              <w:rPr>
                <w:color w:val="000000"/>
                <w:sz w:val="18"/>
                <w:szCs w:val="18"/>
              </w:rPr>
              <w:t>4</w:t>
            </w:r>
          </w:p>
        </w:tc>
        <w:tc>
          <w:tcPr>
            <w:tcW w:w="769" w:type="dxa"/>
            <w:noWrap/>
            <w:vAlign w:val="center"/>
            <w:hideMark/>
          </w:tcPr>
          <w:p w14:paraId="28D122DA" w14:textId="77777777" w:rsidR="00CD213E" w:rsidRPr="008A3D03" w:rsidRDefault="00CD213E" w:rsidP="00150C7F">
            <w:pPr>
              <w:jc w:val="center"/>
              <w:rPr>
                <w:color w:val="000000"/>
                <w:sz w:val="18"/>
                <w:szCs w:val="18"/>
              </w:rPr>
            </w:pPr>
            <w:r w:rsidRPr="008A3D03">
              <w:rPr>
                <w:color w:val="000000"/>
                <w:sz w:val="18"/>
                <w:szCs w:val="18"/>
              </w:rPr>
              <w:t>1</w:t>
            </w:r>
          </w:p>
        </w:tc>
        <w:tc>
          <w:tcPr>
            <w:tcW w:w="1215" w:type="dxa"/>
            <w:noWrap/>
            <w:vAlign w:val="center"/>
            <w:hideMark/>
          </w:tcPr>
          <w:p w14:paraId="7A32D00C" w14:textId="77777777" w:rsidR="00CD213E" w:rsidRPr="008A3D03" w:rsidRDefault="00CD213E" w:rsidP="00150C7F">
            <w:pPr>
              <w:jc w:val="center"/>
              <w:rPr>
                <w:color w:val="000000"/>
                <w:sz w:val="18"/>
                <w:szCs w:val="18"/>
              </w:rPr>
            </w:pPr>
            <w:r w:rsidRPr="008A3D03">
              <w:rPr>
                <w:color w:val="000000"/>
                <w:sz w:val="18"/>
                <w:szCs w:val="18"/>
              </w:rPr>
              <w:t>8</w:t>
            </w:r>
          </w:p>
        </w:tc>
        <w:tc>
          <w:tcPr>
            <w:tcW w:w="992" w:type="dxa"/>
            <w:noWrap/>
            <w:vAlign w:val="center"/>
            <w:hideMark/>
          </w:tcPr>
          <w:p w14:paraId="0A6447CF" w14:textId="77777777" w:rsidR="00CD213E" w:rsidRPr="008A3D03" w:rsidRDefault="00CD213E" w:rsidP="00150C7F">
            <w:pPr>
              <w:jc w:val="center"/>
              <w:rPr>
                <w:color w:val="000000"/>
                <w:sz w:val="18"/>
                <w:szCs w:val="18"/>
              </w:rPr>
            </w:pPr>
            <w:r w:rsidRPr="008A3D03">
              <w:rPr>
                <w:color w:val="000000"/>
                <w:sz w:val="18"/>
                <w:szCs w:val="18"/>
              </w:rPr>
              <w:t>0</w:t>
            </w:r>
          </w:p>
        </w:tc>
        <w:tc>
          <w:tcPr>
            <w:tcW w:w="1425" w:type="dxa"/>
            <w:noWrap/>
            <w:vAlign w:val="center"/>
            <w:hideMark/>
          </w:tcPr>
          <w:p w14:paraId="442395CF" w14:textId="77777777" w:rsidR="00CD213E" w:rsidRPr="008A3D03" w:rsidRDefault="00CD213E" w:rsidP="00150C7F">
            <w:pPr>
              <w:jc w:val="center"/>
              <w:rPr>
                <w:color w:val="000000"/>
                <w:sz w:val="18"/>
                <w:szCs w:val="18"/>
              </w:rPr>
            </w:pPr>
            <w:r w:rsidRPr="008A3D03">
              <w:rPr>
                <w:color w:val="000000"/>
                <w:sz w:val="18"/>
                <w:szCs w:val="18"/>
              </w:rPr>
              <w:t>2</w:t>
            </w:r>
          </w:p>
        </w:tc>
        <w:tc>
          <w:tcPr>
            <w:tcW w:w="801" w:type="dxa"/>
            <w:noWrap/>
            <w:vAlign w:val="center"/>
            <w:hideMark/>
          </w:tcPr>
          <w:p w14:paraId="2436F63A" w14:textId="77777777" w:rsidR="00CD213E" w:rsidRPr="008A3D03" w:rsidRDefault="00CD213E" w:rsidP="00150C7F">
            <w:pPr>
              <w:jc w:val="center"/>
              <w:rPr>
                <w:b/>
                <w:bCs/>
                <w:color w:val="000000"/>
                <w:sz w:val="18"/>
                <w:szCs w:val="18"/>
              </w:rPr>
            </w:pPr>
            <w:r w:rsidRPr="008A3D03">
              <w:rPr>
                <w:b/>
                <w:bCs/>
                <w:color w:val="000000"/>
                <w:sz w:val="18"/>
                <w:szCs w:val="18"/>
              </w:rPr>
              <w:t>52</w:t>
            </w:r>
          </w:p>
        </w:tc>
      </w:tr>
      <w:tr w:rsidR="00CD213E" w:rsidRPr="00575F63" w14:paraId="1CE3CA47" w14:textId="77777777" w:rsidTr="00150C7F">
        <w:trPr>
          <w:trHeight w:val="411"/>
        </w:trPr>
        <w:tc>
          <w:tcPr>
            <w:tcW w:w="988" w:type="dxa"/>
            <w:noWrap/>
            <w:vAlign w:val="center"/>
            <w:hideMark/>
          </w:tcPr>
          <w:p w14:paraId="2B78C70D" w14:textId="77777777" w:rsidR="00CD213E" w:rsidRPr="008A3D03" w:rsidRDefault="00CD213E" w:rsidP="00150C7F">
            <w:pPr>
              <w:jc w:val="center"/>
              <w:rPr>
                <w:b/>
                <w:bCs/>
                <w:color w:val="000000"/>
                <w:sz w:val="18"/>
                <w:szCs w:val="18"/>
              </w:rPr>
            </w:pPr>
            <w:r w:rsidRPr="008A3D03">
              <w:rPr>
                <w:b/>
                <w:bCs/>
                <w:color w:val="000000"/>
                <w:sz w:val="18"/>
                <w:szCs w:val="18"/>
              </w:rPr>
              <w:t>Sudan</w:t>
            </w:r>
          </w:p>
        </w:tc>
        <w:tc>
          <w:tcPr>
            <w:tcW w:w="850" w:type="dxa"/>
            <w:noWrap/>
            <w:vAlign w:val="center"/>
            <w:hideMark/>
          </w:tcPr>
          <w:p w14:paraId="5379013B"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64312786"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4CC61985" w14:textId="77777777" w:rsidR="00CD213E" w:rsidRPr="008A3D03" w:rsidRDefault="00CD213E" w:rsidP="00150C7F">
            <w:pPr>
              <w:jc w:val="center"/>
              <w:rPr>
                <w:color w:val="000000"/>
                <w:sz w:val="18"/>
                <w:szCs w:val="18"/>
              </w:rPr>
            </w:pPr>
            <w:r w:rsidRPr="008A3D03">
              <w:rPr>
                <w:color w:val="000000"/>
                <w:sz w:val="18"/>
                <w:szCs w:val="18"/>
              </w:rPr>
              <w:t>0</w:t>
            </w:r>
          </w:p>
        </w:tc>
        <w:tc>
          <w:tcPr>
            <w:tcW w:w="992" w:type="dxa"/>
            <w:noWrap/>
            <w:vAlign w:val="center"/>
            <w:hideMark/>
          </w:tcPr>
          <w:p w14:paraId="66CDD4FC" w14:textId="77777777" w:rsidR="00CD213E" w:rsidRPr="008A3D03" w:rsidRDefault="00CD213E" w:rsidP="00150C7F">
            <w:pPr>
              <w:jc w:val="center"/>
              <w:rPr>
                <w:color w:val="000000"/>
                <w:sz w:val="18"/>
                <w:szCs w:val="18"/>
              </w:rPr>
            </w:pPr>
            <w:r w:rsidRPr="008A3D03">
              <w:rPr>
                <w:color w:val="000000"/>
                <w:sz w:val="18"/>
                <w:szCs w:val="18"/>
              </w:rPr>
              <w:t>1</w:t>
            </w:r>
          </w:p>
        </w:tc>
        <w:tc>
          <w:tcPr>
            <w:tcW w:w="1134" w:type="dxa"/>
            <w:noWrap/>
            <w:vAlign w:val="center"/>
            <w:hideMark/>
          </w:tcPr>
          <w:p w14:paraId="0170C74E" w14:textId="77777777" w:rsidR="00CD213E" w:rsidRPr="008A3D03" w:rsidRDefault="00CD213E" w:rsidP="00150C7F">
            <w:pPr>
              <w:jc w:val="center"/>
              <w:rPr>
                <w:color w:val="000000"/>
                <w:sz w:val="18"/>
                <w:szCs w:val="18"/>
              </w:rPr>
            </w:pPr>
            <w:r w:rsidRPr="008A3D03">
              <w:rPr>
                <w:color w:val="000000"/>
                <w:sz w:val="18"/>
                <w:szCs w:val="18"/>
              </w:rPr>
              <w:t>0</w:t>
            </w:r>
          </w:p>
        </w:tc>
        <w:tc>
          <w:tcPr>
            <w:tcW w:w="1560" w:type="dxa"/>
            <w:noWrap/>
            <w:vAlign w:val="center"/>
            <w:hideMark/>
          </w:tcPr>
          <w:p w14:paraId="5E9AA332" w14:textId="77777777" w:rsidR="00CD213E" w:rsidRPr="008A3D03" w:rsidRDefault="00CD213E" w:rsidP="00150C7F">
            <w:pPr>
              <w:jc w:val="center"/>
              <w:rPr>
                <w:color w:val="000000"/>
                <w:sz w:val="18"/>
                <w:szCs w:val="18"/>
              </w:rPr>
            </w:pPr>
            <w:r w:rsidRPr="008A3D03">
              <w:rPr>
                <w:color w:val="000000"/>
                <w:sz w:val="18"/>
                <w:szCs w:val="18"/>
              </w:rPr>
              <w:t>0</w:t>
            </w:r>
          </w:p>
        </w:tc>
        <w:tc>
          <w:tcPr>
            <w:tcW w:w="769" w:type="dxa"/>
            <w:noWrap/>
            <w:vAlign w:val="center"/>
            <w:hideMark/>
          </w:tcPr>
          <w:p w14:paraId="6D73A747" w14:textId="77777777" w:rsidR="00CD213E" w:rsidRPr="008A3D03" w:rsidRDefault="00CD213E" w:rsidP="00150C7F">
            <w:pPr>
              <w:jc w:val="center"/>
              <w:rPr>
                <w:color w:val="000000"/>
                <w:sz w:val="18"/>
                <w:szCs w:val="18"/>
              </w:rPr>
            </w:pPr>
            <w:r w:rsidRPr="008A3D03">
              <w:rPr>
                <w:color w:val="000000"/>
                <w:sz w:val="18"/>
                <w:szCs w:val="18"/>
              </w:rPr>
              <w:t>0</w:t>
            </w:r>
          </w:p>
        </w:tc>
        <w:tc>
          <w:tcPr>
            <w:tcW w:w="1215" w:type="dxa"/>
            <w:noWrap/>
            <w:vAlign w:val="center"/>
            <w:hideMark/>
          </w:tcPr>
          <w:p w14:paraId="08E54C9A" w14:textId="77777777" w:rsidR="00CD213E" w:rsidRPr="008A3D03" w:rsidRDefault="00CD213E" w:rsidP="00150C7F">
            <w:pPr>
              <w:jc w:val="center"/>
              <w:rPr>
                <w:color w:val="000000"/>
                <w:sz w:val="18"/>
                <w:szCs w:val="18"/>
              </w:rPr>
            </w:pPr>
            <w:r w:rsidRPr="008A3D03">
              <w:rPr>
                <w:color w:val="000000"/>
                <w:sz w:val="18"/>
                <w:szCs w:val="18"/>
              </w:rPr>
              <w:t>0</w:t>
            </w:r>
          </w:p>
        </w:tc>
        <w:tc>
          <w:tcPr>
            <w:tcW w:w="992" w:type="dxa"/>
            <w:noWrap/>
            <w:vAlign w:val="center"/>
            <w:hideMark/>
          </w:tcPr>
          <w:p w14:paraId="5FB86285" w14:textId="77777777" w:rsidR="00CD213E" w:rsidRPr="008A3D03" w:rsidRDefault="00CD213E" w:rsidP="00150C7F">
            <w:pPr>
              <w:jc w:val="center"/>
              <w:rPr>
                <w:color w:val="000000"/>
                <w:sz w:val="18"/>
                <w:szCs w:val="18"/>
              </w:rPr>
            </w:pPr>
            <w:r w:rsidRPr="008A3D03">
              <w:rPr>
                <w:color w:val="000000"/>
                <w:sz w:val="18"/>
                <w:szCs w:val="18"/>
              </w:rPr>
              <w:t>0</w:t>
            </w:r>
          </w:p>
        </w:tc>
        <w:tc>
          <w:tcPr>
            <w:tcW w:w="1425" w:type="dxa"/>
            <w:noWrap/>
            <w:vAlign w:val="center"/>
            <w:hideMark/>
          </w:tcPr>
          <w:p w14:paraId="3FA87975" w14:textId="77777777" w:rsidR="00CD213E" w:rsidRPr="008A3D03" w:rsidRDefault="00CD213E" w:rsidP="00150C7F">
            <w:pPr>
              <w:jc w:val="center"/>
              <w:rPr>
                <w:color w:val="000000"/>
                <w:sz w:val="18"/>
                <w:szCs w:val="18"/>
              </w:rPr>
            </w:pPr>
            <w:r w:rsidRPr="008A3D03">
              <w:rPr>
                <w:color w:val="000000"/>
                <w:sz w:val="18"/>
                <w:szCs w:val="18"/>
              </w:rPr>
              <w:t>0</w:t>
            </w:r>
          </w:p>
        </w:tc>
        <w:tc>
          <w:tcPr>
            <w:tcW w:w="801" w:type="dxa"/>
            <w:noWrap/>
            <w:vAlign w:val="center"/>
            <w:hideMark/>
          </w:tcPr>
          <w:p w14:paraId="3D4861FC" w14:textId="77777777" w:rsidR="00CD213E" w:rsidRPr="008A3D03" w:rsidRDefault="00CD213E" w:rsidP="00150C7F">
            <w:pPr>
              <w:jc w:val="center"/>
              <w:rPr>
                <w:b/>
                <w:bCs/>
                <w:color w:val="000000"/>
                <w:sz w:val="18"/>
                <w:szCs w:val="18"/>
              </w:rPr>
            </w:pPr>
            <w:r w:rsidRPr="008A3D03">
              <w:rPr>
                <w:b/>
                <w:bCs/>
                <w:color w:val="000000"/>
                <w:sz w:val="18"/>
                <w:szCs w:val="18"/>
              </w:rPr>
              <w:t>1</w:t>
            </w:r>
          </w:p>
        </w:tc>
      </w:tr>
      <w:tr w:rsidR="00CD213E" w:rsidRPr="00575F63" w14:paraId="03530C43" w14:textId="77777777" w:rsidTr="00150C7F">
        <w:trPr>
          <w:trHeight w:val="403"/>
        </w:trPr>
        <w:tc>
          <w:tcPr>
            <w:tcW w:w="988" w:type="dxa"/>
            <w:noWrap/>
            <w:vAlign w:val="center"/>
            <w:hideMark/>
          </w:tcPr>
          <w:p w14:paraId="69D3D571" w14:textId="77777777" w:rsidR="00CD213E" w:rsidRPr="008A3D03" w:rsidRDefault="00CD213E" w:rsidP="00150C7F">
            <w:pPr>
              <w:jc w:val="center"/>
              <w:rPr>
                <w:b/>
                <w:bCs/>
                <w:color w:val="000000"/>
                <w:sz w:val="18"/>
                <w:szCs w:val="18"/>
              </w:rPr>
            </w:pPr>
            <w:r w:rsidRPr="008A3D03">
              <w:rPr>
                <w:b/>
                <w:bCs/>
                <w:color w:val="000000"/>
                <w:sz w:val="18"/>
                <w:szCs w:val="18"/>
              </w:rPr>
              <w:t>Syria</w:t>
            </w:r>
          </w:p>
        </w:tc>
        <w:tc>
          <w:tcPr>
            <w:tcW w:w="850" w:type="dxa"/>
            <w:noWrap/>
            <w:vAlign w:val="center"/>
            <w:hideMark/>
          </w:tcPr>
          <w:p w14:paraId="7EB02D1C"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47BF7BF0"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18028E44" w14:textId="77777777" w:rsidR="00CD213E" w:rsidRPr="008A3D03" w:rsidRDefault="00CD213E" w:rsidP="00150C7F">
            <w:pPr>
              <w:jc w:val="center"/>
              <w:rPr>
                <w:color w:val="000000"/>
                <w:sz w:val="18"/>
                <w:szCs w:val="18"/>
              </w:rPr>
            </w:pPr>
            <w:r w:rsidRPr="008A3D03">
              <w:rPr>
                <w:color w:val="000000"/>
                <w:sz w:val="18"/>
                <w:szCs w:val="18"/>
              </w:rPr>
              <w:t>0</w:t>
            </w:r>
          </w:p>
        </w:tc>
        <w:tc>
          <w:tcPr>
            <w:tcW w:w="992" w:type="dxa"/>
            <w:noWrap/>
            <w:vAlign w:val="center"/>
            <w:hideMark/>
          </w:tcPr>
          <w:p w14:paraId="351885A5" w14:textId="77777777" w:rsidR="00CD213E" w:rsidRPr="008A3D03" w:rsidRDefault="00CD213E" w:rsidP="00150C7F">
            <w:pPr>
              <w:jc w:val="center"/>
              <w:rPr>
                <w:color w:val="000000"/>
                <w:sz w:val="18"/>
                <w:szCs w:val="18"/>
              </w:rPr>
            </w:pPr>
            <w:r w:rsidRPr="008A3D03">
              <w:rPr>
                <w:color w:val="000000"/>
                <w:sz w:val="18"/>
                <w:szCs w:val="18"/>
              </w:rPr>
              <w:t>7</w:t>
            </w:r>
          </w:p>
        </w:tc>
        <w:tc>
          <w:tcPr>
            <w:tcW w:w="1134" w:type="dxa"/>
            <w:noWrap/>
            <w:vAlign w:val="center"/>
            <w:hideMark/>
          </w:tcPr>
          <w:p w14:paraId="08CBD49A" w14:textId="77777777" w:rsidR="00CD213E" w:rsidRPr="008A3D03" w:rsidRDefault="00CD213E" w:rsidP="00150C7F">
            <w:pPr>
              <w:jc w:val="center"/>
              <w:rPr>
                <w:color w:val="000000"/>
                <w:sz w:val="18"/>
                <w:szCs w:val="18"/>
              </w:rPr>
            </w:pPr>
            <w:r w:rsidRPr="008A3D03">
              <w:rPr>
                <w:color w:val="000000"/>
                <w:sz w:val="18"/>
                <w:szCs w:val="18"/>
              </w:rPr>
              <w:t>0</w:t>
            </w:r>
          </w:p>
        </w:tc>
        <w:tc>
          <w:tcPr>
            <w:tcW w:w="1560" w:type="dxa"/>
            <w:noWrap/>
            <w:vAlign w:val="center"/>
            <w:hideMark/>
          </w:tcPr>
          <w:p w14:paraId="0EA7BA44" w14:textId="77777777" w:rsidR="00CD213E" w:rsidRPr="008A3D03" w:rsidRDefault="00CD213E" w:rsidP="00150C7F">
            <w:pPr>
              <w:jc w:val="center"/>
              <w:rPr>
                <w:color w:val="000000"/>
                <w:sz w:val="18"/>
                <w:szCs w:val="18"/>
              </w:rPr>
            </w:pPr>
            <w:r w:rsidRPr="008A3D03">
              <w:rPr>
                <w:color w:val="000000"/>
                <w:sz w:val="18"/>
                <w:szCs w:val="18"/>
              </w:rPr>
              <w:t>0</w:t>
            </w:r>
          </w:p>
        </w:tc>
        <w:tc>
          <w:tcPr>
            <w:tcW w:w="769" w:type="dxa"/>
            <w:noWrap/>
            <w:vAlign w:val="center"/>
            <w:hideMark/>
          </w:tcPr>
          <w:p w14:paraId="53A17D85" w14:textId="77777777" w:rsidR="00CD213E" w:rsidRPr="008A3D03" w:rsidRDefault="00CD213E" w:rsidP="00150C7F">
            <w:pPr>
              <w:jc w:val="center"/>
              <w:rPr>
                <w:color w:val="000000"/>
                <w:sz w:val="18"/>
                <w:szCs w:val="18"/>
              </w:rPr>
            </w:pPr>
            <w:r w:rsidRPr="008A3D03">
              <w:rPr>
                <w:color w:val="000000"/>
                <w:sz w:val="18"/>
                <w:szCs w:val="18"/>
              </w:rPr>
              <w:t>1</w:t>
            </w:r>
          </w:p>
        </w:tc>
        <w:tc>
          <w:tcPr>
            <w:tcW w:w="1215" w:type="dxa"/>
            <w:noWrap/>
            <w:vAlign w:val="center"/>
            <w:hideMark/>
          </w:tcPr>
          <w:p w14:paraId="755947B5" w14:textId="77777777" w:rsidR="00CD213E" w:rsidRPr="008A3D03" w:rsidRDefault="00CD213E" w:rsidP="00150C7F">
            <w:pPr>
              <w:jc w:val="center"/>
              <w:rPr>
                <w:color w:val="000000"/>
                <w:sz w:val="18"/>
                <w:szCs w:val="18"/>
              </w:rPr>
            </w:pPr>
            <w:r w:rsidRPr="008A3D03">
              <w:rPr>
                <w:color w:val="000000"/>
                <w:sz w:val="18"/>
                <w:szCs w:val="18"/>
              </w:rPr>
              <w:t>1</w:t>
            </w:r>
          </w:p>
        </w:tc>
        <w:tc>
          <w:tcPr>
            <w:tcW w:w="992" w:type="dxa"/>
            <w:noWrap/>
            <w:vAlign w:val="center"/>
            <w:hideMark/>
          </w:tcPr>
          <w:p w14:paraId="7D20D646" w14:textId="77777777" w:rsidR="00CD213E" w:rsidRPr="008A3D03" w:rsidRDefault="00CD213E" w:rsidP="00150C7F">
            <w:pPr>
              <w:jc w:val="center"/>
              <w:rPr>
                <w:color w:val="000000"/>
                <w:sz w:val="18"/>
                <w:szCs w:val="18"/>
              </w:rPr>
            </w:pPr>
            <w:r w:rsidRPr="008A3D03">
              <w:rPr>
                <w:color w:val="000000"/>
                <w:sz w:val="18"/>
                <w:szCs w:val="18"/>
              </w:rPr>
              <w:t>0</w:t>
            </w:r>
          </w:p>
        </w:tc>
        <w:tc>
          <w:tcPr>
            <w:tcW w:w="1425" w:type="dxa"/>
            <w:noWrap/>
            <w:vAlign w:val="center"/>
            <w:hideMark/>
          </w:tcPr>
          <w:p w14:paraId="6FC92E71" w14:textId="77777777" w:rsidR="00CD213E" w:rsidRPr="008A3D03" w:rsidRDefault="00CD213E" w:rsidP="00150C7F">
            <w:pPr>
              <w:jc w:val="center"/>
              <w:rPr>
                <w:color w:val="000000"/>
                <w:sz w:val="18"/>
                <w:szCs w:val="18"/>
              </w:rPr>
            </w:pPr>
            <w:r w:rsidRPr="008A3D03">
              <w:rPr>
                <w:color w:val="000000"/>
                <w:sz w:val="18"/>
                <w:szCs w:val="18"/>
              </w:rPr>
              <w:t>0</w:t>
            </w:r>
          </w:p>
        </w:tc>
        <w:tc>
          <w:tcPr>
            <w:tcW w:w="801" w:type="dxa"/>
            <w:noWrap/>
            <w:vAlign w:val="center"/>
            <w:hideMark/>
          </w:tcPr>
          <w:p w14:paraId="14079E5D" w14:textId="77777777" w:rsidR="00CD213E" w:rsidRPr="008A3D03" w:rsidRDefault="00CD213E" w:rsidP="00150C7F">
            <w:pPr>
              <w:jc w:val="center"/>
              <w:rPr>
                <w:b/>
                <w:bCs/>
                <w:color w:val="000000"/>
                <w:sz w:val="18"/>
                <w:szCs w:val="18"/>
              </w:rPr>
            </w:pPr>
            <w:r w:rsidRPr="008A3D03">
              <w:rPr>
                <w:b/>
                <w:bCs/>
                <w:color w:val="000000"/>
                <w:sz w:val="18"/>
                <w:szCs w:val="18"/>
              </w:rPr>
              <w:t>9</w:t>
            </w:r>
          </w:p>
        </w:tc>
      </w:tr>
      <w:tr w:rsidR="00CD213E" w:rsidRPr="00575F63" w14:paraId="6FD83915" w14:textId="77777777" w:rsidTr="00150C7F">
        <w:trPr>
          <w:trHeight w:val="423"/>
        </w:trPr>
        <w:tc>
          <w:tcPr>
            <w:tcW w:w="988" w:type="dxa"/>
            <w:noWrap/>
            <w:vAlign w:val="center"/>
            <w:hideMark/>
          </w:tcPr>
          <w:p w14:paraId="240A1BD7" w14:textId="77777777" w:rsidR="00CD213E" w:rsidRPr="008A3D03" w:rsidRDefault="00CD213E" w:rsidP="00150C7F">
            <w:pPr>
              <w:jc w:val="center"/>
              <w:rPr>
                <w:b/>
                <w:bCs/>
                <w:color w:val="000000"/>
                <w:sz w:val="18"/>
                <w:szCs w:val="18"/>
              </w:rPr>
            </w:pPr>
            <w:r w:rsidRPr="008A3D03">
              <w:rPr>
                <w:b/>
                <w:bCs/>
                <w:color w:val="000000"/>
                <w:sz w:val="18"/>
                <w:szCs w:val="18"/>
              </w:rPr>
              <w:t>Tunisia</w:t>
            </w:r>
          </w:p>
        </w:tc>
        <w:tc>
          <w:tcPr>
            <w:tcW w:w="850" w:type="dxa"/>
            <w:noWrap/>
            <w:vAlign w:val="center"/>
            <w:hideMark/>
          </w:tcPr>
          <w:p w14:paraId="32DAD51C" w14:textId="77777777" w:rsidR="00CD213E" w:rsidRPr="008A3D03" w:rsidRDefault="00CD213E" w:rsidP="00150C7F">
            <w:pPr>
              <w:jc w:val="center"/>
              <w:rPr>
                <w:color w:val="000000"/>
                <w:sz w:val="18"/>
                <w:szCs w:val="18"/>
              </w:rPr>
            </w:pPr>
            <w:r w:rsidRPr="008A3D03">
              <w:rPr>
                <w:color w:val="000000"/>
                <w:sz w:val="18"/>
                <w:szCs w:val="18"/>
              </w:rPr>
              <w:t>2</w:t>
            </w:r>
          </w:p>
        </w:tc>
        <w:tc>
          <w:tcPr>
            <w:tcW w:w="1134" w:type="dxa"/>
            <w:noWrap/>
            <w:vAlign w:val="center"/>
            <w:hideMark/>
          </w:tcPr>
          <w:p w14:paraId="102E6107" w14:textId="77777777" w:rsidR="00CD213E" w:rsidRPr="008A3D03" w:rsidRDefault="00CD213E" w:rsidP="00150C7F">
            <w:pPr>
              <w:jc w:val="center"/>
              <w:rPr>
                <w:color w:val="000000"/>
                <w:sz w:val="18"/>
                <w:szCs w:val="18"/>
              </w:rPr>
            </w:pPr>
            <w:r w:rsidRPr="008A3D03">
              <w:rPr>
                <w:color w:val="000000"/>
                <w:sz w:val="18"/>
                <w:szCs w:val="18"/>
              </w:rPr>
              <w:t>1</w:t>
            </w:r>
          </w:p>
        </w:tc>
        <w:tc>
          <w:tcPr>
            <w:tcW w:w="1134" w:type="dxa"/>
            <w:noWrap/>
            <w:vAlign w:val="center"/>
            <w:hideMark/>
          </w:tcPr>
          <w:p w14:paraId="5E4CF274" w14:textId="77777777" w:rsidR="00CD213E" w:rsidRPr="008A3D03" w:rsidRDefault="00CD213E" w:rsidP="00150C7F">
            <w:pPr>
              <w:jc w:val="center"/>
              <w:rPr>
                <w:color w:val="000000"/>
                <w:sz w:val="18"/>
                <w:szCs w:val="18"/>
              </w:rPr>
            </w:pPr>
            <w:r w:rsidRPr="008A3D03">
              <w:rPr>
                <w:color w:val="000000"/>
                <w:sz w:val="18"/>
                <w:szCs w:val="18"/>
              </w:rPr>
              <w:t>2</w:t>
            </w:r>
          </w:p>
        </w:tc>
        <w:tc>
          <w:tcPr>
            <w:tcW w:w="992" w:type="dxa"/>
            <w:noWrap/>
            <w:vAlign w:val="center"/>
            <w:hideMark/>
          </w:tcPr>
          <w:p w14:paraId="48FE2CB9" w14:textId="77777777" w:rsidR="00CD213E" w:rsidRPr="008A3D03" w:rsidRDefault="00CD213E" w:rsidP="00150C7F">
            <w:pPr>
              <w:jc w:val="center"/>
              <w:rPr>
                <w:color w:val="000000"/>
                <w:sz w:val="18"/>
                <w:szCs w:val="18"/>
              </w:rPr>
            </w:pPr>
            <w:r w:rsidRPr="008A3D03">
              <w:rPr>
                <w:color w:val="000000"/>
                <w:sz w:val="18"/>
                <w:szCs w:val="18"/>
              </w:rPr>
              <w:t>8</w:t>
            </w:r>
          </w:p>
        </w:tc>
        <w:tc>
          <w:tcPr>
            <w:tcW w:w="1134" w:type="dxa"/>
            <w:noWrap/>
            <w:vAlign w:val="center"/>
            <w:hideMark/>
          </w:tcPr>
          <w:p w14:paraId="5A069437" w14:textId="77777777" w:rsidR="00CD213E" w:rsidRPr="008A3D03" w:rsidRDefault="00CD213E" w:rsidP="00150C7F">
            <w:pPr>
              <w:jc w:val="center"/>
              <w:rPr>
                <w:color w:val="000000"/>
                <w:sz w:val="18"/>
                <w:szCs w:val="18"/>
              </w:rPr>
            </w:pPr>
            <w:r w:rsidRPr="008A3D03">
              <w:rPr>
                <w:color w:val="000000"/>
                <w:sz w:val="18"/>
                <w:szCs w:val="18"/>
              </w:rPr>
              <w:t>0</w:t>
            </w:r>
          </w:p>
        </w:tc>
        <w:tc>
          <w:tcPr>
            <w:tcW w:w="1560" w:type="dxa"/>
            <w:noWrap/>
            <w:vAlign w:val="center"/>
            <w:hideMark/>
          </w:tcPr>
          <w:p w14:paraId="4970E81C" w14:textId="77777777" w:rsidR="00CD213E" w:rsidRPr="008A3D03" w:rsidRDefault="00CD213E" w:rsidP="00150C7F">
            <w:pPr>
              <w:jc w:val="center"/>
              <w:rPr>
                <w:color w:val="000000"/>
                <w:sz w:val="18"/>
                <w:szCs w:val="18"/>
              </w:rPr>
            </w:pPr>
            <w:r w:rsidRPr="008A3D03">
              <w:rPr>
                <w:color w:val="000000"/>
                <w:sz w:val="18"/>
                <w:szCs w:val="18"/>
              </w:rPr>
              <w:t>3</w:t>
            </w:r>
          </w:p>
        </w:tc>
        <w:tc>
          <w:tcPr>
            <w:tcW w:w="769" w:type="dxa"/>
            <w:noWrap/>
            <w:vAlign w:val="center"/>
            <w:hideMark/>
          </w:tcPr>
          <w:p w14:paraId="0B8543C1" w14:textId="77777777" w:rsidR="00CD213E" w:rsidRPr="008A3D03" w:rsidRDefault="00CD213E" w:rsidP="00150C7F">
            <w:pPr>
              <w:jc w:val="center"/>
              <w:rPr>
                <w:color w:val="000000"/>
                <w:sz w:val="18"/>
                <w:szCs w:val="18"/>
              </w:rPr>
            </w:pPr>
            <w:r w:rsidRPr="008A3D03">
              <w:rPr>
                <w:color w:val="000000"/>
                <w:sz w:val="18"/>
                <w:szCs w:val="18"/>
              </w:rPr>
              <w:t>0</w:t>
            </w:r>
          </w:p>
        </w:tc>
        <w:tc>
          <w:tcPr>
            <w:tcW w:w="1215" w:type="dxa"/>
            <w:noWrap/>
            <w:vAlign w:val="center"/>
            <w:hideMark/>
          </w:tcPr>
          <w:p w14:paraId="128504D4" w14:textId="77777777" w:rsidR="00CD213E" w:rsidRPr="008A3D03" w:rsidRDefault="00CD213E" w:rsidP="00150C7F">
            <w:pPr>
              <w:jc w:val="center"/>
              <w:rPr>
                <w:color w:val="000000"/>
                <w:sz w:val="18"/>
                <w:szCs w:val="18"/>
              </w:rPr>
            </w:pPr>
            <w:r w:rsidRPr="008A3D03">
              <w:rPr>
                <w:color w:val="000000"/>
                <w:sz w:val="18"/>
                <w:szCs w:val="18"/>
              </w:rPr>
              <w:t>1</w:t>
            </w:r>
          </w:p>
        </w:tc>
        <w:tc>
          <w:tcPr>
            <w:tcW w:w="992" w:type="dxa"/>
            <w:noWrap/>
            <w:vAlign w:val="center"/>
            <w:hideMark/>
          </w:tcPr>
          <w:p w14:paraId="1416F7F5" w14:textId="77777777" w:rsidR="00CD213E" w:rsidRPr="008A3D03" w:rsidRDefault="00CD213E" w:rsidP="00150C7F">
            <w:pPr>
              <w:jc w:val="center"/>
              <w:rPr>
                <w:color w:val="000000"/>
                <w:sz w:val="18"/>
                <w:szCs w:val="18"/>
              </w:rPr>
            </w:pPr>
            <w:r w:rsidRPr="008A3D03">
              <w:rPr>
                <w:color w:val="000000"/>
                <w:sz w:val="18"/>
                <w:szCs w:val="18"/>
              </w:rPr>
              <w:t>0</w:t>
            </w:r>
          </w:p>
        </w:tc>
        <w:tc>
          <w:tcPr>
            <w:tcW w:w="1425" w:type="dxa"/>
            <w:noWrap/>
            <w:vAlign w:val="center"/>
            <w:hideMark/>
          </w:tcPr>
          <w:p w14:paraId="50333BA8" w14:textId="77777777" w:rsidR="00CD213E" w:rsidRPr="008A3D03" w:rsidRDefault="00CD213E" w:rsidP="00150C7F">
            <w:pPr>
              <w:jc w:val="center"/>
              <w:rPr>
                <w:color w:val="000000"/>
                <w:sz w:val="18"/>
                <w:szCs w:val="18"/>
              </w:rPr>
            </w:pPr>
            <w:r w:rsidRPr="008A3D03">
              <w:rPr>
                <w:color w:val="000000"/>
                <w:sz w:val="18"/>
                <w:szCs w:val="18"/>
              </w:rPr>
              <w:t>1</w:t>
            </w:r>
          </w:p>
        </w:tc>
        <w:tc>
          <w:tcPr>
            <w:tcW w:w="801" w:type="dxa"/>
            <w:noWrap/>
            <w:vAlign w:val="center"/>
            <w:hideMark/>
          </w:tcPr>
          <w:p w14:paraId="58848B13" w14:textId="77777777" w:rsidR="00CD213E" w:rsidRPr="008A3D03" w:rsidRDefault="00CD213E" w:rsidP="00150C7F">
            <w:pPr>
              <w:jc w:val="center"/>
              <w:rPr>
                <w:b/>
                <w:bCs/>
                <w:color w:val="000000"/>
                <w:sz w:val="18"/>
                <w:szCs w:val="18"/>
              </w:rPr>
            </w:pPr>
            <w:r w:rsidRPr="008A3D03">
              <w:rPr>
                <w:b/>
                <w:bCs/>
                <w:color w:val="000000"/>
                <w:sz w:val="18"/>
                <w:szCs w:val="18"/>
              </w:rPr>
              <w:t>18</w:t>
            </w:r>
          </w:p>
        </w:tc>
      </w:tr>
      <w:tr w:rsidR="00CD213E" w:rsidRPr="00575F63" w14:paraId="572752A9" w14:textId="77777777" w:rsidTr="00150C7F">
        <w:trPr>
          <w:trHeight w:val="390"/>
        </w:trPr>
        <w:tc>
          <w:tcPr>
            <w:tcW w:w="988" w:type="dxa"/>
            <w:noWrap/>
            <w:vAlign w:val="center"/>
            <w:hideMark/>
          </w:tcPr>
          <w:p w14:paraId="5512CB05" w14:textId="77777777" w:rsidR="00CD213E" w:rsidRPr="008A3D03" w:rsidRDefault="00CD213E" w:rsidP="00150C7F">
            <w:pPr>
              <w:spacing w:line="259" w:lineRule="auto"/>
              <w:jc w:val="center"/>
            </w:pPr>
            <w:r w:rsidRPr="49D4511B">
              <w:rPr>
                <w:b/>
                <w:bCs/>
                <w:color w:val="000000" w:themeColor="text1"/>
                <w:sz w:val="18"/>
                <w:szCs w:val="18"/>
              </w:rPr>
              <w:t>UAE</w:t>
            </w:r>
          </w:p>
        </w:tc>
        <w:tc>
          <w:tcPr>
            <w:tcW w:w="850" w:type="dxa"/>
            <w:noWrap/>
            <w:vAlign w:val="center"/>
            <w:hideMark/>
          </w:tcPr>
          <w:p w14:paraId="4D036A57" w14:textId="77777777" w:rsidR="00CD213E" w:rsidRPr="008A3D03" w:rsidRDefault="00CD213E" w:rsidP="00150C7F">
            <w:pPr>
              <w:jc w:val="center"/>
              <w:rPr>
                <w:color w:val="000000"/>
                <w:sz w:val="18"/>
                <w:szCs w:val="18"/>
              </w:rPr>
            </w:pPr>
            <w:r w:rsidRPr="008A3D03">
              <w:rPr>
                <w:color w:val="000000"/>
                <w:sz w:val="18"/>
                <w:szCs w:val="18"/>
              </w:rPr>
              <w:t>0</w:t>
            </w:r>
          </w:p>
        </w:tc>
        <w:tc>
          <w:tcPr>
            <w:tcW w:w="1134" w:type="dxa"/>
            <w:noWrap/>
            <w:vAlign w:val="center"/>
            <w:hideMark/>
          </w:tcPr>
          <w:p w14:paraId="1713582F" w14:textId="77777777" w:rsidR="00CD213E" w:rsidRPr="008A3D03" w:rsidRDefault="00CD213E" w:rsidP="00150C7F">
            <w:pPr>
              <w:jc w:val="center"/>
              <w:rPr>
                <w:color w:val="000000"/>
                <w:sz w:val="18"/>
                <w:szCs w:val="18"/>
              </w:rPr>
            </w:pPr>
            <w:r w:rsidRPr="008A3D03">
              <w:rPr>
                <w:color w:val="000000"/>
                <w:sz w:val="18"/>
                <w:szCs w:val="18"/>
              </w:rPr>
              <w:t>4</w:t>
            </w:r>
          </w:p>
        </w:tc>
        <w:tc>
          <w:tcPr>
            <w:tcW w:w="1134" w:type="dxa"/>
            <w:noWrap/>
            <w:vAlign w:val="center"/>
            <w:hideMark/>
          </w:tcPr>
          <w:p w14:paraId="5C2ACEFA" w14:textId="77777777" w:rsidR="00CD213E" w:rsidRPr="008A3D03" w:rsidRDefault="00CD213E" w:rsidP="00150C7F">
            <w:pPr>
              <w:jc w:val="center"/>
              <w:rPr>
                <w:color w:val="000000"/>
                <w:sz w:val="18"/>
                <w:szCs w:val="18"/>
              </w:rPr>
            </w:pPr>
            <w:r w:rsidRPr="008A3D03">
              <w:rPr>
                <w:color w:val="000000"/>
                <w:sz w:val="18"/>
                <w:szCs w:val="18"/>
              </w:rPr>
              <w:t>7</w:t>
            </w:r>
          </w:p>
        </w:tc>
        <w:tc>
          <w:tcPr>
            <w:tcW w:w="992" w:type="dxa"/>
            <w:noWrap/>
            <w:vAlign w:val="center"/>
            <w:hideMark/>
          </w:tcPr>
          <w:p w14:paraId="715326BB" w14:textId="77777777" w:rsidR="00CD213E" w:rsidRPr="008A3D03" w:rsidRDefault="00CD213E" w:rsidP="00150C7F">
            <w:pPr>
              <w:jc w:val="center"/>
              <w:rPr>
                <w:color w:val="000000"/>
                <w:sz w:val="18"/>
                <w:szCs w:val="18"/>
              </w:rPr>
            </w:pPr>
            <w:r w:rsidRPr="008A3D03">
              <w:rPr>
                <w:color w:val="000000"/>
                <w:sz w:val="18"/>
                <w:szCs w:val="18"/>
              </w:rPr>
              <w:t>22</w:t>
            </w:r>
          </w:p>
        </w:tc>
        <w:tc>
          <w:tcPr>
            <w:tcW w:w="1134" w:type="dxa"/>
            <w:noWrap/>
            <w:vAlign w:val="center"/>
            <w:hideMark/>
          </w:tcPr>
          <w:p w14:paraId="1E01D2F0" w14:textId="77777777" w:rsidR="00CD213E" w:rsidRPr="008A3D03" w:rsidRDefault="00CD213E" w:rsidP="00150C7F">
            <w:pPr>
              <w:jc w:val="center"/>
              <w:rPr>
                <w:color w:val="000000"/>
                <w:sz w:val="18"/>
                <w:szCs w:val="18"/>
              </w:rPr>
            </w:pPr>
            <w:r w:rsidRPr="008A3D03">
              <w:rPr>
                <w:color w:val="000000"/>
                <w:sz w:val="18"/>
                <w:szCs w:val="18"/>
              </w:rPr>
              <w:t>0</w:t>
            </w:r>
          </w:p>
        </w:tc>
        <w:tc>
          <w:tcPr>
            <w:tcW w:w="1560" w:type="dxa"/>
            <w:noWrap/>
            <w:vAlign w:val="center"/>
            <w:hideMark/>
          </w:tcPr>
          <w:p w14:paraId="47061688" w14:textId="77777777" w:rsidR="00CD213E" w:rsidRPr="008A3D03" w:rsidRDefault="00CD213E" w:rsidP="00150C7F">
            <w:pPr>
              <w:jc w:val="center"/>
              <w:rPr>
                <w:color w:val="000000"/>
                <w:sz w:val="18"/>
                <w:szCs w:val="18"/>
              </w:rPr>
            </w:pPr>
            <w:r w:rsidRPr="008A3D03">
              <w:rPr>
                <w:color w:val="000000"/>
                <w:sz w:val="18"/>
                <w:szCs w:val="18"/>
              </w:rPr>
              <w:t>0</w:t>
            </w:r>
          </w:p>
        </w:tc>
        <w:tc>
          <w:tcPr>
            <w:tcW w:w="769" w:type="dxa"/>
            <w:noWrap/>
            <w:vAlign w:val="center"/>
            <w:hideMark/>
          </w:tcPr>
          <w:p w14:paraId="4F9B34F9" w14:textId="77777777" w:rsidR="00CD213E" w:rsidRPr="008A3D03" w:rsidRDefault="00CD213E" w:rsidP="00150C7F">
            <w:pPr>
              <w:jc w:val="center"/>
              <w:rPr>
                <w:color w:val="000000"/>
                <w:sz w:val="18"/>
                <w:szCs w:val="18"/>
              </w:rPr>
            </w:pPr>
            <w:r w:rsidRPr="008A3D03">
              <w:rPr>
                <w:color w:val="000000"/>
                <w:sz w:val="18"/>
                <w:szCs w:val="18"/>
              </w:rPr>
              <w:t>1</w:t>
            </w:r>
          </w:p>
        </w:tc>
        <w:tc>
          <w:tcPr>
            <w:tcW w:w="1215" w:type="dxa"/>
            <w:noWrap/>
            <w:vAlign w:val="center"/>
            <w:hideMark/>
          </w:tcPr>
          <w:p w14:paraId="104C1EEF" w14:textId="77777777" w:rsidR="00CD213E" w:rsidRPr="008A3D03" w:rsidRDefault="00CD213E" w:rsidP="00150C7F">
            <w:pPr>
              <w:jc w:val="center"/>
              <w:rPr>
                <w:color w:val="000000"/>
                <w:sz w:val="18"/>
                <w:szCs w:val="18"/>
              </w:rPr>
            </w:pPr>
            <w:r w:rsidRPr="008A3D03">
              <w:rPr>
                <w:color w:val="000000"/>
                <w:sz w:val="18"/>
                <w:szCs w:val="18"/>
              </w:rPr>
              <w:t>7</w:t>
            </w:r>
          </w:p>
        </w:tc>
        <w:tc>
          <w:tcPr>
            <w:tcW w:w="992" w:type="dxa"/>
            <w:noWrap/>
            <w:vAlign w:val="center"/>
            <w:hideMark/>
          </w:tcPr>
          <w:p w14:paraId="534B6E92" w14:textId="77777777" w:rsidR="00CD213E" w:rsidRPr="008A3D03" w:rsidRDefault="00CD213E" w:rsidP="00150C7F">
            <w:pPr>
              <w:jc w:val="center"/>
              <w:rPr>
                <w:color w:val="000000"/>
                <w:sz w:val="18"/>
                <w:szCs w:val="18"/>
              </w:rPr>
            </w:pPr>
            <w:r w:rsidRPr="008A3D03">
              <w:rPr>
                <w:color w:val="000000"/>
                <w:sz w:val="18"/>
                <w:szCs w:val="18"/>
              </w:rPr>
              <w:t>0</w:t>
            </w:r>
          </w:p>
        </w:tc>
        <w:tc>
          <w:tcPr>
            <w:tcW w:w="1425" w:type="dxa"/>
            <w:noWrap/>
            <w:vAlign w:val="center"/>
            <w:hideMark/>
          </w:tcPr>
          <w:p w14:paraId="0FDDB647" w14:textId="77777777" w:rsidR="00CD213E" w:rsidRPr="008A3D03" w:rsidRDefault="00CD213E" w:rsidP="00150C7F">
            <w:pPr>
              <w:jc w:val="center"/>
              <w:rPr>
                <w:color w:val="000000"/>
                <w:sz w:val="18"/>
                <w:szCs w:val="18"/>
              </w:rPr>
            </w:pPr>
            <w:r w:rsidRPr="008A3D03">
              <w:rPr>
                <w:color w:val="000000"/>
                <w:sz w:val="18"/>
                <w:szCs w:val="18"/>
              </w:rPr>
              <w:t>0</w:t>
            </w:r>
          </w:p>
        </w:tc>
        <w:tc>
          <w:tcPr>
            <w:tcW w:w="801" w:type="dxa"/>
            <w:noWrap/>
            <w:vAlign w:val="center"/>
            <w:hideMark/>
          </w:tcPr>
          <w:p w14:paraId="47A67019" w14:textId="77777777" w:rsidR="00CD213E" w:rsidRPr="008A3D03" w:rsidRDefault="00CD213E" w:rsidP="00150C7F">
            <w:pPr>
              <w:jc w:val="center"/>
              <w:rPr>
                <w:b/>
                <w:bCs/>
                <w:color w:val="000000"/>
                <w:sz w:val="18"/>
                <w:szCs w:val="18"/>
              </w:rPr>
            </w:pPr>
            <w:r w:rsidRPr="008A3D03">
              <w:rPr>
                <w:b/>
                <w:bCs/>
                <w:color w:val="000000"/>
                <w:sz w:val="18"/>
                <w:szCs w:val="18"/>
              </w:rPr>
              <w:t>41</w:t>
            </w:r>
          </w:p>
        </w:tc>
      </w:tr>
      <w:tr w:rsidR="00CD213E" w:rsidRPr="00575F63" w14:paraId="522F94B2" w14:textId="77777777" w:rsidTr="00150C7F">
        <w:trPr>
          <w:trHeight w:val="412"/>
        </w:trPr>
        <w:tc>
          <w:tcPr>
            <w:tcW w:w="988" w:type="dxa"/>
            <w:noWrap/>
            <w:vAlign w:val="center"/>
            <w:hideMark/>
          </w:tcPr>
          <w:p w14:paraId="1A9B0699" w14:textId="77777777" w:rsidR="00CD213E" w:rsidRPr="008A3D03" w:rsidRDefault="00CD213E" w:rsidP="00150C7F">
            <w:pPr>
              <w:jc w:val="center"/>
              <w:rPr>
                <w:b/>
                <w:bCs/>
                <w:color w:val="000000"/>
                <w:sz w:val="18"/>
                <w:szCs w:val="18"/>
              </w:rPr>
            </w:pPr>
            <w:r w:rsidRPr="008A3D03">
              <w:rPr>
                <w:b/>
                <w:bCs/>
                <w:color w:val="000000"/>
                <w:sz w:val="18"/>
                <w:szCs w:val="18"/>
              </w:rPr>
              <w:t>Total</w:t>
            </w:r>
          </w:p>
        </w:tc>
        <w:tc>
          <w:tcPr>
            <w:tcW w:w="850" w:type="dxa"/>
            <w:noWrap/>
            <w:vAlign w:val="center"/>
            <w:hideMark/>
          </w:tcPr>
          <w:p w14:paraId="4858CFF5" w14:textId="77777777" w:rsidR="00CD213E" w:rsidRPr="008A3D03" w:rsidRDefault="00CD213E" w:rsidP="00150C7F">
            <w:pPr>
              <w:jc w:val="center"/>
              <w:rPr>
                <w:b/>
                <w:bCs/>
                <w:color w:val="000000"/>
                <w:sz w:val="18"/>
                <w:szCs w:val="18"/>
              </w:rPr>
            </w:pPr>
            <w:r w:rsidRPr="008A3D03">
              <w:rPr>
                <w:b/>
                <w:bCs/>
                <w:color w:val="000000"/>
                <w:sz w:val="18"/>
                <w:szCs w:val="18"/>
              </w:rPr>
              <w:t>15</w:t>
            </w:r>
          </w:p>
        </w:tc>
        <w:tc>
          <w:tcPr>
            <w:tcW w:w="1134" w:type="dxa"/>
            <w:noWrap/>
            <w:vAlign w:val="center"/>
            <w:hideMark/>
          </w:tcPr>
          <w:p w14:paraId="122EC293" w14:textId="77777777" w:rsidR="00CD213E" w:rsidRPr="008A3D03" w:rsidRDefault="00CD213E" w:rsidP="00150C7F">
            <w:pPr>
              <w:jc w:val="center"/>
              <w:rPr>
                <w:b/>
                <w:bCs/>
                <w:color w:val="000000"/>
                <w:sz w:val="18"/>
                <w:szCs w:val="18"/>
              </w:rPr>
            </w:pPr>
            <w:r w:rsidRPr="008A3D03">
              <w:rPr>
                <w:b/>
                <w:bCs/>
                <w:color w:val="000000"/>
                <w:sz w:val="18"/>
                <w:szCs w:val="18"/>
              </w:rPr>
              <w:t>44</w:t>
            </w:r>
          </w:p>
        </w:tc>
        <w:tc>
          <w:tcPr>
            <w:tcW w:w="1134" w:type="dxa"/>
            <w:noWrap/>
            <w:vAlign w:val="center"/>
            <w:hideMark/>
          </w:tcPr>
          <w:p w14:paraId="26EB2957" w14:textId="77777777" w:rsidR="00CD213E" w:rsidRPr="008A3D03" w:rsidRDefault="00CD213E" w:rsidP="00150C7F">
            <w:pPr>
              <w:jc w:val="center"/>
              <w:rPr>
                <w:b/>
                <w:bCs/>
                <w:color w:val="000000"/>
                <w:sz w:val="18"/>
                <w:szCs w:val="18"/>
              </w:rPr>
            </w:pPr>
            <w:r w:rsidRPr="008A3D03">
              <w:rPr>
                <w:b/>
                <w:bCs/>
                <w:color w:val="000000"/>
                <w:sz w:val="18"/>
                <w:szCs w:val="18"/>
              </w:rPr>
              <w:t>96</w:t>
            </w:r>
          </w:p>
        </w:tc>
        <w:tc>
          <w:tcPr>
            <w:tcW w:w="992" w:type="dxa"/>
            <w:noWrap/>
            <w:vAlign w:val="center"/>
            <w:hideMark/>
          </w:tcPr>
          <w:p w14:paraId="269DC154" w14:textId="77777777" w:rsidR="00CD213E" w:rsidRPr="008A3D03" w:rsidRDefault="00CD213E" w:rsidP="00150C7F">
            <w:pPr>
              <w:jc w:val="center"/>
              <w:rPr>
                <w:b/>
                <w:bCs/>
                <w:color w:val="000000"/>
                <w:sz w:val="18"/>
                <w:szCs w:val="18"/>
              </w:rPr>
            </w:pPr>
            <w:r w:rsidRPr="008A3D03">
              <w:rPr>
                <w:b/>
                <w:bCs/>
                <w:color w:val="000000"/>
                <w:sz w:val="18"/>
                <w:szCs w:val="18"/>
              </w:rPr>
              <w:t>255</w:t>
            </w:r>
          </w:p>
        </w:tc>
        <w:tc>
          <w:tcPr>
            <w:tcW w:w="1134" w:type="dxa"/>
            <w:noWrap/>
            <w:vAlign w:val="center"/>
            <w:hideMark/>
          </w:tcPr>
          <w:p w14:paraId="0D0E7B60" w14:textId="77777777" w:rsidR="00CD213E" w:rsidRPr="008A3D03" w:rsidRDefault="00CD213E" w:rsidP="00150C7F">
            <w:pPr>
              <w:jc w:val="center"/>
              <w:rPr>
                <w:b/>
                <w:bCs/>
                <w:color w:val="000000"/>
                <w:sz w:val="18"/>
                <w:szCs w:val="18"/>
              </w:rPr>
            </w:pPr>
            <w:r w:rsidRPr="008A3D03">
              <w:rPr>
                <w:b/>
                <w:bCs/>
                <w:color w:val="000000"/>
                <w:sz w:val="18"/>
                <w:szCs w:val="18"/>
              </w:rPr>
              <w:t>14</w:t>
            </w:r>
          </w:p>
        </w:tc>
        <w:tc>
          <w:tcPr>
            <w:tcW w:w="1560" w:type="dxa"/>
            <w:noWrap/>
            <w:vAlign w:val="center"/>
            <w:hideMark/>
          </w:tcPr>
          <w:p w14:paraId="7F9FCCC4" w14:textId="77777777" w:rsidR="00CD213E" w:rsidRPr="008A3D03" w:rsidRDefault="00CD213E" w:rsidP="00150C7F">
            <w:pPr>
              <w:jc w:val="center"/>
              <w:rPr>
                <w:b/>
                <w:bCs/>
                <w:color w:val="000000"/>
                <w:sz w:val="18"/>
                <w:szCs w:val="18"/>
              </w:rPr>
            </w:pPr>
            <w:r w:rsidRPr="008A3D03">
              <w:rPr>
                <w:b/>
                <w:bCs/>
                <w:color w:val="000000"/>
                <w:sz w:val="18"/>
                <w:szCs w:val="18"/>
              </w:rPr>
              <w:t>31</w:t>
            </w:r>
          </w:p>
        </w:tc>
        <w:tc>
          <w:tcPr>
            <w:tcW w:w="769" w:type="dxa"/>
            <w:noWrap/>
            <w:vAlign w:val="center"/>
            <w:hideMark/>
          </w:tcPr>
          <w:p w14:paraId="307F7291" w14:textId="77777777" w:rsidR="00CD213E" w:rsidRPr="008A3D03" w:rsidRDefault="00CD213E" w:rsidP="00150C7F">
            <w:pPr>
              <w:jc w:val="center"/>
              <w:rPr>
                <w:b/>
                <w:bCs/>
                <w:color w:val="000000"/>
                <w:sz w:val="18"/>
                <w:szCs w:val="18"/>
              </w:rPr>
            </w:pPr>
            <w:r w:rsidRPr="008A3D03">
              <w:rPr>
                <w:b/>
                <w:bCs/>
                <w:color w:val="000000"/>
                <w:sz w:val="18"/>
                <w:szCs w:val="18"/>
              </w:rPr>
              <w:t>5</w:t>
            </w:r>
          </w:p>
        </w:tc>
        <w:tc>
          <w:tcPr>
            <w:tcW w:w="1215" w:type="dxa"/>
            <w:noWrap/>
            <w:vAlign w:val="center"/>
            <w:hideMark/>
          </w:tcPr>
          <w:p w14:paraId="245AE5CA" w14:textId="77777777" w:rsidR="00CD213E" w:rsidRPr="008A3D03" w:rsidRDefault="00CD213E" w:rsidP="00150C7F">
            <w:pPr>
              <w:jc w:val="center"/>
              <w:rPr>
                <w:b/>
                <w:bCs/>
                <w:color w:val="000000"/>
                <w:sz w:val="18"/>
                <w:szCs w:val="18"/>
              </w:rPr>
            </w:pPr>
            <w:r w:rsidRPr="008A3D03">
              <w:rPr>
                <w:b/>
                <w:bCs/>
                <w:color w:val="000000"/>
                <w:sz w:val="18"/>
                <w:szCs w:val="18"/>
              </w:rPr>
              <w:t>80</w:t>
            </w:r>
          </w:p>
        </w:tc>
        <w:tc>
          <w:tcPr>
            <w:tcW w:w="992" w:type="dxa"/>
            <w:noWrap/>
            <w:vAlign w:val="center"/>
            <w:hideMark/>
          </w:tcPr>
          <w:p w14:paraId="4E2E4A4D" w14:textId="77777777" w:rsidR="00CD213E" w:rsidRPr="008A3D03" w:rsidRDefault="00CD213E" w:rsidP="00150C7F">
            <w:pPr>
              <w:jc w:val="center"/>
              <w:rPr>
                <w:b/>
                <w:bCs/>
                <w:color w:val="000000"/>
                <w:sz w:val="18"/>
                <w:szCs w:val="18"/>
              </w:rPr>
            </w:pPr>
            <w:r w:rsidRPr="008A3D03">
              <w:rPr>
                <w:b/>
                <w:bCs/>
                <w:color w:val="000000"/>
                <w:sz w:val="18"/>
                <w:szCs w:val="18"/>
              </w:rPr>
              <w:t>5</w:t>
            </w:r>
          </w:p>
        </w:tc>
        <w:tc>
          <w:tcPr>
            <w:tcW w:w="1425" w:type="dxa"/>
            <w:noWrap/>
            <w:vAlign w:val="center"/>
            <w:hideMark/>
          </w:tcPr>
          <w:p w14:paraId="60E55698" w14:textId="77777777" w:rsidR="00CD213E" w:rsidRPr="008A3D03" w:rsidRDefault="00CD213E" w:rsidP="00150C7F">
            <w:pPr>
              <w:jc w:val="center"/>
              <w:rPr>
                <w:b/>
                <w:bCs/>
                <w:color w:val="000000"/>
                <w:sz w:val="18"/>
                <w:szCs w:val="18"/>
              </w:rPr>
            </w:pPr>
            <w:r w:rsidRPr="008A3D03">
              <w:rPr>
                <w:b/>
                <w:bCs/>
                <w:color w:val="000000"/>
                <w:sz w:val="18"/>
                <w:szCs w:val="18"/>
              </w:rPr>
              <w:t>15</w:t>
            </w:r>
          </w:p>
        </w:tc>
        <w:tc>
          <w:tcPr>
            <w:tcW w:w="801" w:type="dxa"/>
            <w:noWrap/>
            <w:vAlign w:val="center"/>
            <w:hideMark/>
          </w:tcPr>
          <w:p w14:paraId="5937F144" w14:textId="77777777" w:rsidR="00CD213E" w:rsidRPr="008A3D03" w:rsidRDefault="00CD213E" w:rsidP="00150C7F">
            <w:pPr>
              <w:jc w:val="center"/>
              <w:rPr>
                <w:color w:val="000000"/>
                <w:sz w:val="18"/>
                <w:szCs w:val="18"/>
              </w:rPr>
            </w:pPr>
            <w:r w:rsidRPr="008A3D03">
              <w:rPr>
                <w:b/>
                <w:bCs/>
                <w:color w:val="000000"/>
                <w:sz w:val="18"/>
                <w:szCs w:val="18"/>
              </w:rPr>
              <w:t>560</w:t>
            </w:r>
          </w:p>
        </w:tc>
      </w:tr>
    </w:tbl>
    <w:p w14:paraId="24BA39F2" w14:textId="77777777" w:rsidR="00CD213E" w:rsidRDefault="00CD213E" w:rsidP="0050455B">
      <w:pPr>
        <w:spacing w:before="120" w:after="120" w:line="360" w:lineRule="auto"/>
        <w:jc w:val="both"/>
        <w:sectPr w:rsidR="00CD213E" w:rsidSect="00C806BF">
          <w:pgSz w:w="15840" w:h="12240" w:orient="landscape"/>
          <w:pgMar w:top="1440" w:right="1440" w:bottom="1440" w:left="1440" w:header="720" w:footer="720" w:gutter="0"/>
          <w:cols w:space="720"/>
          <w:titlePg/>
          <w:docGrid w:linePitch="326"/>
        </w:sectPr>
      </w:pPr>
    </w:p>
    <w:p w14:paraId="0A6E7E85" w14:textId="484439C1" w:rsidR="0050455B" w:rsidRPr="0050455B" w:rsidRDefault="0050455B" w:rsidP="0050455B">
      <w:pPr>
        <w:spacing w:before="120" w:after="120" w:line="360" w:lineRule="auto"/>
        <w:jc w:val="both"/>
      </w:pPr>
      <w:r w:rsidRPr="0050455B">
        <w:lastRenderedPageBreak/>
        <w:t>EP, EMP, and SDG adoption using binary presence indicators (0/1), while we capture SP with Refinitiv’s three ESG pillar scores (0–100) as indicators of a higher-order performance construct. The observation window is 2023, capturing the post-COVID period.</w:t>
      </w:r>
    </w:p>
    <w:p w14:paraId="4BF85941" w14:textId="77777777" w:rsidR="0050455B" w:rsidRPr="0050455B" w:rsidRDefault="0050455B" w:rsidP="0050455B">
      <w:pPr>
        <w:spacing w:before="120" w:after="120" w:line="360" w:lineRule="auto"/>
        <w:jc w:val="both"/>
      </w:pPr>
      <w:r w:rsidRPr="0050455B">
        <w:t>Given the complex interplay between global sustainability objectives and local operational realities, the MENA region offers a compelling empirical context. MENA countries share many characteristics of the broader Global South—inequality, labor-rights concerns, and social-justice issues—alongside sharp contrasts in wealth and influence and ongoing reform and stabilization efforts (Al-Khouri, 2015; Dimitrova et al., 2020; World Bank, 2018).</w:t>
      </w:r>
    </w:p>
    <w:p w14:paraId="11850183" w14:textId="60420428" w:rsidR="0050455B" w:rsidRPr="0050455B" w:rsidRDefault="0050455B" w:rsidP="0050455B">
      <w:pPr>
        <w:spacing w:before="120" w:after="120" w:line="360" w:lineRule="auto"/>
        <w:jc w:val="both"/>
      </w:pPr>
      <w:r w:rsidRPr="0050455B">
        <w:t xml:space="preserve">Across the sampled MENA countries, governance quality, political stability, resource dependence, civic space, and income levels diverge in patterned ways that are visible in </w:t>
      </w:r>
      <w:r w:rsidRPr="00CD213E">
        <w:rPr>
          <w:u w:val="single"/>
        </w:rPr>
        <w:t>Table 2</w:t>
      </w:r>
      <w:r w:rsidRPr="0050455B">
        <w:t xml:space="preserve">. GCC economies—Bahrain, Kuwait, Oman, Qatar, Saudi Arabia, and the UAE—tend to combine higher government effectiveness and political stability with larger natural-resource rents and higher GNI per capita, an institutional bundle associated with clearer administrative capacity, fiscal space, and more formalized managerial systems (Al-Khouri, 2015; World Bank, 2018). In contrast, several non-GCC contexts—including Egypt, Jordan, Lebanon, Morocco, and Tunisia—show lower governance and stability scores, more constrained civic space, and lower income levels, conditions the literature links to higher compliance frictions, uneven formalization, and greater reliance on ad hoc organizational responses (Dimitrova et al., 2020; </w:t>
      </w:r>
      <w:proofErr w:type="spellStart"/>
      <w:r w:rsidRPr="0050455B">
        <w:t>Lythreatis</w:t>
      </w:r>
      <w:proofErr w:type="spellEnd"/>
      <w:r w:rsidRPr="0050455B">
        <w:t xml:space="preserve"> et al., 2017). Conflict-affected settings (Iraq, Sudan, Syria, Palestine) register the sharpest stability constraints, consistent with region-wide analyses of fragility and macro pressures that complicate longer-term capability building (World Bank, 2018). At the same time, within-region exceptions—for example, Israel combines relatively strong government effectiveness with distinct stability dynamics—underscore that these contrasts are multi-dimensional rather than reducible to a simple GCC/non-GCC divide (Al-Khouri, 2015; Dimitrova et al., 2020). Taken together, </w:t>
      </w:r>
      <w:r>
        <w:t>country-level data</w:t>
      </w:r>
      <w:r w:rsidRPr="0050455B">
        <w:t xml:space="preserve"> and the cited evidence portray a region that is far from homogeneous, motivating treatment of country characteristics as contextual variation rather than assuming a single “</w:t>
      </w:r>
      <w:r w:rsidRPr="0050455B">
        <w:rPr>
          <w:i/>
          <w:iCs/>
        </w:rPr>
        <w:t>MENA effect</w:t>
      </w:r>
      <w:r w:rsidRPr="0050455B">
        <w:t>.”</w:t>
      </w:r>
    </w:p>
    <w:p w14:paraId="12D2BAA8" w14:textId="3923479E" w:rsidR="0050455B" w:rsidRDefault="0050455B" w:rsidP="0050455B">
      <w:pPr>
        <w:spacing w:before="120" w:after="120" w:line="360" w:lineRule="auto"/>
        <w:jc w:val="center"/>
      </w:pPr>
    </w:p>
    <w:p w14:paraId="38085CED" w14:textId="77777777" w:rsidR="00CD213E" w:rsidRDefault="00CD213E" w:rsidP="0050455B">
      <w:pPr>
        <w:spacing w:before="120" w:after="120" w:line="360" w:lineRule="auto"/>
        <w:jc w:val="center"/>
        <w:sectPr w:rsidR="00CD213E" w:rsidSect="00C806BF">
          <w:pgSz w:w="12240" w:h="15840"/>
          <w:pgMar w:top="1440" w:right="1440" w:bottom="1440" w:left="1440" w:header="720" w:footer="720" w:gutter="0"/>
          <w:cols w:space="720"/>
          <w:titlePg/>
          <w:docGrid w:linePitch="326"/>
        </w:sectPr>
      </w:pPr>
    </w:p>
    <w:p w14:paraId="2DC5DC38" w14:textId="77777777" w:rsidR="00CD213E" w:rsidRDefault="00CD213E" w:rsidP="00CD213E">
      <w:r w:rsidRPr="00CD213E">
        <w:rPr>
          <w:b/>
          <w:bCs/>
        </w:rPr>
        <w:lastRenderedPageBreak/>
        <w:t>Table 2.</w:t>
      </w:r>
      <w:r>
        <w:t xml:space="preserve"> I</w:t>
      </w:r>
      <w:r w:rsidRPr="00315657">
        <w:t>nstitutional Characteristics of Sampled MENA Countries</w:t>
      </w:r>
    </w:p>
    <w:tbl>
      <w:tblPr>
        <w:tblStyle w:val="TableGrid"/>
        <w:tblW w:w="0" w:type="auto"/>
        <w:tblLook w:val="04A0" w:firstRow="1" w:lastRow="0" w:firstColumn="1" w:lastColumn="0" w:noHBand="0" w:noVBand="1"/>
      </w:tblPr>
      <w:tblGrid>
        <w:gridCol w:w="2967"/>
        <w:gridCol w:w="1284"/>
        <w:gridCol w:w="1423"/>
        <w:gridCol w:w="1683"/>
        <w:gridCol w:w="1342"/>
        <w:gridCol w:w="1903"/>
        <w:gridCol w:w="1453"/>
        <w:gridCol w:w="895"/>
      </w:tblGrid>
      <w:tr w:rsidR="00CD213E" w14:paraId="002331AC" w14:textId="77777777" w:rsidTr="00CD213E">
        <w:tc>
          <w:tcPr>
            <w:tcW w:w="0" w:type="auto"/>
            <w:vAlign w:val="center"/>
            <w:hideMark/>
          </w:tcPr>
          <w:p w14:paraId="1A9E1295" w14:textId="77777777" w:rsidR="00CD213E" w:rsidRPr="00CD213E" w:rsidRDefault="00CD213E" w:rsidP="00CD213E">
            <w:pPr>
              <w:spacing w:before="40" w:after="40"/>
              <w:jc w:val="center"/>
              <w:rPr>
                <w:b/>
                <w:bCs/>
              </w:rPr>
            </w:pPr>
            <w:r w:rsidRPr="00CD213E">
              <w:rPr>
                <w:b/>
                <w:bCs/>
              </w:rPr>
              <w:t>Country</w:t>
            </w:r>
          </w:p>
        </w:tc>
        <w:tc>
          <w:tcPr>
            <w:tcW w:w="0" w:type="auto"/>
            <w:vAlign w:val="center"/>
            <w:hideMark/>
          </w:tcPr>
          <w:p w14:paraId="3D3BA77C" w14:textId="77777777" w:rsidR="00CD213E" w:rsidRPr="00CD213E" w:rsidRDefault="00CD213E" w:rsidP="00CD213E">
            <w:pPr>
              <w:spacing w:before="40" w:after="40"/>
              <w:jc w:val="center"/>
              <w:rPr>
                <w:b/>
                <w:bCs/>
              </w:rPr>
            </w:pPr>
            <w:r w:rsidRPr="00CD213E">
              <w:rPr>
                <w:b/>
                <w:bCs/>
              </w:rPr>
              <w:t>GCC (Y/N)</w:t>
            </w:r>
          </w:p>
        </w:tc>
        <w:tc>
          <w:tcPr>
            <w:tcW w:w="0" w:type="auto"/>
            <w:vAlign w:val="center"/>
            <w:hideMark/>
          </w:tcPr>
          <w:p w14:paraId="34951338" w14:textId="461003C2" w:rsidR="00CD213E" w:rsidRPr="00CD213E" w:rsidRDefault="00CD213E" w:rsidP="00CD213E">
            <w:pPr>
              <w:spacing w:before="40" w:after="40"/>
              <w:jc w:val="center"/>
              <w:rPr>
                <w:b/>
                <w:bCs/>
              </w:rPr>
            </w:pPr>
            <w:r w:rsidRPr="00CD213E">
              <w:rPr>
                <w:rStyle w:val="Strong"/>
                <w:rFonts w:eastAsiaTheme="majorEastAsia"/>
              </w:rPr>
              <w:t>Governance</w:t>
            </w:r>
            <w:r>
              <w:rPr>
                <w:vertAlign w:val="superscript"/>
              </w:rPr>
              <w:footnoteReference w:id="4"/>
            </w:r>
          </w:p>
        </w:tc>
        <w:tc>
          <w:tcPr>
            <w:tcW w:w="0" w:type="auto"/>
            <w:vAlign w:val="center"/>
            <w:hideMark/>
          </w:tcPr>
          <w:p w14:paraId="560F16A5" w14:textId="3DE52C64" w:rsidR="00CD213E" w:rsidRPr="00CD213E" w:rsidRDefault="00CD213E" w:rsidP="00CD213E">
            <w:pPr>
              <w:spacing w:before="40" w:after="40"/>
              <w:jc w:val="center"/>
              <w:rPr>
                <w:b/>
                <w:bCs/>
              </w:rPr>
            </w:pPr>
            <w:r w:rsidRPr="00CD213E">
              <w:rPr>
                <w:rStyle w:val="Strong"/>
                <w:rFonts w:eastAsiaTheme="majorEastAsia"/>
              </w:rPr>
              <w:t>Resource rents</w:t>
            </w:r>
            <w:r>
              <w:rPr>
                <w:vertAlign w:val="superscript"/>
              </w:rPr>
              <w:footnoteReference w:id="5"/>
            </w:r>
          </w:p>
        </w:tc>
        <w:tc>
          <w:tcPr>
            <w:tcW w:w="0" w:type="auto"/>
            <w:vAlign w:val="center"/>
            <w:hideMark/>
          </w:tcPr>
          <w:p w14:paraId="1BE4A6D6" w14:textId="2332521C" w:rsidR="00CD213E" w:rsidRPr="00CD213E" w:rsidRDefault="00CD213E" w:rsidP="00CD213E">
            <w:pPr>
              <w:spacing w:before="40" w:after="40"/>
              <w:jc w:val="center"/>
              <w:rPr>
                <w:b/>
                <w:bCs/>
              </w:rPr>
            </w:pPr>
            <w:r w:rsidRPr="00CD213E">
              <w:rPr>
                <w:rStyle w:val="Strong"/>
                <w:rFonts w:eastAsiaTheme="majorEastAsia"/>
              </w:rPr>
              <w:t>Civic space</w:t>
            </w:r>
            <w:r>
              <w:rPr>
                <w:vertAlign w:val="superscript"/>
              </w:rPr>
              <w:footnoteReference w:id="6"/>
            </w:r>
          </w:p>
        </w:tc>
        <w:tc>
          <w:tcPr>
            <w:tcW w:w="0" w:type="auto"/>
            <w:vAlign w:val="center"/>
            <w:hideMark/>
          </w:tcPr>
          <w:p w14:paraId="2DE132FD" w14:textId="305E2A2B" w:rsidR="00CD213E" w:rsidRPr="00CD213E" w:rsidRDefault="00CD213E" w:rsidP="00CD213E">
            <w:pPr>
              <w:spacing w:before="40" w:after="40"/>
              <w:jc w:val="center"/>
              <w:rPr>
                <w:b/>
                <w:bCs/>
              </w:rPr>
            </w:pPr>
            <w:r w:rsidRPr="00CD213E">
              <w:rPr>
                <w:rStyle w:val="Strong"/>
                <w:rFonts w:eastAsiaTheme="majorEastAsia"/>
              </w:rPr>
              <w:t>Political Stability</w:t>
            </w:r>
            <w:r>
              <w:rPr>
                <w:vertAlign w:val="superscript"/>
              </w:rPr>
              <w:footnoteReference w:id="7"/>
            </w:r>
          </w:p>
        </w:tc>
        <w:tc>
          <w:tcPr>
            <w:tcW w:w="1453" w:type="dxa"/>
            <w:vAlign w:val="center"/>
            <w:hideMark/>
          </w:tcPr>
          <w:p w14:paraId="336DE62F" w14:textId="48063EDE" w:rsidR="00CD213E" w:rsidRPr="00CD213E" w:rsidRDefault="00CD213E" w:rsidP="00CD213E">
            <w:pPr>
              <w:spacing w:before="40" w:after="40"/>
              <w:jc w:val="center"/>
              <w:rPr>
                <w:b/>
                <w:bCs/>
              </w:rPr>
            </w:pPr>
            <w:r w:rsidRPr="00CD213E">
              <w:rPr>
                <w:rStyle w:val="Strong"/>
                <w:rFonts w:eastAsiaTheme="majorEastAsia"/>
              </w:rPr>
              <w:t>GNI per capita</w:t>
            </w:r>
            <w:r>
              <w:rPr>
                <w:vertAlign w:val="superscript"/>
              </w:rPr>
              <w:footnoteReference w:id="8"/>
            </w:r>
          </w:p>
        </w:tc>
        <w:tc>
          <w:tcPr>
            <w:tcW w:w="895" w:type="dxa"/>
            <w:vAlign w:val="center"/>
            <w:hideMark/>
          </w:tcPr>
          <w:p w14:paraId="1A245D7D" w14:textId="38C1EDCF" w:rsidR="00CD213E" w:rsidRPr="00CD213E" w:rsidRDefault="00CD213E" w:rsidP="00CD213E">
            <w:pPr>
              <w:spacing w:before="40" w:after="40"/>
              <w:jc w:val="center"/>
              <w:rPr>
                <w:b/>
                <w:bCs/>
              </w:rPr>
            </w:pPr>
            <w:r w:rsidRPr="00CD213E">
              <w:rPr>
                <w:rStyle w:val="Strong"/>
                <w:rFonts w:eastAsiaTheme="majorEastAsia"/>
              </w:rPr>
              <w:t>N firms</w:t>
            </w:r>
          </w:p>
        </w:tc>
      </w:tr>
      <w:tr w:rsidR="00CD213E" w14:paraId="371988EA" w14:textId="77777777" w:rsidTr="00CD213E">
        <w:tc>
          <w:tcPr>
            <w:tcW w:w="0" w:type="auto"/>
            <w:hideMark/>
          </w:tcPr>
          <w:p w14:paraId="61353BDE" w14:textId="77777777" w:rsidR="00CD213E" w:rsidRPr="00CD213E" w:rsidRDefault="00CD213E" w:rsidP="00CD213E">
            <w:pPr>
              <w:spacing w:before="40" w:after="40"/>
              <w:jc w:val="center"/>
              <w:rPr>
                <w:b/>
                <w:bCs/>
              </w:rPr>
            </w:pPr>
            <w:r w:rsidRPr="00CD213E">
              <w:rPr>
                <w:b/>
                <w:bCs/>
              </w:rPr>
              <w:t>Bahrain</w:t>
            </w:r>
          </w:p>
        </w:tc>
        <w:tc>
          <w:tcPr>
            <w:tcW w:w="0" w:type="auto"/>
            <w:vAlign w:val="center"/>
            <w:hideMark/>
          </w:tcPr>
          <w:p w14:paraId="5246B02E" w14:textId="77777777" w:rsidR="00CD213E" w:rsidRDefault="00CD213E" w:rsidP="00CD213E">
            <w:pPr>
              <w:spacing w:before="40" w:after="40"/>
              <w:jc w:val="center"/>
            </w:pPr>
            <w:r>
              <w:t>Y</w:t>
            </w:r>
          </w:p>
        </w:tc>
        <w:tc>
          <w:tcPr>
            <w:tcW w:w="0" w:type="auto"/>
            <w:vAlign w:val="center"/>
            <w:hideMark/>
          </w:tcPr>
          <w:p w14:paraId="7CE1B896" w14:textId="77777777" w:rsidR="00CD213E" w:rsidRDefault="00CD213E" w:rsidP="00CD213E">
            <w:pPr>
              <w:spacing w:before="40" w:after="40"/>
              <w:jc w:val="center"/>
            </w:pPr>
            <w:r>
              <w:t>1</w:t>
            </w:r>
          </w:p>
        </w:tc>
        <w:tc>
          <w:tcPr>
            <w:tcW w:w="0" w:type="auto"/>
            <w:vAlign w:val="center"/>
            <w:hideMark/>
          </w:tcPr>
          <w:p w14:paraId="7A735790" w14:textId="65F085B2" w:rsidR="00CD213E" w:rsidRDefault="00CD213E" w:rsidP="00CD213E">
            <w:pPr>
              <w:spacing w:before="40" w:after="40"/>
              <w:jc w:val="center"/>
              <w:rPr>
                <w:sz w:val="20"/>
                <w:szCs w:val="20"/>
              </w:rPr>
            </w:pPr>
            <w:r>
              <w:rPr>
                <w:sz w:val="20"/>
                <w:szCs w:val="20"/>
              </w:rPr>
              <w:t>16.6%</w:t>
            </w:r>
          </w:p>
        </w:tc>
        <w:tc>
          <w:tcPr>
            <w:tcW w:w="0" w:type="auto"/>
            <w:vAlign w:val="center"/>
            <w:hideMark/>
          </w:tcPr>
          <w:p w14:paraId="35F31FEE" w14:textId="77777777" w:rsidR="00CD213E" w:rsidRDefault="00CD213E" w:rsidP="00CD213E">
            <w:pPr>
              <w:spacing w:before="40" w:after="40"/>
              <w:jc w:val="center"/>
              <w:rPr>
                <w:sz w:val="20"/>
                <w:szCs w:val="20"/>
              </w:rPr>
            </w:pPr>
            <w:r>
              <w:rPr>
                <w:sz w:val="20"/>
                <w:szCs w:val="20"/>
              </w:rPr>
              <w:t>18</w:t>
            </w:r>
          </w:p>
        </w:tc>
        <w:tc>
          <w:tcPr>
            <w:tcW w:w="0" w:type="auto"/>
            <w:vAlign w:val="center"/>
            <w:hideMark/>
          </w:tcPr>
          <w:p w14:paraId="4B1CC799" w14:textId="77777777" w:rsidR="00CD213E" w:rsidRDefault="00CD213E" w:rsidP="00CD213E">
            <w:pPr>
              <w:spacing w:before="40" w:after="40"/>
              <w:jc w:val="center"/>
              <w:rPr>
                <w:sz w:val="20"/>
                <w:szCs w:val="20"/>
              </w:rPr>
            </w:pPr>
            <w:r>
              <w:rPr>
                <w:sz w:val="20"/>
                <w:szCs w:val="20"/>
              </w:rPr>
              <w:t>-0</w:t>
            </w:r>
          </w:p>
        </w:tc>
        <w:tc>
          <w:tcPr>
            <w:tcW w:w="1453" w:type="dxa"/>
            <w:vAlign w:val="center"/>
            <w:hideMark/>
          </w:tcPr>
          <w:p w14:paraId="2A222621" w14:textId="77777777" w:rsidR="00CD213E" w:rsidRDefault="00CD213E" w:rsidP="00CD213E">
            <w:pPr>
              <w:spacing w:before="40" w:after="40"/>
              <w:jc w:val="center"/>
              <w:rPr>
                <w:sz w:val="20"/>
                <w:szCs w:val="20"/>
              </w:rPr>
            </w:pPr>
            <w:r w:rsidRPr="000777CB">
              <w:rPr>
                <w:sz w:val="20"/>
                <w:szCs w:val="20"/>
              </w:rPr>
              <w:t>35,540</w:t>
            </w:r>
          </w:p>
        </w:tc>
        <w:tc>
          <w:tcPr>
            <w:tcW w:w="895" w:type="dxa"/>
            <w:vAlign w:val="center"/>
            <w:hideMark/>
          </w:tcPr>
          <w:p w14:paraId="7B1D88E4" w14:textId="77777777" w:rsidR="00CD213E" w:rsidRPr="00CD213E" w:rsidRDefault="00CD213E" w:rsidP="00CD213E">
            <w:pPr>
              <w:spacing w:before="40" w:after="40"/>
              <w:jc w:val="center"/>
              <w:rPr>
                <w:sz w:val="20"/>
                <w:szCs w:val="20"/>
              </w:rPr>
            </w:pPr>
            <w:r w:rsidRPr="00CD213E">
              <w:rPr>
                <w:color w:val="000000"/>
                <w:sz w:val="18"/>
                <w:szCs w:val="18"/>
              </w:rPr>
              <w:t>16</w:t>
            </w:r>
          </w:p>
        </w:tc>
      </w:tr>
      <w:tr w:rsidR="00CD213E" w14:paraId="3B570B67" w14:textId="77777777" w:rsidTr="00CD213E">
        <w:tc>
          <w:tcPr>
            <w:tcW w:w="0" w:type="auto"/>
            <w:hideMark/>
          </w:tcPr>
          <w:p w14:paraId="69A65D09" w14:textId="77777777" w:rsidR="00CD213E" w:rsidRPr="00CD213E" w:rsidRDefault="00CD213E" w:rsidP="00CD213E">
            <w:pPr>
              <w:spacing w:before="40" w:after="40"/>
              <w:jc w:val="center"/>
              <w:rPr>
                <w:b/>
                <w:bCs/>
              </w:rPr>
            </w:pPr>
            <w:r w:rsidRPr="00CD213E">
              <w:rPr>
                <w:b/>
                <w:bCs/>
              </w:rPr>
              <w:t>Egypt</w:t>
            </w:r>
          </w:p>
        </w:tc>
        <w:tc>
          <w:tcPr>
            <w:tcW w:w="0" w:type="auto"/>
            <w:vAlign w:val="center"/>
            <w:hideMark/>
          </w:tcPr>
          <w:p w14:paraId="2E4C0EEB" w14:textId="77777777" w:rsidR="00CD213E" w:rsidRDefault="00CD213E" w:rsidP="00CD213E">
            <w:pPr>
              <w:spacing w:before="40" w:after="40"/>
              <w:jc w:val="center"/>
            </w:pPr>
            <w:r>
              <w:t>N</w:t>
            </w:r>
          </w:p>
        </w:tc>
        <w:tc>
          <w:tcPr>
            <w:tcW w:w="0" w:type="auto"/>
            <w:vAlign w:val="center"/>
            <w:hideMark/>
          </w:tcPr>
          <w:p w14:paraId="36E50F62" w14:textId="77777777" w:rsidR="00CD213E" w:rsidRDefault="00CD213E" w:rsidP="00CD213E">
            <w:pPr>
              <w:spacing w:before="40" w:after="40"/>
              <w:jc w:val="center"/>
            </w:pPr>
            <w:r>
              <w:t>-0</w:t>
            </w:r>
          </w:p>
        </w:tc>
        <w:tc>
          <w:tcPr>
            <w:tcW w:w="0" w:type="auto"/>
            <w:vAlign w:val="center"/>
            <w:hideMark/>
          </w:tcPr>
          <w:p w14:paraId="0C8BFD6B" w14:textId="31CCFE4D" w:rsidR="00CD213E" w:rsidRDefault="00CD213E" w:rsidP="00CD213E">
            <w:pPr>
              <w:spacing w:before="40" w:after="40"/>
              <w:jc w:val="center"/>
              <w:rPr>
                <w:sz w:val="20"/>
                <w:szCs w:val="20"/>
              </w:rPr>
            </w:pPr>
            <w:r>
              <w:rPr>
                <w:sz w:val="20"/>
                <w:szCs w:val="20"/>
              </w:rPr>
              <w:t>5.1%</w:t>
            </w:r>
          </w:p>
        </w:tc>
        <w:tc>
          <w:tcPr>
            <w:tcW w:w="0" w:type="auto"/>
            <w:vAlign w:val="center"/>
            <w:hideMark/>
          </w:tcPr>
          <w:p w14:paraId="7185AB0A" w14:textId="77777777" w:rsidR="00CD213E" w:rsidRDefault="00CD213E" w:rsidP="00CD213E">
            <w:pPr>
              <w:spacing w:before="40" w:after="40"/>
              <w:jc w:val="center"/>
              <w:rPr>
                <w:sz w:val="20"/>
                <w:szCs w:val="20"/>
              </w:rPr>
            </w:pPr>
            <w:r>
              <w:rPr>
                <w:sz w:val="20"/>
                <w:szCs w:val="20"/>
              </w:rPr>
              <w:t>20</w:t>
            </w:r>
          </w:p>
        </w:tc>
        <w:tc>
          <w:tcPr>
            <w:tcW w:w="0" w:type="auto"/>
            <w:vAlign w:val="center"/>
            <w:hideMark/>
          </w:tcPr>
          <w:p w14:paraId="2FFF8F2D" w14:textId="77777777" w:rsidR="00CD213E" w:rsidRDefault="00CD213E" w:rsidP="00CD213E">
            <w:pPr>
              <w:spacing w:before="40" w:after="40"/>
              <w:jc w:val="center"/>
              <w:rPr>
                <w:sz w:val="20"/>
                <w:szCs w:val="20"/>
              </w:rPr>
            </w:pPr>
            <w:r>
              <w:rPr>
                <w:sz w:val="20"/>
                <w:szCs w:val="20"/>
              </w:rPr>
              <w:t>-1</w:t>
            </w:r>
          </w:p>
        </w:tc>
        <w:tc>
          <w:tcPr>
            <w:tcW w:w="1453" w:type="dxa"/>
            <w:vAlign w:val="center"/>
            <w:hideMark/>
          </w:tcPr>
          <w:p w14:paraId="7A248471" w14:textId="77777777" w:rsidR="00CD213E" w:rsidRDefault="00CD213E" w:rsidP="00CD213E">
            <w:pPr>
              <w:spacing w:before="40" w:after="40"/>
              <w:jc w:val="center"/>
              <w:rPr>
                <w:sz w:val="20"/>
                <w:szCs w:val="20"/>
              </w:rPr>
            </w:pPr>
            <w:r w:rsidRPr="000777CB">
              <w:rPr>
                <w:sz w:val="20"/>
                <w:szCs w:val="20"/>
              </w:rPr>
              <w:t>3,840</w:t>
            </w:r>
          </w:p>
        </w:tc>
        <w:tc>
          <w:tcPr>
            <w:tcW w:w="895" w:type="dxa"/>
            <w:vAlign w:val="center"/>
            <w:hideMark/>
          </w:tcPr>
          <w:p w14:paraId="65F9CDBF" w14:textId="77777777" w:rsidR="00CD213E" w:rsidRPr="00CD213E" w:rsidRDefault="00CD213E" w:rsidP="00CD213E">
            <w:pPr>
              <w:spacing w:before="40" w:after="40"/>
              <w:jc w:val="center"/>
              <w:rPr>
                <w:sz w:val="20"/>
                <w:szCs w:val="20"/>
              </w:rPr>
            </w:pPr>
            <w:r w:rsidRPr="00CD213E">
              <w:rPr>
                <w:color w:val="000000"/>
                <w:sz w:val="18"/>
                <w:szCs w:val="18"/>
              </w:rPr>
              <w:t>66</w:t>
            </w:r>
          </w:p>
        </w:tc>
      </w:tr>
      <w:tr w:rsidR="00CD213E" w14:paraId="55DF6ACF" w14:textId="77777777" w:rsidTr="00CD213E">
        <w:tc>
          <w:tcPr>
            <w:tcW w:w="0" w:type="auto"/>
            <w:hideMark/>
          </w:tcPr>
          <w:p w14:paraId="155D414B" w14:textId="77777777" w:rsidR="00CD213E" w:rsidRPr="00CD213E" w:rsidRDefault="00CD213E" w:rsidP="00CD213E">
            <w:pPr>
              <w:spacing w:before="40" w:after="40"/>
              <w:jc w:val="center"/>
              <w:rPr>
                <w:b/>
                <w:bCs/>
              </w:rPr>
            </w:pPr>
            <w:r w:rsidRPr="00CD213E">
              <w:rPr>
                <w:b/>
                <w:bCs/>
              </w:rPr>
              <w:t>Iraq</w:t>
            </w:r>
          </w:p>
        </w:tc>
        <w:tc>
          <w:tcPr>
            <w:tcW w:w="0" w:type="auto"/>
            <w:vAlign w:val="center"/>
            <w:hideMark/>
          </w:tcPr>
          <w:p w14:paraId="359E89AD" w14:textId="77777777" w:rsidR="00CD213E" w:rsidRDefault="00CD213E" w:rsidP="00CD213E">
            <w:pPr>
              <w:spacing w:before="40" w:after="40"/>
              <w:jc w:val="center"/>
            </w:pPr>
            <w:r>
              <w:t>N</w:t>
            </w:r>
          </w:p>
        </w:tc>
        <w:tc>
          <w:tcPr>
            <w:tcW w:w="0" w:type="auto"/>
            <w:vAlign w:val="center"/>
            <w:hideMark/>
          </w:tcPr>
          <w:p w14:paraId="1E148ADD" w14:textId="77777777" w:rsidR="00CD213E" w:rsidRDefault="00CD213E" w:rsidP="00CD213E">
            <w:pPr>
              <w:spacing w:before="40" w:after="40"/>
              <w:jc w:val="center"/>
            </w:pPr>
            <w:r>
              <w:t>-1</w:t>
            </w:r>
          </w:p>
        </w:tc>
        <w:tc>
          <w:tcPr>
            <w:tcW w:w="0" w:type="auto"/>
            <w:vAlign w:val="center"/>
            <w:hideMark/>
          </w:tcPr>
          <w:p w14:paraId="15201209" w14:textId="2044A7A4" w:rsidR="00CD213E" w:rsidRDefault="00CD213E" w:rsidP="00CD213E">
            <w:pPr>
              <w:spacing w:before="40" w:after="40"/>
              <w:jc w:val="center"/>
              <w:rPr>
                <w:sz w:val="20"/>
                <w:szCs w:val="20"/>
              </w:rPr>
            </w:pPr>
            <w:r>
              <w:rPr>
                <w:sz w:val="20"/>
                <w:szCs w:val="20"/>
              </w:rPr>
              <w:t>43.4%</w:t>
            </w:r>
          </w:p>
        </w:tc>
        <w:tc>
          <w:tcPr>
            <w:tcW w:w="0" w:type="auto"/>
            <w:vAlign w:val="center"/>
            <w:hideMark/>
          </w:tcPr>
          <w:p w14:paraId="0A609D45" w14:textId="77777777" w:rsidR="00CD213E" w:rsidRDefault="00CD213E" w:rsidP="00CD213E">
            <w:pPr>
              <w:spacing w:before="40" w:after="40"/>
              <w:jc w:val="center"/>
              <w:rPr>
                <w:sz w:val="20"/>
                <w:szCs w:val="20"/>
              </w:rPr>
            </w:pPr>
            <w:r>
              <w:rPr>
                <w:sz w:val="20"/>
                <w:szCs w:val="20"/>
              </w:rPr>
              <w:t>18</w:t>
            </w:r>
          </w:p>
        </w:tc>
        <w:tc>
          <w:tcPr>
            <w:tcW w:w="0" w:type="auto"/>
            <w:vAlign w:val="center"/>
            <w:hideMark/>
          </w:tcPr>
          <w:p w14:paraId="377E03CF" w14:textId="77777777" w:rsidR="00CD213E" w:rsidRDefault="00CD213E" w:rsidP="00CD213E">
            <w:pPr>
              <w:spacing w:before="40" w:after="40"/>
              <w:jc w:val="center"/>
              <w:rPr>
                <w:sz w:val="20"/>
                <w:szCs w:val="20"/>
              </w:rPr>
            </w:pPr>
            <w:r>
              <w:rPr>
                <w:sz w:val="20"/>
                <w:szCs w:val="20"/>
              </w:rPr>
              <w:t>-2</w:t>
            </w:r>
          </w:p>
        </w:tc>
        <w:tc>
          <w:tcPr>
            <w:tcW w:w="1453" w:type="dxa"/>
            <w:vAlign w:val="center"/>
            <w:hideMark/>
          </w:tcPr>
          <w:p w14:paraId="7864E853" w14:textId="77777777" w:rsidR="00CD213E" w:rsidRDefault="00CD213E" w:rsidP="00CD213E">
            <w:pPr>
              <w:spacing w:before="40" w:after="40"/>
              <w:jc w:val="center"/>
              <w:rPr>
                <w:sz w:val="20"/>
                <w:szCs w:val="20"/>
              </w:rPr>
            </w:pPr>
            <w:r w:rsidRPr="000777CB">
              <w:rPr>
                <w:sz w:val="20"/>
                <w:szCs w:val="20"/>
              </w:rPr>
              <w:t>5,920</w:t>
            </w:r>
          </w:p>
        </w:tc>
        <w:tc>
          <w:tcPr>
            <w:tcW w:w="895" w:type="dxa"/>
            <w:vAlign w:val="center"/>
            <w:hideMark/>
          </w:tcPr>
          <w:p w14:paraId="5231A6F8" w14:textId="77777777" w:rsidR="00CD213E" w:rsidRPr="00CD213E" w:rsidRDefault="00CD213E" w:rsidP="00CD213E">
            <w:pPr>
              <w:spacing w:before="40" w:after="40"/>
              <w:jc w:val="center"/>
              <w:rPr>
                <w:sz w:val="20"/>
                <w:szCs w:val="20"/>
              </w:rPr>
            </w:pPr>
            <w:r w:rsidRPr="00CD213E">
              <w:rPr>
                <w:color w:val="000000"/>
                <w:sz w:val="18"/>
                <w:szCs w:val="18"/>
              </w:rPr>
              <w:t>19</w:t>
            </w:r>
          </w:p>
        </w:tc>
      </w:tr>
      <w:tr w:rsidR="00CD213E" w14:paraId="2F7D46A4" w14:textId="77777777" w:rsidTr="00CD213E">
        <w:tc>
          <w:tcPr>
            <w:tcW w:w="0" w:type="auto"/>
            <w:hideMark/>
          </w:tcPr>
          <w:p w14:paraId="7711648F" w14:textId="77777777" w:rsidR="00CD213E" w:rsidRPr="00CD213E" w:rsidRDefault="00CD213E" w:rsidP="00CD213E">
            <w:pPr>
              <w:spacing w:before="40" w:after="40"/>
              <w:jc w:val="center"/>
              <w:rPr>
                <w:b/>
                <w:bCs/>
              </w:rPr>
            </w:pPr>
            <w:r w:rsidRPr="00CD213E">
              <w:rPr>
                <w:b/>
                <w:bCs/>
              </w:rPr>
              <w:t>Israel</w:t>
            </w:r>
          </w:p>
        </w:tc>
        <w:tc>
          <w:tcPr>
            <w:tcW w:w="0" w:type="auto"/>
            <w:vAlign w:val="center"/>
            <w:hideMark/>
          </w:tcPr>
          <w:p w14:paraId="714BA839" w14:textId="77777777" w:rsidR="00CD213E" w:rsidRDefault="00CD213E" w:rsidP="00CD213E">
            <w:pPr>
              <w:spacing w:before="40" w:after="40"/>
              <w:jc w:val="center"/>
            </w:pPr>
            <w:r>
              <w:t>N</w:t>
            </w:r>
          </w:p>
        </w:tc>
        <w:tc>
          <w:tcPr>
            <w:tcW w:w="0" w:type="auto"/>
            <w:vAlign w:val="center"/>
            <w:hideMark/>
          </w:tcPr>
          <w:p w14:paraId="7E8190A8" w14:textId="77777777" w:rsidR="00CD213E" w:rsidRDefault="00CD213E" w:rsidP="00CD213E">
            <w:pPr>
              <w:spacing w:before="40" w:after="40"/>
              <w:jc w:val="center"/>
            </w:pPr>
            <w:r>
              <w:t>1</w:t>
            </w:r>
          </w:p>
        </w:tc>
        <w:tc>
          <w:tcPr>
            <w:tcW w:w="0" w:type="auto"/>
            <w:vAlign w:val="center"/>
            <w:hideMark/>
          </w:tcPr>
          <w:p w14:paraId="4B978A45" w14:textId="04E005FD" w:rsidR="00CD213E" w:rsidRDefault="00CD213E" w:rsidP="00CD213E">
            <w:pPr>
              <w:spacing w:before="40" w:after="40"/>
              <w:jc w:val="center"/>
              <w:rPr>
                <w:sz w:val="20"/>
                <w:szCs w:val="20"/>
              </w:rPr>
            </w:pPr>
            <w:r>
              <w:rPr>
                <w:sz w:val="20"/>
                <w:szCs w:val="20"/>
              </w:rPr>
              <w:t>0.4%</w:t>
            </w:r>
          </w:p>
        </w:tc>
        <w:tc>
          <w:tcPr>
            <w:tcW w:w="0" w:type="auto"/>
            <w:vAlign w:val="center"/>
            <w:hideMark/>
          </w:tcPr>
          <w:p w14:paraId="0FA0620B" w14:textId="77777777" w:rsidR="00CD213E" w:rsidRDefault="00CD213E" w:rsidP="00CD213E">
            <w:pPr>
              <w:spacing w:before="40" w:after="40"/>
              <w:jc w:val="center"/>
              <w:rPr>
                <w:sz w:val="20"/>
                <w:szCs w:val="20"/>
              </w:rPr>
            </w:pPr>
            <w:r>
              <w:rPr>
                <w:sz w:val="20"/>
                <w:szCs w:val="20"/>
              </w:rPr>
              <w:t>47</w:t>
            </w:r>
          </w:p>
        </w:tc>
        <w:tc>
          <w:tcPr>
            <w:tcW w:w="0" w:type="auto"/>
            <w:vAlign w:val="center"/>
            <w:hideMark/>
          </w:tcPr>
          <w:p w14:paraId="16DE05D5" w14:textId="77777777" w:rsidR="00CD213E" w:rsidRDefault="00CD213E" w:rsidP="00CD213E">
            <w:pPr>
              <w:spacing w:before="40" w:after="40"/>
              <w:jc w:val="center"/>
              <w:rPr>
                <w:sz w:val="20"/>
                <w:szCs w:val="20"/>
              </w:rPr>
            </w:pPr>
            <w:r>
              <w:rPr>
                <w:sz w:val="20"/>
                <w:szCs w:val="20"/>
              </w:rPr>
              <w:t>-1</w:t>
            </w:r>
          </w:p>
        </w:tc>
        <w:tc>
          <w:tcPr>
            <w:tcW w:w="1453" w:type="dxa"/>
            <w:vAlign w:val="center"/>
            <w:hideMark/>
          </w:tcPr>
          <w:p w14:paraId="5E927AF1" w14:textId="77777777" w:rsidR="00CD213E" w:rsidRDefault="00CD213E" w:rsidP="00CD213E">
            <w:pPr>
              <w:spacing w:before="40" w:after="40"/>
              <w:jc w:val="center"/>
              <w:rPr>
                <w:sz w:val="20"/>
                <w:szCs w:val="20"/>
              </w:rPr>
            </w:pPr>
            <w:r w:rsidRPr="000777CB">
              <w:rPr>
                <w:sz w:val="20"/>
                <w:szCs w:val="20"/>
              </w:rPr>
              <w:t>54,280</w:t>
            </w:r>
          </w:p>
        </w:tc>
        <w:tc>
          <w:tcPr>
            <w:tcW w:w="895" w:type="dxa"/>
            <w:vAlign w:val="center"/>
            <w:hideMark/>
          </w:tcPr>
          <w:p w14:paraId="34836317" w14:textId="77777777" w:rsidR="00CD213E" w:rsidRPr="00CD213E" w:rsidRDefault="00CD213E" w:rsidP="00CD213E">
            <w:pPr>
              <w:spacing w:before="40" w:after="40"/>
              <w:jc w:val="center"/>
              <w:rPr>
                <w:sz w:val="20"/>
                <w:szCs w:val="20"/>
              </w:rPr>
            </w:pPr>
            <w:r w:rsidRPr="00CD213E">
              <w:rPr>
                <w:color w:val="000000"/>
                <w:sz w:val="18"/>
                <w:szCs w:val="18"/>
              </w:rPr>
              <w:t>160</w:t>
            </w:r>
          </w:p>
        </w:tc>
      </w:tr>
      <w:tr w:rsidR="00CD213E" w14:paraId="156A31FD" w14:textId="77777777" w:rsidTr="00CD213E">
        <w:tc>
          <w:tcPr>
            <w:tcW w:w="0" w:type="auto"/>
            <w:hideMark/>
          </w:tcPr>
          <w:p w14:paraId="740BE0E2" w14:textId="77777777" w:rsidR="00CD213E" w:rsidRPr="00CD213E" w:rsidRDefault="00CD213E" w:rsidP="00CD213E">
            <w:pPr>
              <w:spacing w:before="40" w:after="40"/>
              <w:jc w:val="center"/>
              <w:rPr>
                <w:b/>
                <w:bCs/>
              </w:rPr>
            </w:pPr>
            <w:r w:rsidRPr="00CD213E">
              <w:rPr>
                <w:b/>
                <w:bCs/>
              </w:rPr>
              <w:t>Jordan</w:t>
            </w:r>
          </w:p>
        </w:tc>
        <w:tc>
          <w:tcPr>
            <w:tcW w:w="0" w:type="auto"/>
            <w:vAlign w:val="center"/>
            <w:hideMark/>
          </w:tcPr>
          <w:p w14:paraId="06BF401B" w14:textId="77777777" w:rsidR="00CD213E" w:rsidRDefault="00CD213E" w:rsidP="00CD213E">
            <w:pPr>
              <w:spacing w:before="40" w:after="40"/>
              <w:jc w:val="center"/>
            </w:pPr>
            <w:r>
              <w:t>N</w:t>
            </w:r>
          </w:p>
        </w:tc>
        <w:tc>
          <w:tcPr>
            <w:tcW w:w="0" w:type="auto"/>
            <w:vAlign w:val="center"/>
            <w:hideMark/>
          </w:tcPr>
          <w:p w14:paraId="720B04FA" w14:textId="77777777" w:rsidR="00CD213E" w:rsidRDefault="00CD213E" w:rsidP="00CD213E">
            <w:pPr>
              <w:spacing w:before="40" w:after="40"/>
              <w:jc w:val="center"/>
            </w:pPr>
            <w:r>
              <w:t>0</w:t>
            </w:r>
          </w:p>
        </w:tc>
        <w:tc>
          <w:tcPr>
            <w:tcW w:w="0" w:type="auto"/>
            <w:vAlign w:val="center"/>
            <w:hideMark/>
          </w:tcPr>
          <w:p w14:paraId="2BCADB5D" w14:textId="2152725C" w:rsidR="00CD213E" w:rsidRDefault="00CD213E" w:rsidP="00CD213E">
            <w:pPr>
              <w:spacing w:before="40" w:after="40"/>
              <w:jc w:val="center"/>
              <w:rPr>
                <w:sz w:val="20"/>
                <w:szCs w:val="20"/>
              </w:rPr>
            </w:pPr>
            <w:r>
              <w:rPr>
                <w:sz w:val="20"/>
                <w:szCs w:val="20"/>
              </w:rPr>
              <w:t>0.1%</w:t>
            </w:r>
          </w:p>
        </w:tc>
        <w:tc>
          <w:tcPr>
            <w:tcW w:w="0" w:type="auto"/>
            <w:vAlign w:val="center"/>
            <w:hideMark/>
          </w:tcPr>
          <w:p w14:paraId="204E51E2" w14:textId="77777777" w:rsidR="00CD213E" w:rsidRDefault="00CD213E" w:rsidP="00CD213E">
            <w:pPr>
              <w:spacing w:before="40" w:after="40"/>
              <w:jc w:val="center"/>
              <w:rPr>
                <w:sz w:val="20"/>
                <w:szCs w:val="20"/>
              </w:rPr>
            </w:pPr>
            <w:r>
              <w:rPr>
                <w:sz w:val="20"/>
                <w:szCs w:val="20"/>
              </w:rPr>
              <w:t>39</w:t>
            </w:r>
          </w:p>
        </w:tc>
        <w:tc>
          <w:tcPr>
            <w:tcW w:w="0" w:type="auto"/>
            <w:vAlign w:val="center"/>
            <w:hideMark/>
          </w:tcPr>
          <w:p w14:paraId="77A80F6F" w14:textId="77777777" w:rsidR="00CD213E" w:rsidRDefault="00CD213E" w:rsidP="00CD213E">
            <w:pPr>
              <w:spacing w:before="40" w:after="40"/>
              <w:jc w:val="center"/>
              <w:rPr>
                <w:sz w:val="20"/>
                <w:szCs w:val="20"/>
              </w:rPr>
            </w:pPr>
            <w:r>
              <w:rPr>
                <w:sz w:val="20"/>
                <w:szCs w:val="20"/>
              </w:rPr>
              <w:t>-0</w:t>
            </w:r>
          </w:p>
        </w:tc>
        <w:tc>
          <w:tcPr>
            <w:tcW w:w="1453" w:type="dxa"/>
            <w:vAlign w:val="center"/>
            <w:hideMark/>
          </w:tcPr>
          <w:p w14:paraId="05650858" w14:textId="77777777" w:rsidR="00CD213E" w:rsidRDefault="00CD213E" w:rsidP="00CD213E">
            <w:pPr>
              <w:spacing w:before="40" w:after="40"/>
              <w:jc w:val="center"/>
              <w:rPr>
                <w:sz w:val="20"/>
                <w:szCs w:val="20"/>
              </w:rPr>
            </w:pPr>
            <w:r w:rsidRPr="000777CB">
              <w:rPr>
                <w:sz w:val="20"/>
                <w:szCs w:val="20"/>
              </w:rPr>
              <w:t>4,450</w:t>
            </w:r>
          </w:p>
        </w:tc>
        <w:tc>
          <w:tcPr>
            <w:tcW w:w="895" w:type="dxa"/>
            <w:vAlign w:val="center"/>
            <w:hideMark/>
          </w:tcPr>
          <w:p w14:paraId="0FFDC48E" w14:textId="77777777" w:rsidR="00CD213E" w:rsidRPr="00CD213E" w:rsidRDefault="00CD213E" w:rsidP="00CD213E">
            <w:pPr>
              <w:spacing w:before="40" w:after="40"/>
              <w:jc w:val="center"/>
              <w:rPr>
                <w:sz w:val="20"/>
                <w:szCs w:val="20"/>
              </w:rPr>
            </w:pPr>
            <w:r w:rsidRPr="00CD213E">
              <w:rPr>
                <w:color w:val="000000"/>
                <w:sz w:val="18"/>
                <w:szCs w:val="18"/>
              </w:rPr>
              <w:t>47</w:t>
            </w:r>
          </w:p>
        </w:tc>
      </w:tr>
      <w:tr w:rsidR="00CD213E" w14:paraId="0717D5E7" w14:textId="77777777" w:rsidTr="00CD213E">
        <w:tc>
          <w:tcPr>
            <w:tcW w:w="0" w:type="auto"/>
            <w:hideMark/>
          </w:tcPr>
          <w:p w14:paraId="260C6571" w14:textId="77777777" w:rsidR="00CD213E" w:rsidRPr="00CD213E" w:rsidRDefault="00CD213E" w:rsidP="00CD213E">
            <w:pPr>
              <w:spacing w:before="40" w:after="40"/>
              <w:jc w:val="center"/>
              <w:rPr>
                <w:b/>
                <w:bCs/>
              </w:rPr>
            </w:pPr>
            <w:r w:rsidRPr="00CD213E">
              <w:rPr>
                <w:b/>
                <w:bCs/>
              </w:rPr>
              <w:t>Kuwait</w:t>
            </w:r>
          </w:p>
        </w:tc>
        <w:tc>
          <w:tcPr>
            <w:tcW w:w="0" w:type="auto"/>
            <w:vAlign w:val="center"/>
            <w:hideMark/>
          </w:tcPr>
          <w:p w14:paraId="449C722C" w14:textId="77777777" w:rsidR="00CD213E" w:rsidRDefault="00CD213E" w:rsidP="00CD213E">
            <w:pPr>
              <w:spacing w:before="40" w:after="40"/>
              <w:jc w:val="center"/>
            </w:pPr>
            <w:r>
              <w:t>Y</w:t>
            </w:r>
          </w:p>
        </w:tc>
        <w:tc>
          <w:tcPr>
            <w:tcW w:w="0" w:type="auto"/>
            <w:vAlign w:val="center"/>
            <w:hideMark/>
          </w:tcPr>
          <w:p w14:paraId="40D4DED2" w14:textId="77777777" w:rsidR="00CD213E" w:rsidRDefault="00CD213E" w:rsidP="00CD213E">
            <w:pPr>
              <w:spacing w:before="40" w:after="40"/>
              <w:jc w:val="center"/>
            </w:pPr>
            <w:r>
              <w:t>0</w:t>
            </w:r>
          </w:p>
        </w:tc>
        <w:tc>
          <w:tcPr>
            <w:tcW w:w="0" w:type="auto"/>
            <w:vAlign w:val="center"/>
            <w:hideMark/>
          </w:tcPr>
          <w:p w14:paraId="4174FA27" w14:textId="72F9F6C8" w:rsidR="00CD213E" w:rsidRDefault="00CD213E" w:rsidP="00CD213E">
            <w:pPr>
              <w:spacing w:before="40" w:after="40"/>
              <w:jc w:val="center"/>
              <w:rPr>
                <w:sz w:val="20"/>
                <w:szCs w:val="20"/>
              </w:rPr>
            </w:pPr>
            <w:r>
              <w:rPr>
                <w:sz w:val="20"/>
                <w:szCs w:val="20"/>
              </w:rPr>
              <w:t>29.3%</w:t>
            </w:r>
          </w:p>
        </w:tc>
        <w:tc>
          <w:tcPr>
            <w:tcW w:w="0" w:type="auto"/>
            <w:vAlign w:val="center"/>
            <w:hideMark/>
          </w:tcPr>
          <w:p w14:paraId="3FAD782B" w14:textId="77777777" w:rsidR="00CD213E" w:rsidRDefault="00CD213E" w:rsidP="00CD213E">
            <w:pPr>
              <w:spacing w:before="40" w:after="40"/>
              <w:jc w:val="center"/>
              <w:rPr>
                <w:sz w:val="20"/>
                <w:szCs w:val="20"/>
              </w:rPr>
            </w:pPr>
            <w:r>
              <w:rPr>
                <w:sz w:val="20"/>
                <w:szCs w:val="20"/>
              </w:rPr>
              <w:t>27</w:t>
            </w:r>
          </w:p>
        </w:tc>
        <w:tc>
          <w:tcPr>
            <w:tcW w:w="0" w:type="auto"/>
            <w:vAlign w:val="center"/>
            <w:hideMark/>
          </w:tcPr>
          <w:p w14:paraId="7CE7E6D4" w14:textId="77777777" w:rsidR="00CD213E" w:rsidRDefault="00CD213E" w:rsidP="00CD213E">
            <w:pPr>
              <w:spacing w:before="40" w:after="40"/>
              <w:jc w:val="center"/>
              <w:rPr>
                <w:sz w:val="20"/>
                <w:szCs w:val="20"/>
              </w:rPr>
            </w:pPr>
            <w:r>
              <w:rPr>
                <w:sz w:val="20"/>
                <w:szCs w:val="20"/>
              </w:rPr>
              <w:t>0</w:t>
            </w:r>
          </w:p>
        </w:tc>
        <w:tc>
          <w:tcPr>
            <w:tcW w:w="1453" w:type="dxa"/>
            <w:vAlign w:val="center"/>
            <w:hideMark/>
          </w:tcPr>
          <w:p w14:paraId="678F51B8" w14:textId="77777777" w:rsidR="00CD213E" w:rsidRDefault="00CD213E" w:rsidP="00CD213E">
            <w:pPr>
              <w:spacing w:before="40" w:after="40"/>
              <w:jc w:val="center"/>
              <w:rPr>
                <w:sz w:val="20"/>
                <w:szCs w:val="20"/>
              </w:rPr>
            </w:pPr>
            <w:r w:rsidRPr="000777CB">
              <w:rPr>
                <w:sz w:val="20"/>
                <w:szCs w:val="20"/>
              </w:rPr>
              <w:t>42,030</w:t>
            </w:r>
          </w:p>
        </w:tc>
        <w:tc>
          <w:tcPr>
            <w:tcW w:w="895" w:type="dxa"/>
            <w:vAlign w:val="center"/>
            <w:hideMark/>
          </w:tcPr>
          <w:p w14:paraId="003EDFAE" w14:textId="77777777" w:rsidR="00CD213E" w:rsidRPr="00CD213E" w:rsidRDefault="00CD213E" w:rsidP="00CD213E">
            <w:pPr>
              <w:spacing w:before="40" w:after="40"/>
              <w:jc w:val="center"/>
              <w:rPr>
                <w:sz w:val="20"/>
                <w:szCs w:val="20"/>
              </w:rPr>
            </w:pPr>
            <w:r w:rsidRPr="00CD213E">
              <w:rPr>
                <w:color w:val="000000"/>
                <w:sz w:val="18"/>
                <w:szCs w:val="18"/>
              </w:rPr>
              <w:t>50</w:t>
            </w:r>
          </w:p>
        </w:tc>
      </w:tr>
      <w:tr w:rsidR="00CD213E" w14:paraId="1C3774AC" w14:textId="77777777" w:rsidTr="00CD213E">
        <w:tc>
          <w:tcPr>
            <w:tcW w:w="0" w:type="auto"/>
            <w:hideMark/>
          </w:tcPr>
          <w:p w14:paraId="3875C188" w14:textId="77777777" w:rsidR="00CD213E" w:rsidRPr="00CD213E" w:rsidRDefault="00CD213E" w:rsidP="00CD213E">
            <w:pPr>
              <w:spacing w:before="40" w:after="40"/>
              <w:jc w:val="center"/>
              <w:rPr>
                <w:b/>
                <w:bCs/>
              </w:rPr>
            </w:pPr>
            <w:r w:rsidRPr="00CD213E">
              <w:rPr>
                <w:b/>
                <w:bCs/>
              </w:rPr>
              <w:t>Lebanon</w:t>
            </w:r>
          </w:p>
        </w:tc>
        <w:tc>
          <w:tcPr>
            <w:tcW w:w="0" w:type="auto"/>
            <w:vAlign w:val="center"/>
            <w:hideMark/>
          </w:tcPr>
          <w:p w14:paraId="188E529E" w14:textId="77777777" w:rsidR="00CD213E" w:rsidRDefault="00CD213E" w:rsidP="00CD213E">
            <w:pPr>
              <w:spacing w:before="40" w:after="40"/>
              <w:jc w:val="center"/>
            </w:pPr>
            <w:r>
              <w:t>N</w:t>
            </w:r>
          </w:p>
        </w:tc>
        <w:tc>
          <w:tcPr>
            <w:tcW w:w="0" w:type="auto"/>
            <w:vAlign w:val="center"/>
            <w:hideMark/>
          </w:tcPr>
          <w:p w14:paraId="2704483F" w14:textId="77777777" w:rsidR="00CD213E" w:rsidRDefault="00CD213E" w:rsidP="00CD213E">
            <w:pPr>
              <w:spacing w:before="40" w:after="40"/>
              <w:jc w:val="center"/>
            </w:pPr>
            <w:r>
              <w:t>-2</w:t>
            </w:r>
          </w:p>
        </w:tc>
        <w:tc>
          <w:tcPr>
            <w:tcW w:w="0" w:type="auto"/>
            <w:vAlign w:val="center"/>
            <w:hideMark/>
          </w:tcPr>
          <w:p w14:paraId="6A547259" w14:textId="7A7D3BCE" w:rsidR="00CD213E" w:rsidRDefault="00CD213E" w:rsidP="00CD213E">
            <w:pPr>
              <w:spacing w:before="40" w:after="40"/>
              <w:jc w:val="center"/>
              <w:rPr>
                <w:sz w:val="20"/>
                <w:szCs w:val="20"/>
              </w:rPr>
            </w:pPr>
            <w:r>
              <w:rPr>
                <w:sz w:val="20"/>
                <w:szCs w:val="20"/>
              </w:rPr>
              <w:t>0.0%</w:t>
            </w:r>
          </w:p>
        </w:tc>
        <w:tc>
          <w:tcPr>
            <w:tcW w:w="0" w:type="auto"/>
            <w:vAlign w:val="center"/>
            <w:hideMark/>
          </w:tcPr>
          <w:p w14:paraId="44B3BBE4" w14:textId="77777777" w:rsidR="00CD213E" w:rsidRDefault="00CD213E" w:rsidP="00CD213E">
            <w:pPr>
              <w:spacing w:before="40" w:after="40"/>
              <w:jc w:val="center"/>
              <w:rPr>
                <w:sz w:val="20"/>
                <w:szCs w:val="20"/>
              </w:rPr>
            </w:pPr>
            <w:r>
              <w:rPr>
                <w:sz w:val="20"/>
                <w:szCs w:val="20"/>
              </w:rPr>
              <w:t>44</w:t>
            </w:r>
          </w:p>
        </w:tc>
        <w:tc>
          <w:tcPr>
            <w:tcW w:w="0" w:type="auto"/>
            <w:vAlign w:val="center"/>
            <w:hideMark/>
          </w:tcPr>
          <w:p w14:paraId="3E3BE176" w14:textId="77777777" w:rsidR="00CD213E" w:rsidRDefault="00CD213E" w:rsidP="00CD213E">
            <w:pPr>
              <w:spacing w:before="40" w:after="40"/>
              <w:jc w:val="center"/>
              <w:rPr>
                <w:sz w:val="20"/>
                <w:szCs w:val="20"/>
              </w:rPr>
            </w:pPr>
            <w:r>
              <w:rPr>
                <w:sz w:val="20"/>
                <w:szCs w:val="20"/>
              </w:rPr>
              <w:t>-2</w:t>
            </w:r>
          </w:p>
        </w:tc>
        <w:tc>
          <w:tcPr>
            <w:tcW w:w="1453" w:type="dxa"/>
            <w:vAlign w:val="center"/>
            <w:hideMark/>
          </w:tcPr>
          <w:p w14:paraId="1A453839" w14:textId="77777777" w:rsidR="00CD213E" w:rsidRDefault="00CD213E" w:rsidP="00CD213E">
            <w:pPr>
              <w:spacing w:before="40" w:after="40"/>
              <w:jc w:val="center"/>
              <w:rPr>
                <w:sz w:val="20"/>
                <w:szCs w:val="20"/>
              </w:rPr>
            </w:pPr>
            <w:r w:rsidRPr="000777CB">
              <w:rPr>
                <w:sz w:val="20"/>
                <w:szCs w:val="20"/>
              </w:rPr>
              <w:t>3,730</w:t>
            </w:r>
          </w:p>
        </w:tc>
        <w:tc>
          <w:tcPr>
            <w:tcW w:w="895" w:type="dxa"/>
            <w:vAlign w:val="center"/>
            <w:hideMark/>
          </w:tcPr>
          <w:p w14:paraId="6C8A99B4" w14:textId="77777777" w:rsidR="00CD213E" w:rsidRPr="00CD213E" w:rsidRDefault="00CD213E" w:rsidP="00CD213E">
            <w:pPr>
              <w:spacing w:before="40" w:after="40"/>
              <w:jc w:val="center"/>
              <w:rPr>
                <w:sz w:val="20"/>
                <w:szCs w:val="20"/>
              </w:rPr>
            </w:pPr>
            <w:r w:rsidRPr="00CD213E">
              <w:rPr>
                <w:color w:val="000000"/>
                <w:sz w:val="18"/>
                <w:szCs w:val="18"/>
              </w:rPr>
              <w:t>3</w:t>
            </w:r>
          </w:p>
        </w:tc>
      </w:tr>
      <w:tr w:rsidR="00CD213E" w14:paraId="6F4E784B" w14:textId="77777777" w:rsidTr="00CD213E">
        <w:tc>
          <w:tcPr>
            <w:tcW w:w="0" w:type="auto"/>
            <w:hideMark/>
          </w:tcPr>
          <w:p w14:paraId="16839BB7" w14:textId="77777777" w:rsidR="00CD213E" w:rsidRPr="00CD213E" w:rsidRDefault="00CD213E" w:rsidP="00CD213E">
            <w:pPr>
              <w:spacing w:before="40" w:after="40"/>
              <w:jc w:val="center"/>
              <w:rPr>
                <w:b/>
                <w:bCs/>
              </w:rPr>
            </w:pPr>
            <w:r w:rsidRPr="00CD213E">
              <w:rPr>
                <w:b/>
                <w:bCs/>
              </w:rPr>
              <w:t>Morocco</w:t>
            </w:r>
          </w:p>
        </w:tc>
        <w:tc>
          <w:tcPr>
            <w:tcW w:w="0" w:type="auto"/>
            <w:vAlign w:val="center"/>
            <w:hideMark/>
          </w:tcPr>
          <w:p w14:paraId="51F97BEB" w14:textId="77777777" w:rsidR="00CD213E" w:rsidRDefault="00CD213E" w:rsidP="00CD213E">
            <w:pPr>
              <w:spacing w:before="40" w:after="40"/>
              <w:jc w:val="center"/>
            </w:pPr>
            <w:r>
              <w:t>N</w:t>
            </w:r>
          </w:p>
        </w:tc>
        <w:tc>
          <w:tcPr>
            <w:tcW w:w="0" w:type="auto"/>
            <w:vAlign w:val="center"/>
            <w:hideMark/>
          </w:tcPr>
          <w:p w14:paraId="6B13C84D" w14:textId="77777777" w:rsidR="00CD213E" w:rsidRDefault="00CD213E" w:rsidP="00CD213E">
            <w:pPr>
              <w:spacing w:before="40" w:after="40"/>
              <w:jc w:val="center"/>
            </w:pPr>
            <w:r>
              <w:t>-0</w:t>
            </w:r>
          </w:p>
        </w:tc>
        <w:tc>
          <w:tcPr>
            <w:tcW w:w="0" w:type="auto"/>
            <w:vAlign w:val="center"/>
            <w:hideMark/>
          </w:tcPr>
          <w:p w14:paraId="70F81B52" w14:textId="316C5648" w:rsidR="00CD213E" w:rsidRDefault="00CD213E" w:rsidP="00CD213E">
            <w:pPr>
              <w:spacing w:before="40" w:after="40"/>
              <w:jc w:val="center"/>
              <w:rPr>
                <w:sz w:val="20"/>
                <w:szCs w:val="20"/>
              </w:rPr>
            </w:pPr>
            <w:r>
              <w:rPr>
                <w:sz w:val="20"/>
                <w:szCs w:val="20"/>
              </w:rPr>
              <w:t>0.4%</w:t>
            </w:r>
          </w:p>
        </w:tc>
        <w:tc>
          <w:tcPr>
            <w:tcW w:w="0" w:type="auto"/>
            <w:vAlign w:val="center"/>
            <w:hideMark/>
          </w:tcPr>
          <w:p w14:paraId="793D0176" w14:textId="77777777" w:rsidR="00CD213E" w:rsidRDefault="00CD213E" w:rsidP="00CD213E">
            <w:pPr>
              <w:spacing w:before="40" w:after="40"/>
              <w:jc w:val="center"/>
              <w:rPr>
                <w:sz w:val="20"/>
                <w:szCs w:val="20"/>
              </w:rPr>
            </w:pPr>
            <w:r>
              <w:rPr>
                <w:sz w:val="20"/>
                <w:szCs w:val="20"/>
              </w:rPr>
              <w:t>43</w:t>
            </w:r>
          </w:p>
        </w:tc>
        <w:tc>
          <w:tcPr>
            <w:tcW w:w="0" w:type="auto"/>
            <w:vAlign w:val="center"/>
            <w:hideMark/>
          </w:tcPr>
          <w:p w14:paraId="346E02A1" w14:textId="77777777" w:rsidR="00CD213E" w:rsidRDefault="00CD213E" w:rsidP="00CD213E">
            <w:pPr>
              <w:spacing w:before="40" w:after="40"/>
              <w:jc w:val="center"/>
              <w:rPr>
                <w:sz w:val="20"/>
                <w:szCs w:val="20"/>
              </w:rPr>
            </w:pPr>
            <w:r>
              <w:rPr>
                <w:sz w:val="20"/>
                <w:szCs w:val="20"/>
              </w:rPr>
              <w:t>-0</w:t>
            </w:r>
          </w:p>
        </w:tc>
        <w:tc>
          <w:tcPr>
            <w:tcW w:w="1453" w:type="dxa"/>
            <w:vAlign w:val="center"/>
            <w:hideMark/>
          </w:tcPr>
          <w:p w14:paraId="7B67B094" w14:textId="77777777" w:rsidR="00CD213E" w:rsidRDefault="00CD213E" w:rsidP="00CD213E">
            <w:pPr>
              <w:spacing w:before="40" w:after="40"/>
              <w:jc w:val="center"/>
              <w:rPr>
                <w:sz w:val="20"/>
                <w:szCs w:val="20"/>
              </w:rPr>
            </w:pPr>
            <w:r w:rsidRPr="000777CB">
              <w:rPr>
                <w:sz w:val="20"/>
                <w:szCs w:val="20"/>
              </w:rPr>
              <w:t>3,760</w:t>
            </w:r>
          </w:p>
        </w:tc>
        <w:tc>
          <w:tcPr>
            <w:tcW w:w="895" w:type="dxa"/>
            <w:vAlign w:val="center"/>
            <w:hideMark/>
          </w:tcPr>
          <w:p w14:paraId="53EE12A7" w14:textId="77777777" w:rsidR="00CD213E" w:rsidRPr="00CD213E" w:rsidRDefault="00CD213E" w:rsidP="00CD213E">
            <w:pPr>
              <w:spacing w:before="40" w:after="40"/>
              <w:jc w:val="center"/>
              <w:rPr>
                <w:sz w:val="20"/>
                <w:szCs w:val="20"/>
              </w:rPr>
            </w:pPr>
            <w:r w:rsidRPr="00CD213E">
              <w:rPr>
                <w:color w:val="000000"/>
                <w:sz w:val="18"/>
                <w:szCs w:val="18"/>
              </w:rPr>
              <w:t>12</w:t>
            </w:r>
          </w:p>
        </w:tc>
      </w:tr>
      <w:tr w:rsidR="00CD213E" w14:paraId="31FCE785" w14:textId="77777777" w:rsidTr="00CD213E">
        <w:tc>
          <w:tcPr>
            <w:tcW w:w="0" w:type="auto"/>
            <w:hideMark/>
          </w:tcPr>
          <w:p w14:paraId="3069B71B" w14:textId="77777777" w:rsidR="00CD213E" w:rsidRPr="00CD213E" w:rsidRDefault="00CD213E" w:rsidP="00CD213E">
            <w:pPr>
              <w:spacing w:before="40" w:after="40"/>
              <w:jc w:val="center"/>
              <w:rPr>
                <w:b/>
                <w:bCs/>
              </w:rPr>
            </w:pPr>
            <w:r w:rsidRPr="00CD213E">
              <w:rPr>
                <w:b/>
                <w:bCs/>
              </w:rPr>
              <w:t>Oman</w:t>
            </w:r>
          </w:p>
        </w:tc>
        <w:tc>
          <w:tcPr>
            <w:tcW w:w="0" w:type="auto"/>
            <w:vAlign w:val="center"/>
            <w:hideMark/>
          </w:tcPr>
          <w:p w14:paraId="62A242D3" w14:textId="77777777" w:rsidR="00CD213E" w:rsidRDefault="00CD213E" w:rsidP="00CD213E">
            <w:pPr>
              <w:spacing w:before="40" w:after="40"/>
              <w:jc w:val="center"/>
            </w:pPr>
            <w:r>
              <w:t>Y</w:t>
            </w:r>
          </w:p>
        </w:tc>
        <w:tc>
          <w:tcPr>
            <w:tcW w:w="0" w:type="auto"/>
            <w:vAlign w:val="center"/>
            <w:hideMark/>
          </w:tcPr>
          <w:p w14:paraId="05EA8574" w14:textId="77777777" w:rsidR="00CD213E" w:rsidRDefault="00CD213E" w:rsidP="00CD213E">
            <w:pPr>
              <w:spacing w:before="40" w:after="40"/>
              <w:jc w:val="center"/>
            </w:pPr>
            <w:r>
              <w:t>0</w:t>
            </w:r>
          </w:p>
        </w:tc>
        <w:tc>
          <w:tcPr>
            <w:tcW w:w="0" w:type="auto"/>
            <w:vAlign w:val="center"/>
            <w:hideMark/>
          </w:tcPr>
          <w:p w14:paraId="110E5CBB" w14:textId="2D519B1F" w:rsidR="00CD213E" w:rsidRDefault="00CD213E" w:rsidP="00CD213E">
            <w:pPr>
              <w:spacing w:before="40" w:after="40"/>
              <w:jc w:val="center"/>
              <w:rPr>
                <w:sz w:val="20"/>
                <w:szCs w:val="20"/>
              </w:rPr>
            </w:pPr>
            <w:r>
              <w:rPr>
                <w:sz w:val="20"/>
                <w:szCs w:val="20"/>
              </w:rPr>
              <w:t>29.2%</w:t>
            </w:r>
          </w:p>
        </w:tc>
        <w:tc>
          <w:tcPr>
            <w:tcW w:w="0" w:type="auto"/>
            <w:vAlign w:val="center"/>
            <w:hideMark/>
          </w:tcPr>
          <w:p w14:paraId="6F081E24" w14:textId="77777777" w:rsidR="00CD213E" w:rsidRDefault="00CD213E" w:rsidP="00CD213E">
            <w:pPr>
              <w:spacing w:before="40" w:after="40"/>
              <w:jc w:val="center"/>
              <w:rPr>
                <w:sz w:val="20"/>
                <w:szCs w:val="20"/>
              </w:rPr>
            </w:pPr>
            <w:r>
              <w:rPr>
                <w:sz w:val="20"/>
                <w:szCs w:val="20"/>
              </w:rPr>
              <w:t>23</w:t>
            </w:r>
          </w:p>
        </w:tc>
        <w:tc>
          <w:tcPr>
            <w:tcW w:w="0" w:type="auto"/>
            <w:vAlign w:val="center"/>
            <w:hideMark/>
          </w:tcPr>
          <w:p w14:paraId="25792B5D" w14:textId="77777777" w:rsidR="00CD213E" w:rsidRDefault="00CD213E" w:rsidP="00CD213E">
            <w:pPr>
              <w:spacing w:before="40" w:after="40"/>
              <w:jc w:val="center"/>
              <w:rPr>
                <w:sz w:val="20"/>
                <w:szCs w:val="20"/>
              </w:rPr>
            </w:pPr>
            <w:r>
              <w:rPr>
                <w:sz w:val="20"/>
                <w:szCs w:val="20"/>
              </w:rPr>
              <w:t>1</w:t>
            </w:r>
          </w:p>
        </w:tc>
        <w:tc>
          <w:tcPr>
            <w:tcW w:w="1453" w:type="dxa"/>
            <w:vAlign w:val="center"/>
            <w:hideMark/>
          </w:tcPr>
          <w:p w14:paraId="348151FF" w14:textId="77777777" w:rsidR="00CD213E" w:rsidRDefault="00CD213E" w:rsidP="00CD213E">
            <w:pPr>
              <w:spacing w:before="40" w:after="40"/>
              <w:jc w:val="center"/>
              <w:rPr>
                <w:sz w:val="20"/>
                <w:szCs w:val="20"/>
              </w:rPr>
            </w:pPr>
            <w:r w:rsidRPr="000777CB">
              <w:rPr>
                <w:sz w:val="20"/>
                <w:szCs w:val="20"/>
              </w:rPr>
              <w:t>20,020</w:t>
            </w:r>
          </w:p>
        </w:tc>
        <w:tc>
          <w:tcPr>
            <w:tcW w:w="895" w:type="dxa"/>
            <w:vAlign w:val="center"/>
            <w:hideMark/>
          </w:tcPr>
          <w:p w14:paraId="60337ADA" w14:textId="77777777" w:rsidR="00CD213E" w:rsidRPr="00CD213E" w:rsidRDefault="00CD213E" w:rsidP="00CD213E">
            <w:pPr>
              <w:spacing w:before="40" w:after="40"/>
              <w:jc w:val="center"/>
              <w:rPr>
                <w:sz w:val="20"/>
                <w:szCs w:val="20"/>
              </w:rPr>
            </w:pPr>
            <w:r w:rsidRPr="00CD213E">
              <w:rPr>
                <w:color w:val="000000"/>
                <w:sz w:val="18"/>
                <w:szCs w:val="18"/>
              </w:rPr>
              <w:t>38</w:t>
            </w:r>
          </w:p>
        </w:tc>
      </w:tr>
      <w:tr w:rsidR="00CD213E" w14:paraId="7A8DCE8C" w14:textId="77777777" w:rsidTr="00CD213E">
        <w:tc>
          <w:tcPr>
            <w:tcW w:w="0" w:type="auto"/>
            <w:hideMark/>
          </w:tcPr>
          <w:p w14:paraId="4E4AA97D" w14:textId="7F322DDD" w:rsidR="00CD213E" w:rsidRPr="00CD213E" w:rsidRDefault="00CD213E" w:rsidP="00CD213E">
            <w:pPr>
              <w:spacing w:before="40" w:after="40"/>
              <w:jc w:val="center"/>
              <w:rPr>
                <w:b/>
                <w:bCs/>
              </w:rPr>
            </w:pPr>
            <w:r w:rsidRPr="00CD213E">
              <w:rPr>
                <w:b/>
                <w:bCs/>
              </w:rPr>
              <w:t>Palestine</w:t>
            </w:r>
          </w:p>
        </w:tc>
        <w:tc>
          <w:tcPr>
            <w:tcW w:w="0" w:type="auto"/>
            <w:vAlign w:val="center"/>
            <w:hideMark/>
          </w:tcPr>
          <w:p w14:paraId="215507E3" w14:textId="77777777" w:rsidR="00CD213E" w:rsidRDefault="00CD213E" w:rsidP="00CD213E">
            <w:pPr>
              <w:spacing w:before="40" w:after="40"/>
              <w:jc w:val="center"/>
            </w:pPr>
            <w:r>
              <w:t>N</w:t>
            </w:r>
          </w:p>
        </w:tc>
        <w:tc>
          <w:tcPr>
            <w:tcW w:w="0" w:type="auto"/>
            <w:vAlign w:val="center"/>
            <w:hideMark/>
          </w:tcPr>
          <w:p w14:paraId="561C6362" w14:textId="77777777" w:rsidR="00CD213E" w:rsidRDefault="00CD213E" w:rsidP="00CD213E">
            <w:pPr>
              <w:spacing w:before="40" w:after="40"/>
              <w:jc w:val="center"/>
            </w:pPr>
            <w:r>
              <w:t>-1</w:t>
            </w:r>
          </w:p>
        </w:tc>
        <w:tc>
          <w:tcPr>
            <w:tcW w:w="0" w:type="auto"/>
            <w:vAlign w:val="center"/>
            <w:hideMark/>
          </w:tcPr>
          <w:p w14:paraId="1A1D913A" w14:textId="2EB8B7EC" w:rsidR="00CD213E" w:rsidRDefault="00CD213E" w:rsidP="00CD213E">
            <w:pPr>
              <w:spacing w:before="40" w:after="40"/>
              <w:jc w:val="center"/>
              <w:rPr>
                <w:sz w:val="20"/>
                <w:szCs w:val="20"/>
              </w:rPr>
            </w:pPr>
            <w:r>
              <w:rPr>
                <w:sz w:val="20"/>
                <w:szCs w:val="20"/>
              </w:rPr>
              <w:t>0.0%</w:t>
            </w:r>
          </w:p>
        </w:tc>
        <w:tc>
          <w:tcPr>
            <w:tcW w:w="0" w:type="auto"/>
            <w:vAlign w:val="center"/>
            <w:hideMark/>
          </w:tcPr>
          <w:p w14:paraId="7B5923C0" w14:textId="77777777" w:rsidR="00CD213E" w:rsidRDefault="00CD213E" w:rsidP="00CD213E">
            <w:pPr>
              <w:spacing w:before="40" w:after="40"/>
              <w:jc w:val="center"/>
              <w:rPr>
                <w:sz w:val="20"/>
                <w:szCs w:val="20"/>
              </w:rPr>
            </w:pPr>
            <w:r>
              <w:rPr>
                <w:sz w:val="20"/>
                <w:szCs w:val="20"/>
              </w:rPr>
              <w:t>13</w:t>
            </w:r>
          </w:p>
        </w:tc>
        <w:tc>
          <w:tcPr>
            <w:tcW w:w="0" w:type="auto"/>
            <w:vAlign w:val="center"/>
            <w:hideMark/>
          </w:tcPr>
          <w:p w14:paraId="25BD7A1B" w14:textId="77777777" w:rsidR="00CD213E" w:rsidRDefault="00CD213E" w:rsidP="00CD213E">
            <w:pPr>
              <w:spacing w:before="40" w:after="40"/>
              <w:jc w:val="center"/>
              <w:rPr>
                <w:sz w:val="20"/>
                <w:szCs w:val="20"/>
              </w:rPr>
            </w:pPr>
            <w:r>
              <w:rPr>
                <w:sz w:val="20"/>
                <w:szCs w:val="20"/>
              </w:rPr>
              <w:t>-2</w:t>
            </w:r>
          </w:p>
        </w:tc>
        <w:tc>
          <w:tcPr>
            <w:tcW w:w="1453" w:type="dxa"/>
            <w:vAlign w:val="center"/>
            <w:hideMark/>
          </w:tcPr>
          <w:p w14:paraId="7102334D" w14:textId="77777777" w:rsidR="00CD213E" w:rsidRDefault="00CD213E" w:rsidP="00CD213E">
            <w:pPr>
              <w:spacing w:before="40" w:after="40"/>
              <w:jc w:val="center"/>
              <w:rPr>
                <w:sz w:val="20"/>
                <w:szCs w:val="20"/>
              </w:rPr>
            </w:pPr>
            <w:r w:rsidRPr="000777CB">
              <w:rPr>
                <w:sz w:val="20"/>
                <w:szCs w:val="20"/>
              </w:rPr>
              <w:t>4,310</w:t>
            </w:r>
          </w:p>
        </w:tc>
        <w:tc>
          <w:tcPr>
            <w:tcW w:w="895" w:type="dxa"/>
            <w:vAlign w:val="center"/>
            <w:hideMark/>
          </w:tcPr>
          <w:p w14:paraId="7C76F479" w14:textId="77777777" w:rsidR="00CD213E" w:rsidRPr="00CD213E" w:rsidRDefault="00CD213E" w:rsidP="00CD213E">
            <w:pPr>
              <w:spacing w:before="40" w:after="40"/>
              <w:jc w:val="center"/>
              <w:rPr>
                <w:sz w:val="20"/>
                <w:szCs w:val="20"/>
              </w:rPr>
            </w:pPr>
            <w:r w:rsidRPr="00CD213E">
              <w:rPr>
                <w:color w:val="000000"/>
                <w:sz w:val="18"/>
                <w:szCs w:val="18"/>
              </w:rPr>
              <w:t>12</w:t>
            </w:r>
          </w:p>
        </w:tc>
      </w:tr>
      <w:tr w:rsidR="00CD213E" w14:paraId="0A1976AA" w14:textId="77777777" w:rsidTr="00CD213E">
        <w:tc>
          <w:tcPr>
            <w:tcW w:w="0" w:type="auto"/>
            <w:hideMark/>
          </w:tcPr>
          <w:p w14:paraId="2D39D629" w14:textId="77777777" w:rsidR="00CD213E" w:rsidRPr="00CD213E" w:rsidRDefault="00CD213E" w:rsidP="00CD213E">
            <w:pPr>
              <w:spacing w:before="40" w:after="40"/>
              <w:jc w:val="center"/>
              <w:rPr>
                <w:b/>
                <w:bCs/>
              </w:rPr>
            </w:pPr>
            <w:r w:rsidRPr="00CD213E">
              <w:rPr>
                <w:b/>
                <w:bCs/>
              </w:rPr>
              <w:t>Qatar</w:t>
            </w:r>
          </w:p>
        </w:tc>
        <w:tc>
          <w:tcPr>
            <w:tcW w:w="0" w:type="auto"/>
            <w:vAlign w:val="center"/>
            <w:hideMark/>
          </w:tcPr>
          <w:p w14:paraId="1ED99BC4" w14:textId="77777777" w:rsidR="00CD213E" w:rsidRDefault="00CD213E" w:rsidP="00CD213E">
            <w:pPr>
              <w:spacing w:before="40" w:after="40"/>
              <w:jc w:val="center"/>
            </w:pPr>
            <w:r>
              <w:t>Y</w:t>
            </w:r>
          </w:p>
        </w:tc>
        <w:tc>
          <w:tcPr>
            <w:tcW w:w="0" w:type="auto"/>
            <w:vAlign w:val="center"/>
            <w:hideMark/>
          </w:tcPr>
          <w:p w14:paraId="1D3982E0" w14:textId="77777777" w:rsidR="00CD213E" w:rsidRDefault="00CD213E" w:rsidP="00CD213E">
            <w:pPr>
              <w:spacing w:before="40" w:after="40"/>
              <w:jc w:val="center"/>
            </w:pPr>
            <w:r>
              <w:t>1</w:t>
            </w:r>
          </w:p>
        </w:tc>
        <w:tc>
          <w:tcPr>
            <w:tcW w:w="0" w:type="auto"/>
            <w:vAlign w:val="center"/>
            <w:hideMark/>
          </w:tcPr>
          <w:p w14:paraId="425E8897" w14:textId="7F74B365" w:rsidR="00CD213E" w:rsidRDefault="00CD213E" w:rsidP="00CD213E">
            <w:pPr>
              <w:spacing w:before="40" w:after="40"/>
              <w:jc w:val="center"/>
              <w:rPr>
                <w:sz w:val="20"/>
                <w:szCs w:val="20"/>
              </w:rPr>
            </w:pPr>
            <w:r>
              <w:rPr>
                <w:sz w:val="20"/>
                <w:szCs w:val="20"/>
              </w:rPr>
              <w:t>27.3%</w:t>
            </w:r>
          </w:p>
        </w:tc>
        <w:tc>
          <w:tcPr>
            <w:tcW w:w="0" w:type="auto"/>
            <w:vAlign w:val="center"/>
            <w:hideMark/>
          </w:tcPr>
          <w:p w14:paraId="3FAAF20E" w14:textId="77777777" w:rsidR="00CD213E" w:rsidRDefault="00CD213E" w:rsidP="00CD213E">
            <w:pPr>
              <w:spacing w:before="40" w:after="40"/>
              <w:jc w:val="center"/>
              <w:rPr>
                <w:sz w:val="20"/>
                <w:szCs w:val="20"/>
              </w:rPr>
            </w:pPr>
            <w:r>
              <w:rPr>
                <w:sz w:val="20"/>
                <w:szCs w:val="20"/>
              </w:rPr>
              <w:t>29</w:t>
            </w:r>
          </w:p>
        </w:tc>
        <w:tc>
          <w:tcPr>
            <w:tcW w:w="0" w:type="auto"/>
            <w:vAlign w:val="center"/>
            <w:hideMark/>
          </w:tcPr>
          <w:p w14:paraId="1C14DDD4" w14:textId="77777777" w:rsidR="00CD213E" w:rsidRDefault="00CD213E" w:rsidP="00CD213E">
            <w:pPr>
              <w:spacing w:before="40" w:after="40"/>
              <w:jc w:val="center"/>
              <w:rPr>
                <w:sz w:val="20"/>
                <w:szCs w:val="20"/>
              </w:rPr>
            </w:pPr>
            <w:r>
              <w:rPr>
                <w:sz w:val="20"/>
                <w:szCs w:val="20"/>
              </w:rPr>
              <w:t>1</w:t>
            </w:r>
          </w:p>
        </w:tc>
        <w:tc>
          <w:tcPr>
            <w:tcW w:w="1453" w:type="dxa"/>
            <w:vAlign w:val="center"/>
            <w:hideMark/>
          </w:tcPr>
          <w:p w14:paraId="678EC037" w14:textId="77777777" w:rsidR="00CD213E" w:rsidRDefault="00CD213E" w:rsidP="00CD213E">
            <w:pPr>
              <w:spacing w:before="40" w:after="40"/>
              <w:jc w:val="center"/>
              <w:rPr>
                <w:sz w:val="20"/>
                <w:szCs w:val="20"/>
              </w:rPr>
            </w:pPr>
            <w:r w:rsidRPr="000777CB">
              <w:rPr>
                <w:sz w:val="20"/>
                <w:szCs w:val="20"/>
              </w:rPr>
              <w:t>79,430</w:t>
            </w:r>
          </w:p>
        </w:tc>
        <w:tc>
          <w:tcPr>
            <w:tcW w:w="895" w:type="dxa"/>
            <w:vAlign w:val="center"/>
            <w:hideMark/>
          </w:tcPr>
          <w:p w14:paraId="6A70F2A4" w14:textId="77777777" w:rsidR="00CD213E" w:rsidRPr="00CD213E" w:rsidRDefault="00CD213E" w:rsidP="00CD213E">
            <w:pPr>
              <w:spacing w:before="40" w:after="40"/>
              <w:jc w:val="center"/>
              <w:rPr>
                <w:sz w:val="20"/>
                <w:szCs w:val="20"/>
              </w:rPr>
            </w:pPr>
            <w:r w:rsidRPr="00CD213E">
              <w:rPr>
                <w:color w:val="000000"/>
                <w:sz w:val="18"/>
                <w:szCs w:val="18"/>
              </w:rPr>
              <w:t>16</w:t>
            </w:r>
          </w:p>
        </w:tc>
      </w:tr>
      <w:tr w:rsidR="00CD213E" w14:paraId="36469E2B" w14:textId="77777777" w:rsidTr="00CD213E">
        <w:tc>
          <w:tcPr>
            <w:tcW w:w="0" w:type="auto"/>
            <w:hideMark/>
          </w:tcPr>
          <w:p w14:paraId="0DEA1F9E" w14:textId="77777777" w:rsidR="00CD213E" w:rsidRPr="00CD213E" w:rsidRDefault="00CD213E" w:rsidP="00CD213E">
            <w:pPr>
              <w:spacing w:before="40" w:after="40"/>
              <w:jc w:val="center"/>
              <w:rPr>
                <w:b/>
                <w:bCs/>
              </w:rPr>
            </w:pPr>
            <w:r w:rsidRPr="00CD213E">
              <w:rPr>
                <w:b/>
                <w:bCs/>
              </w:rPr>
              <w:t>Saudi Arabia (KSA)</w:t>
            </w:r>
          </w:p>
        </w:tc>
        <w:tc>
          <w:tcPr>
            <w:tcW w:w="0" w:type="auto"/>
            <w:vAlign w:val="center"/>
            <w:hideMark/>
          </w:tcPr>
          <w:p w14:paraId="69CBAB4A" w14:textId="77777777" w:rsidR="00CD213E" w:rsidRDefault="00CD213E" w:rsidP="00CD213E">
            <w:pPr>
              <w:spacing w:before="40" w:after="40"/>
              <w:jc w:val="center"/>
            </w:pPr>
            <w:r>
              <w:t>Y</w:t>
            </w:r>
          </w:p>
        </w:tc>
        <w:tc>
          <w:tcPr>
            <w:tcW w:w="0" w:type="auto"/>
            <w:vAlign w:val="center"/>
            <w:hideMark/>
          </w:tcPr>
          <w:p w14:paraId="45772D3E" w14:textId="77777777" w:rsidR="00CD213E" w:rsidRDefault="00CD213E" w:rsidP="00CD213E">
            <w:pPr>
              <w:spacing w:before="40" w:after="40"/>
              <w:jc w:val="center"/>
            </w:pPr>
            <w:r>
              <w:t>1</w:t>
            </w:r>
          </w:p>
        </w:tc>
        <w:tc>
          <w:tcPr>
            <w:tcW w:w="0" w:type="auto"/>
            <w:vAlign w:val="center"/>
            <w:hideMark/>
          </w:tcPr>
          <w:p w14:paraId="080F8AEE" w14:textId="3B1321A7" w:rsidR="00CD213E" w:rsidRDefault="00CD213E" w:rsidP="00CD213E">
            <w:pPr>
              <w:spacing w:before="40" w:after="40"/>
              <w:jc w:val="center"/>
              <w:rPr>
                <w:sz w:val="20"/>
                <w:szCs w:val="20"/>
              </w:rPr>
            </w:pPr>
            <w:r>
              <w:rPr>
                <w:sz w:val="20"/>
                <w:szCs w:val="20"/>
              </w:rPr>
              <w:t>25.6%</w:t>
            </w:r>
          </w:p>
        </w:tc>
        <w:tc>
          <w:tcPr>
            <w:tcW w:w="0" w:type="auto"/>
            <w:vAlign w:val="center"/>
            <w:hideMark/>
          </w:tcPr>
          <w:p w14:paraId="5751730C" w14:textId="77777777" w:rsidR="00CD213E" w:rsidRDefault="00CD213E" w:rsidP="00CD213E">
            <w:pPr>
              <w:spacing w:before="40" w:after="40"/>
              <w:jc w:val="center"/>
              <w:rPr>
                <w:sz w:val="20"/>
                <w:szCs w:val="20"/>
              </w:rPr>
            </w:pPr>
            <w:r>
              <w:rPr>
                <w:sz w:val="20"/>
                <w:szCs w:val="20"/>
              </w:rPr>
              <w:t>4</w:t>
            </w:r>
          </w:p>
        </w:tc>
        <w:tc>
          <w:tcPr>
            <w:tcW w:w="0" w:type="auto"/>
            <w:vAlign w:val="center"/>
            <w:hideMark/>
          </w:tcPr>
          <w:p w14:paraId="6AB7821A" w14:textId="77777777" w:rsidR="00CD213E" w:rsidRDefault="00CD213E" w:rsidP="00CD213E">
            <w:pPr>
              <w:spacing w:before="40" w:after="40"/>
              <w:jc w:val="center"/>
              <w:rPr>
                <w:sz w:val="20"/>
                <w:szCs w:val="20"/>
              </w:rPr>
            </w:pPr>
            <w:r>
              <w:rPr>
                <w:sz w:val="20"/>
                <w:szCs w:val="20"/>
              </w:rPr>
              <w:t>-0</w:t>
            </w:r>
          </w:p>
        </w:tc>
        <w:tc>
          <w:tcPr>
            <w:tcW w:w="1453" w:type="dxa"/>
            <w:vAlign w:val="center"/>
            <w:hideMark/>
          </w:tcPr>
          <w:p w14:paraId="1D070B1F" w14:textId="77777777" w:rsidR="00CD213E" w:rsidRDefault="00CD213E" w:rsidP="00CD213E">
            <w:pPr>
              <w:spacing w:before="40" w:after="40"/>
              <w:jc w:val="center"/>
              <w:rPr>
                <w:sz w:val="20"/>
                <w:szCs w:val="20"/>
              </w:rPr>
            </w:pPr>
            <w:r w:rsidRPr="000777CB">
              <w:rPr>
                <w:sz w:val="20"/>
                <w:szCs w:val="20"/>
              </w:rPr>
              <w:t>36,330</w:t>
            </w:r>
          </w:p>
        </w:tc>
        <w:tc>
          <w:tcPr>
            <w:tcW w:w="895" w:type="dxa"/>
            <w:vAlign w:val="center"/>
            <w:hideMark/>
          </w:tcPr>
          <w:p w14:paraId="3242586A" w14:textId="77777777" w:rsidR="00CD213E" w:rsidRPr="00CD213E" w:rsidRDefault="00CD213E" w:rsidP="00CD213E">
            <w:pPr>
              <w:spacing w:before="40" w:after="40"/>
              <w:jc w:val="center"/>
              <w:rPr>
                <w:sz w:val="20"/>
                <w:szCs w:val="20"/>
              </w:rPr>
            </w:pPr>
            <w:r w:rsidRPr="00CD213E">
              <w:rPr>
                <w:color w:val="000000"/>
                <w:sz w:val="18"/>
                <w:szCs w:val="18"/>
              </w:rPr>
              <w:t>52</w:t>
            </w:r>
          </w:p>
        </w:tc>
      </w:tr>
      <w:tr w:rsidR="00CD213E" w14:paraId="08DF9BA1" w14:textId="77777777" w:rsidTr="00CD213E">
        <w:tc>
          <w:tcPr>
            <w:tcW w:w="0" w:type="auto"/>
            <w:hideMark/>
          </w:tcPr>
          <w:p w14:paraId="4E2EB249" w14:textId="77777777" w:rsidR="00CD213E" w:rsidRPr="00CD213E" w:rsidRDefault="00CD213E" w:rsidP="00CD213E">
            <w:pPr>
              <w:spacing w:before="40" w:after="40"/>
              <w:jc w:val="center"/>
              <w:rPr>
                <w:b/>
                <w:bCs/>
              </w:rPr>
            </w:pPr>
            <w:r w:rsidRPr="00CD213E">
              <w:rPr>
                <w:b/>
                <w:bCs/>
              </w:rPr>
              <w:t>Sudan</w:t>
            </w:r>
          </w:p>
        </w:tc>
        <w:tc>
          <w:tcPr>
            <w:tcW w:w="0" w:type="auto"/>
            <w:vAlign w:val="center"/>
            <w:hideMark/>
          </w:tcPr>
          <w:p w14:paraId="707A6C1D" w14:textId="77777777" w:rsidR="00CD213E" w:rsidRDefault="00CD213E" w:rsidP="00CD213E">
            <w:pPr>
              <w:spacing w:before="40" w:after="40"/>
              <w:jc w:val="center"/>
            </w:pPr>
            <w:r>
              <w:t>N</w:t>
            </w:r>
          </w:p>
        </w:tc>
        <w:tc>
          <w:tcPr>
            <w:tcW w:w="0" w:type="auto"/>
            <w:vAlign w:val="center"/>
            <w:hideMark/>
          </w:tcPr>
          <w:p w14:paraId="23928D52" w14:textId="77777777" w:rsidR="00CD213E" w:rsidRDefault="00CD213E" w:rsidP="00CD213E">
            <w:pPr>
              <w:spacing w:before="40" w:after="40"/>
              <w:jc w:val="center"/>
            </w:pPr>
            <w:r>
              <w:t>-2</w:t>
            </w:r>
          </w:p>
        </w:tc>
        <w:tc>
          <w:tcPr>
            <w:tcW w:w="0" w:type="auto"/>
            <w:vAlign w:val="center"/>
            <w:hideMark/>
          </w:tcPr>
          <w:p w14:paraId="48445523" w14:textId="67FED629" w:rsidR="00CD213E" w:rsidRDefault="00CD213E" w:rsidP="00CD213E">
            <w:pPr>
              <w:spacing w:before="40" w:after="40"/>
              <w:jc w:val="center"/>
              <w:rPr>
                <w:sz w:val="20"/>
                <w:szCs w:val="20"/>
              </w:rPr>
            </w:pPr>
            <w:r>
              <w:rPr>
                <w:sz w:val="20"/>
                <w:szCs w:val="20"/>
              </w:rPr>
              <w:t>12.8%</w:t>
            </w:r>
          </w:p>
        </w:tc>
        <w:tc>
          <w:tcPr>
            <w:tcW w:w="0" w:type="auto"/>
            <w:vAlign w:val="center"/>
            <w:hideMark/>
          </w:tcPr>
          <w:p w14:paraId="0082EB19" w14:textId="77777777" w:rsidR="00CD213E" w:rsidRDefault="00CD213E" w:rsidP="00CD213E">
            <w:pPr>
              <w:spacing w:before="40" w:after="40"/>
              <w:jc w:val="center"/>
              <w:rPr>
                <w:sz w:val="20"/>
                <w:szCs w:val="20"/>
              </w:rPr>
            </w:pPr>
            <w:r>
              <w:rPr>
                <w:sz w:val="20"/>
                <w:szCs w:val="20"/>
              </w:rPr>
              <w:t>21</w:t>
            </w:r>
          </w:p>
        </w:tc>
        <w:tc>
          <w:tcPr>
            <w:tcW w:w="0" w:type="auto"/>
            <w:vAlign w:val="center"/>
            <w:hideMark/>
          </w:tcPr>
          <w:p w14:paraId="3981C738" w14:textId="77777777" w:rsidR="00CD213E" w:rsidRDefault="00CD213E" w:rsidP="00CD213E">
            <w:pPr>
              <w:spacing w:before="40" w:after="40"/>
              <w:jc w:val="center"/>
              <w:rPr>
                <w:sz w:val="20"/>
                <w:szCs w:val="20"/>
              </w:rPr>
            </w:pPr>
            <w:r>
              <w:rPr>
                <w:sz w:val="20"/>
                <w:szCs w:val="20"/>
              </w:rPr>
              <w:t>-2</w:t>
            </w:r>
          </w:p>
        </w:tc>
        <w:tc>
          <w:tcPr>
            <w:tcW w:w="1453" w:type="dxa"/>
            <w:vAlign w:val="center"/>
            <w:hideMark/>
          </w:tcPr>
          <w:p w14:paraId="42C47E78" w14:textId="77777777" w:rsidR="00CD213E" w:rsidRDefault="00CD213E" w:rsidP="00CD213E">
            <w:pPr>
              <w:spacing w:before="40" w:after="40"/>
              <w:jc w:val="center"/>
              <w:rPr>
                <w:sz w:val="20"/>
                <w:szCs w:val="20"/>
              </w:rPr>
            </w:pPr>
            <w:r w:rsidRPr="000777CB">
              <w:rPr>
                <w:sz w:val="20"/>
                <w:szCs w:val="20"/>
              </w:rPr>
              <w:t>640</w:t>
            </w:r>
          </w:p>
        </w:tc>
        <w:tc>
          <w:tcPr>
            <w:tcW w:w="895" w:type="dxa"/>
            <w:vAlign w:val="center"/>
            <w:hideMark/>
          </w:tcPr>
          <w:p w14:paraId="07349FB5" w14:textId="77777777" w:rsidR="00CD213E" w:rsidRPr="00CD213E" w:rsidRDefault="00CD213E" w:rsidP="00CD213E">
            <w:pPr>
              <w:spacing w:before="40" w:after="40"/>
              <w:jc w:val="center"/>
              <w:rPr>
                <w:sz w:val="20"/>
                <w:szCs w:val="20"/>
              </w:rPr>
            </w:pPr>
            <w:r w:rsidRPr="00CD213E">
              <w:rPr>
                <w:color w:val="000000"/>
                <w:sz w:val="18"/>
                <w:szCs w:val="18"/>
              </w:rPr>
              <w:t>1</w:t>
            </w:r>
          </w:p>
        </w:tc>
      </w:tr>
      <w:tr w:rsidR="00CD213E" w14:paraId="1E1839B7" w14:textId="77777777" w:rsidTr="00CD213E">
        <w:tc>
          <w:tcPr>
            <w:tcW w:w="0" w:type="auto"/>
            <w:hideMark/>
          </w:tcPr>
          <w:p w14:paraId="05621DCC" w14:textId="77777777" w:rsidR="00CD213E" w:rsidRPr="00CD213E" w:rsidRDefault="00CD213E" w:rsidP="00CD213E">
            <w:pPr>
              <w:spacing w:before="40" w:after="40"/>
              <w:jc w:val="center"/>
              <w:rPr>
                <w:b/>
                <w:bCs/>
              </w:rPr>
            </w:pPr>
            <w:r w:rsidRPr="00CD213E">
              <w:rPr>
                <w:b/>
                <w:bCs/>
              </w:rPr>
              <w:t>Syria</w:t>
            </w:r>
          </w:p>
        </w:tc>
        <w:tc>
          <w:tcPr>
            <w:tcW w:w="0" w:type="auto"/>
            <w:vAlign w:val="center"/>
            <w:hideMark/>
          </w:tcPr>
          <w:p w14:paraId="201DD854" w14:textId="77777777" w:rsidR="00CD213E" w:rsidRDefault="00CD213E" w:rsidP="00CD213E">
            <w:pPr>
              <w:spacing w:before="40" w:after="40"/>
              <w:jc w:val="center"/>
            </w:pPr>
            <w:r>
              <w:t>N</w:t>
            </w:r>
          </w:p>
        </w:tc>
        <w:tc>
          <w:tcPr>
            <w:tcW w:w="0" w:type="auto"/>
            <w:vAlign w:val="center"/>
            <w:hideMark/>
          </w:tcPr>
          <w:p w14:paraId="3400D15A" w14:textId="77777777" w:rsidR="00CD213E" w:rsidRDefault="00CD213E" w:rsidP="00CD213E">
            <w:pPr>
              <w:spacing w:before="40" w:after="40"/>
              <w:jc w:val="center"/>
            </w:pPr>
            <w:r>
              <w:t>-2</w:t>
            </w:r>
          </w:p>
        </w:tc>
        <w:tc>
          <w:tcPr>
            <w:tcW w:w="0" w:type="auto"/>
            <w:vAlign w:val="center"/>
            <w:hideMark/>
          </w:tcPr>
          <w:p w14:paraId="1E6C4470" w14:textId="366AE293" w:rsidR="00CD213E" w:rsidRDefault="00CD213E" w:rsidP="00CD213E">
            <w:pPr>
              <w:spacing w:before="40" w:after="40"/>
              <w:jc w:val="center"/>
              <w:rPr>
                <w:sz w:val="20"/>
                <w:szCs w:val="20"/>
              </w:rPr>
            </w:pPr>
            <w:r>
              <w:rPr>
                <w:sz w:val="20"/>
                <w:szCs w:val="20"/>
              </w:rPr>
              <w:t>6.4%</w:t>
            </w:r>
          </w:p>
        </w:tc>
        <w:tc>
          <w:tcPr>
            <w:tcW w:w="0" w:type="auto"/>
            <w:vAlign w:val="center"/>
            <w:hideMark/>
          </w:tcPr>
          <w:p w14:paraId="3A8A2EE4" w14:textId="77777777" w:rsidR="00CD213E" w:rsidRDefault="00CD213E" w:rsidP="00CD213E">
            <w:pPr>
              <w:spacing w:before="40" w:after="40"/>
              <w:jc w:val="center"/>
              <w:rPr>
                <w:sz w:val="20"/>
                <w:szCs w:val="20"/>
              </w:rPr>
            </w:pPr>
            <w:r>
              <w:rPr>
                <w:sz w:val="20"/>
                <w:szCs w:val="20"/>
              </w:rPr>
              <w:t>6</w:t>
            </w:r>
          </w:p>
        </w:tc>
        <w:tc>
          <w:tcPr>
            <w:tcW w:w="0" w:type="auto"/>
            <w:vAlign w:val="center"/>
            <w:hideMark/>
          </w:tcPr>
          <w:p w14:paraId="6235AF20" w14:textId="77777777" w:rsidR="00CD213E" w:rsidRDefault="00CD213E" w:rsidP="00CD213E">
            <w:pPr>
              <w:spacing w:before="40" w:after="40"/>
              <w:jc w:val="center"/>
              <w:rPr>
                <w:sz w:val="20"/>
                <w:szCs w:val="20"/>
              </w:rPr>
            </w:pPr>
            <w:r>
              <w:rPr>
                <w:sz w:val="20"/>
                <w:szCs w:val="20"/>
              </w:rPr>
              <w:t>-3</w:t>
            </w:r>
          </w:p>
        </w:tc>
        <w:tc>
          <w:tcPr>
            <w:tcW w:w="1453" w:type="dxa"/>
            <w:vAlign w:val="center"/>
            <w:hideMark/>
          </w:tcPr>
          <w:p w14:paraId="408C57B6" w14:textId="77777777" w:rsidR="00CD213E" w:rsidRDefault="00CD213E" w:rsidP="00CD213E">
            <w:pPr>
              <w:spacing w:before="40" w:after="40"/>
              <w:jc w:val="center"/>
              <w:rPr>
                <w:sz w:val="20"/>
                <w:szCs w:val="20"/>
              </w:rPr>
            </w:pPr>
            <w:r w:rsidRPr="000777CB">
              <w:rPr>
                <w:sz w:val="20"/>
                <w:szCs w:val="20"/>
              </w:rPr>
              <w:t>770</w:t>
            </w:r>
          </w:p>
        </w:tc>
        <w:tc>
          <w:tcPr>
            <w:tcW w:w="895" w:type="dxa"/>
            <w:vAlign w:val="center"/>
            <w:hideMark/>
          </w:tcPr>
          <w:p w14:paraId="630DA8F9" w14:textId="77777777" w:rsidR="00CD213E" w:rsidRPr="00CD213E" w:rsidRDefault="00CD213E" w:rsidP="00CD213E">
            <w:pPr>
              <w:spacing w:before="40" w:after="40"/>
              <w:jc w:val="center"/>
              <w:rPr>
                <w:sz w:val="20"/>
                <w:szCs w:val="20"/>
              </w:rPr>
            </w:pPr>
            <w:r w:rsidRPr="00CD213E">
              <w:rPr>
                <w:color w:val="000000"/>
                <w:sz w:val="18"/>
                <w:szCs w:val="18"/>
              </w:rPr>
              <w:t>9</w:t>
            </w:r>
          </w:p>
        </w:tc>
      </w:tr>
      <w:tr w:rsidR="00CD213E" w14:paraId="20BFA385" w14:textId="77777777" w:rsidTr="00CD213E">
        <w:tc>
          <w:tcPr>
            <w:tcW w:w="0" w:type="auto"/>
            <w:hideMark/>
          </w:tcPr>
          <w:p w14:paraId="226AF27B" w14:textId="77777777" w:rsidR="00CD213E" w:rsidRPr="00CD213E" w:rsidRDefault="00CD213E" w:rsidP="00CD213E">
            <w:pPr>
              <w:spacing w:before="40" w:after="40"/>
              <w:jc w:val="center"/>
              <w:rPr>
                <w:b/>
                <w:bCs/>
              </w:rPr>
            </w:pPr>
            <w:r w:rsidRPr="00CD213E">
              <w:rPr>
                <w:b/>
                <w:bCs/>
              </w:rPr>
              <w:t>Tunisia</w:t>
            </w:r>
          </w:p>
        </w:tc>
        <w:tc>
          <w:tcPr>
            <w:tcW w:w="0" w:type="auto"/>
            <w:vAlign w:val="center"/>
            <w:hideMark/>
          </w:tcPr>
          <w:p w14:paraId="7BE519B8" w14:textId="77777777" w:rsidR="00CD213E" w:rsidRDefault="00CD213E" w:rsidP="00CD213E">
            <w:pPr>
              <w:spacing w:before="40" w:after="40"/>
              <w:jc w:val="center"/>
            </w:pPr>
            <w:r>
              <w:t>N</w:t>
            </w:r>
          </w:p>
        </w:tc>
        <w:tc>
          <w:tcPr>
            <w:tcW w:w="0" w:type="auto"/>
            <w:vAlign w:val="center"/>
            <w:hideMark/>
          </w:tcPr>
          <w:p w14:paraId="1F189B29" w14:textId="77777777" w:rsidR="00CD213E" w:rsidRDefault="00CD213E" w:rsidP="00CD213E">
            <w:pPr>
              <w:spacing w:before="40" w:after="40"/>
              <w:jc w:val="center"/>
            </w:pPr>
            <w:r>
              <w:t>-0</w:t>
            </w:r>
          </w:p>
        </w:tc>
        <w:tc>
          <w:tcPr>
            <w:tcW w:w="0" w:type="auto"/>
            <w:vAlign w:val="center"/>
            <w:hideMark/>
          </w:tcPr>
          <w:p w14:paraId="0E053C5B" w14:textId="4CDBCAFF" w:rsidR="00CD213E" w:rsidRDefault="00CD213E" w:rsidP="00CD213E">
            <w:pPr>
              <w:spacing w:before="40" w:after="40"/>
              <w:jc w:val="center"/>
              <w:rPr>
                <w:sz w:val="20"/>
                <w:szCs w:val="20"/>
              </w:rPr>
            </w:pPr>
            <w:r>
              <w:rPr>
                <w:sz w:val="20"/>
                <w:szCs w:val="20"/>
              </w:rPr>
              <w:t>2.2%</w:t>
            </w:r>
          </w:p>
        </w:tc>
        <w:tc>
          <w:tcPr>
            <w:tcW w:w="0" w:type="auto"/>
            <w:vAlign w:val="center"/>
            <w:hideMark/>
          </w:tcPr>
          <w:p w14:paraId="79E914F8" w14:textId="77777777" w:rsidR="00CD213E" w:rsidRDefault="00CD213E" w:rsidP="00CD213E">
            <w:pPr>
              <w:spacing w:before="40" w:after="40"/>
              <w:jc w:val="center"/>
              <w:rPr>
                <w:sz w:val="20"/>
                <w:szCs w:val="20"/>
              </w:rPr>
            </w:pPr>
            <w:r>
              <w:rPr>
                <w:sz w:val="20"/>
                <w:szCs w:val="20"/>
              </w:rPr>
              <w:t>37</w:t>
            </w:r>
          </w:p>
        </w:tc>
        <w:tc>
          <w:tcPr>
            <w:tcW w:w="0" w:type="auto"/>
            <w:vAlign w:val="center"/>
            <w:hideMark/>
          </w:tcPr>
          <w:p w14:paraId="7DD66AD9" w14:textId="77777777" w:rsidR="00CD213E" w:rsidRDefault="00CD213E" w:rsidP="00CD213E">
            <w:pPr>
              <w:spacing w:before="40" w:after="40"/>
              <w:jc w:val="center"/>
              <w:rPr>
                <w:sz w:val="20"/>
                <w:szCs w:val="20"/>
              </w:rPr>
            </w:pPr>
            <w:r>
              <w:rPr>
                <w:sz w:val="20"/>
                <w:szCs w:val="20"/>
              </w:rPr>
              <w:t>-1</w:t>
            </w:r>
          </w:p>
        </w:tc>
        <w:tc>
          <w:tcPr>
            <w:tcW w:w="1453" w:type="dxa"/>
            <w:vAlign w:val="center"/>
            <w:hideMark/>
          </w:tcPr>
          <w:p w14:paraId="25CDF14F" w14:textId="77777777" w:rsidR="00CD213E" w:rsidRDefault="00CD213E" w:rsidP="00CD213E">
            <w:pPr>
              <w:spacing w:before="40" w:after="40"/>
              <w:jc w:val="center"/>
              <w:rPr>
                <w:sz w:val="20"/>
                <w:szCs w:val="20"/>
              </w:rPr>
            </w:pPr>
            <w:r w:rsidRPr="000777CB">
              <w:rPr>
                <w:sz w:val="20"/>
                <w:szCs w:val="20"/>
              </w:rPr>
              <w:t>3,850</w:t>
            </w:r>
          </w:p>
        </w:tc>
        <w:tc>
          <w:tcPr>
            <w:tcW w:w="895" w:type="dxa"/>
            <w:vAlign w:val="center"/>
            <w:hideMark/>
          </w:tcPr>
          <w:p w14:paraId="68AF1B85" w14:textId="77777777" w:rsidR="00CD213E" w:rsidRPr="00CD213E" w:rsidRDefault="00CD213E" w:rsidP="00CD213E">
            <w:pPr>
              <w:spacing w:before="40" w:after="40"/>
              <w:jc w:val="center"/>
              <w:rPr>
                <w:sz w:val="20"/>
                <w:szCs w:val="20"/>
              </w:rPr>
            </w:pPr>
            <w:r w:rsidRPr="00CD213E">
              <w:rPr>
                <w:color w:val="000000"/>
                <w:sz w:val="18"/>
                <w:szCs w:val="18"/>
              </w:rPr>
              <w:t>18</w:t>
            </w:r>
          </w:p>
        </w:tc>
      </w:tr>
      <w:tr w:rsidR="00CD213E" w14:paraId="406067BE" w14:textId="77777777" w:rsidTr="00CD213E">
        <w:tc>
          <w:tcPr>
            <w:tcW w:w="0" w:type="auto"/>
            <w:hideMark/>
          </w:tcPr>
          <w:p w14:paraId="72F0F5DD" w14:textId="77777777" w:rsidR="00CD213E" w:rsidRPr="00CD213E" w:rsidRDefault="00CD213E" w:rsidP="00CD213E">
            <w:pPr>
              <w:spacing w:before="40" w:after="40"/>
              <w:jc w:val="center"/>
              <w:rPr>
                <w:b/>
                <w:bCs/>
              </w:rPr>
            </w:pPr>
            <w:r w:rsidRPr="00CD213E">
              <w:rPr>
                <w:b/>
                <w:bCs/>
              </w:rPr>
              <w:t>United Arab Emirates (UAE)</w:t>
            </w:r>
          </w:p>
        </w:tc>
        <w:tc>
          <w:tcPr>
            <w:tcW w:w="0" w:type="auto"/>
            <w:vAlign w:val="center"/>
            <w:hideMark/>
          </w:tcPr>
          <w:p w14:paraId="2115033E" w14:textId="77777777" w:rsidR="00CD213E" w:rsidRDefault="00CD213E" w:rsidP="00CD213E">
            <w:pPr>
              <w:spacing w:before="40" w:after="40"/>
              <w:jc w:val="center"/>
            </w:pPr>
            <w:r>
              <w:t>Y</w:t>
            </w:r>
          </w:p>
        </w:tc>
        <w:tc>
          <w:tcPr>
            <w:tcW w:w="0" w:type="auto"/>
            <w:vAlign w:val="center"/>
            <w:hideMark/>
          </w:tcPr>
          <w:p w14:paraId="3E2A20D7" w14:textId="77777777" w:rsidR="00CD213E" w:rsidRDefault="00CD213E" w:rsidP="00CD213E">
            <w:pPr>
              <w:spacing w:before="40" w:after="40"/>
              <w:jc w:val="center"/>
            </w:pPr>
            <w:r>
              <w:t>2</w:t>
            </w:r>
          </w:p>
        </w:tc>
        <w:tc>
          <w:tcPr>
            <w:tcW w:w="0" w:type="auto"/>
            <w:vAlign w:val="center"/>
            <w:hideMark/>
          </w:tcPr>
          <w:p w14:paraId="713A9E3C" w14:textId="27076690" w:rsidR="00CD213E" w:rsidRDefault="00CD213E" w:rsidP="00CD213E">
            <w:pPr>
              <w:spacing w:before="40" w:after="40"/>
              <w:jc w:val="center"/>
              <w:rPr>
                <w:sz w:val="20"/>
                <w:szCs w:val="20"/>
              </w:rPr>
            </w:pPr>
            <w:r>
              <w:rPr>
                <w:sz w:val="20"/>
                <w:szCs w:val="20"/>
              </w:rPr>
              <w:t>17.6%</w:t>
            </w:r>
          </w:p>
        </w:tc>
        <w:tc>
          <w:tcPr>
            <w:tcW w:w="0" w:type="auto"/>
            <w:vAlign w:val="center"/>
            <w:hideMark/>
          </w:tcPr>
          <w:p w14:paraId="70D56499" w14:textId="77777777" w:rsidR="00CD213E" w:rsidRDefault="00CD213E" w:rsidP="00CD213E">
            <w:pPr>
              <w:spacing w:before="40" w:after="40"/>
              <w:jc w:val="center"/>
              <w:rPr>
                <w:sz w:val="20"/>
                <w:szCs w:val="20"/>
              </w:rPr>
            </w:pPr>
            <w:r>
              <w:rPr>
                <w:sz w:val="20"/>
                <w:szCs w:val="20"/>
              </w:rPr>
              <w:t>11</w:t>
            </w:r>
          </w:p>
        </w:tc>
        <w:tc>
          <w:tcPr>
            <w:tcW w:w="0" w:type="auto"/>
            <w:vAlign w:val="center"/>
            <w:hideMark/>
          </w:tcPr>
          <w:p w14:paraId="458124B6" w14:textId="77777777" w:rsidR="00CD213E" w:rsidRDefault="00CD213E" w:rsidP="00CD213E">
            <w:pPr>
              <w:spacing w:before="40" w:after="40"/>
              <w:jc w:val="center"/>
              <w:rPr>
                <w:sz w:val="20"/>
                <w:szCs w:val="20"/>
              </w:rPr>
            </w:pPr>
            <w:r>
              <w:rPr>
                <w:sz w:val="20"/>
                <w:szCs w:val="20"/>
              </w:rPr>
              <w:t>1</w:t>
            </w:r>
          </w:p>
        </w:tc>
        <w:tc>
          <w:tcPr>
            <w:tcW w:w="1453" w:type="dxa"/>
            <w:vAlign w:val="center"/>
            <w:hideMark/>
          </w:tcPr>
          <w:p w14:paraId="066A3FF3" w14:textId="77777777" w:rsidR="00CD213E" w:rsidRDefault="00CD213E" w:rsidP="00CD213E">
            <w:pPr>
              <w:spacing w:before="40" w:after="40"/>
              <w:jc w:val="center"/>
              <w:rPr>
                <w:sz w:val="20"/>
                <w:szCs w:val="20"/>
              </w:rPr>
            </w:pPr>
            <w:r w:rsidRPr="000777CB">
              <w:rPr>
                <w:sz w:val="20"/>
                <w:szCs w:val="20"/>
              </w:rPr>
              <w:t>49,020</w:t>
            </w:r>
          </w:p>
        </w:tc>
        <w:tc>
          <w:tcPr>
            <w:tcW w:w="895" w:type="dxa"/>
            <w:vAlign w:val="center"/>
            <w:hideMark/>
          </w:tcPr>
          <w:p w14:paraId="3523FAFC" w14:textId="77777777" w:rsidR="00CD213E" w:rsidRPr="00CD213E" w:rsidRDefault="00CD213E" w:rsidP="00CD213E">
            <w:pPr>
              <w:spacing w:before="40" w:after="40"/>
              <w:jc w:val="center"/>
              <w:rPr>
                <w:sz w:val="20"/>
                <w:szCs w:val="20"/>
              </w:rPr>
            </w:pPr>
            <w:r w:rsidRPr="00CD213E">
              <w:rPr>
                <w:color w:val="000000"/>
                <w:sz w:val="18"/>
                <w:szCs w:val="18"/>
              </w:rPr>
              <w:t>41</w:t>
            </w:r>
          </w:p>
        </w:tc>
      </w:tr>
    </w:tbl>
    <w:p w14:paraId="4D78C7D4" w14:textId="77777777" w:rsidR="00CD213E" w:rsidRDefault="00CD213E" w:rsidP="00CD213E"/>
    <w:p w14:paraId="4F760616" w14:textId="77777777" w:rsidR="00CD213E" w:rsidRDefault="00CD213E" w:rsidP="00CD213E">
      <w:pPr>
        <w:spacing w:before="120" w:after="120" w:line="360" w:lineRule="auto"/>
        <w:sectPr w:rsidR="00CD213E" w:rsidSect="00C806BF">
          <w:pgSz w:w="15840" w:h="12240" w:orient="landscape"/>
          <w:pgMar w:top="1440" w:right="1440" w:bottom="1440" w:left="1440" w:header="720" w:footer="720" w:gutter="0"/>
          <w:cols w:space="720"/>
          <w:titlePg/>
          <w:docGrid w:linePitch="326"/>
        </w:sectPr>
      </w:pPr>
    </w:p>
    <w:p w14:paraId="0000004E" w14:textId="394F8311" w:rsidR="00E07592" w:rsidRDefault="00C67442">
      <w:pPr>
        <w:spacing w:before="120" w:after="120" w:line="360" w:lineRule="auto"/>
        <w:jc w:val="both"/>
        <w:rPr>
          <w:b/>
        </w:rPr>
      </w:pPr>
      <w:r>
        <w:rPr>
          <w:b/>
        </w:rPr>
        <w:lastRenderedPageBreak/>
        <w:t>3.2. Construct Development</w:t>
      </w:r>
    </w:p>
    <w:p w14:paraId="30BBAA50" w14:textId="0EFF204D" w:rsidR="0050455B" w:rsidRPr="0050455B" w:rsidRDefault="0050455B" w:rsidP="0050455B">
      <w:pPr>
        <w:spacing w:before="120" w:after="120" w:line="360" w:lineRule="auto"/>
        <w:jc w:val="both"/>
      </w:pPr>
      <w:r w:rsidRPr="00CD213E">
        <w:rPr>
          <w:u w:val="single"/>
        </w:rPr>
        <w:t>Table 3</w:t>
      </w:r>
      <w:r w:rsidRPr="0050455B">
        <w:t xml:space="preserve"> details the constructs and measures employed to test the conceptual research model. For analysis, we use PLS-SEM, which supports comprehensive modeling of complex relationships among multiple constructs and relies on a nonparametric bootstrap method to assess the statistical significance of relationships (Hair Jr et al., 2020; </w:t>
      </w:r>
      <w:proofErr w:type="spellStart"/>
      <w:r w:rsidRPr="0050455B">
        <w:t>Kluijtmans</w:t>
      </w:r>
      <w:proofErr w:type="spellEnd"/>
      <w:r w:rsidRPr="0050455B">
        <w:t xml:space="preserve"> et al., 2024; Ringle, 2015). </w:t>
      </w:r>
    </w:p>
    <w:p w14:paraId="4A254151" w14:textId="1F12381D" w:rsidR="00CD213E" w:rsidRDefault="00CD213E" w:rsidP="00CD213E">
      <w:pPr>
        <w:rPr>
          <w:b/>
        </w:rPr>
      </w:pPr>
      <w:r>
        <w:rPr>
          <w:b/>
        </w:rPr>
        <w:t xml:space="preserve">Table 3. </w:t>
      </w:r>
      <w:r>
        <w:rPr>
          <w:bCs/>
        </w:rPr>
        <w:t>C</w:t>
      </w:r>
      <w:r>
        <w:rPr>
          <w:i/>
        </w:rPr>
        <w:t>onstructs</w:t>
      </w:r>
      <w:sdt>
        <w:sdtPr>
          <w:tag w:val="goog_rdk_186"/>
          <w:id w:val="1690869831"/>
        </w:sdtPr>
        <w:sdtEndPr/>
        <w:sdtContent>
          <w:r>
            <w:rPr>
              <w:i/>
            </w:rPr>
            <w:t>,</w:t>
          </w:r>
        </w:sdtContent>
      </w:sdt>
      <w:r>
        <w:rPr>
          <w:i/>
        </w:rPr>
        <w:t xml:space="preserve"> </w:t>
      </w:r>
      <w:sdt>
        <w:sdtPr>
          <w:tag w:val="goog_rdk_188"/>
          <w:id w:val="909196702"/>
        </w:sdtPr>
        <w:sdtEndPr/>
        <w:sdtContent>
          <w:r>
            <w:rPr>
              <w:i/>
            </w:rPr>
            <w:t>M</w:t>
          </w:r>
        </w:sdtContent>
      </w:sdt>
      <w:r>
        <w:rPr>
          <w:i/>
        </w:rPr>
        <w:t>easures</w:t>
      </w:r>
      <w:sdt>
        <w:sdtPr>
          <w:tag w:val="goog_rdk_190"/>
          <w:id w:val="223811944"/>
        </w:sdtPr>
        <w:sdtEndPr/>
        <w:sdtContent>
          <w:r>
            <w:rPr>
              <w:i/>
            </w:rPr>
            <w:t xml:space="preserve"> and Descriptions</w:t>
          </w:r>
        </w:sdtContent>
      </w:sdt>
      <w:r>
        <w:rPr>
          <w:i/>
        </w:rPr>
        <w:t>.</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1417"/>
        <w:gridCol w:w="5999"/>
      </w:tblGrid>
      <w:tr w:rsidR="00CD213E" w14:paraId="2765F8EC" w14:textId="77777777" w:rsidTr="00CD213E">
        <w:trPr>
          <w:trHeight w:val="553"/>
        </w:trPr>
        <w:tc>
          <w:tcPr>
            <w:tcW w:w="1980" w:type="dxa"/>
            <w:vAlign w:val="center"/>
          </w:tcPr>
          <w:p w14:paraId="1247AFB3" w14:textId="77777777" w:rsidR="00CD213E" w:rsidRDefault="00CD213E" w:rsidP="00150C7F">
            <w:pPr>
              <w:jc w:val="center"/>
              <w:rPr>
                <w:b/>
                <w:color w:val="000000"/>
              </w:rPr>
            </w:pPr>
            <w:bookmarkStart w:id="0" w:name="_heading=h.acrh3aef6bm6" w:colFirst="0" w:colLast="0"/>
            <w:bookmarkEnd w:id="0"/>
            <w:r>
              <w:rPr>
                <w:b/>
                <w:color w:val="000000"/>
              </w:rPr>
              <w:t>Constructs</w:t>
            </w:r>
          </w:p>
        </w:tc>
        <w:tc>
          <w:tcPr>
            <w:tcW w:w="1417" w:type="dxa"/>
            <w:vAlign w:val="center"/>
          </w:tcPr>
          <w:p w14:paraId="632C0F63" w14:textId="77777777" w:rsidR="00CD213E" w:rsidRDefault="00CD213E" w:rsidP="00150C7F">
            <w:pPr>
              <w:jc w:val="center"/>
              <w:rPr>
                <w:b/>
                <w:color w:val="000000"/>
              </w:rPr>
            </w:pPr>
            <w:r>
              <w:rPr>
                <w:b/>
                <w:color w:val="000000"/>
              </w:rPr>
              <w:t>Measures</w:t>
            </w:r>
          </w:p>
        </w:tc>
        <w:tc>
          <w:tcPr>
            <w:tcW w:w="5999" w:type="dxa"/>
            <w:vAlign w:val="center"/>
          </w:tcPr>
          <w:p w14:paraId="2C572CFF" w14:textId="77777777" w:rsidR="00CD213E" w:rsidRDefault="00CD213E" w:rsidP="00150C7F">
            <w:pPr>
              <w:jc w:val="center"/>
              <w:rPr>
                <w:b/>
                <w:color w:val="000000"/>
              </w:rPr>
            </w:pPr>
            <w:r>
              <w:rPr>
                <w:b/>
                <w:color w:val="000000"/>
              </w:rPr>
              <w:t>Descriptions</w:t>
            </w:r>
          </w:p>
        </w:tc>
      </w:tr>
      <w:tr w:rsidR="00CD213E" w14:paraId="53EE00FE" w14:textId="77777777" w:rsidTr="00CD213E">
        <w:trPr>
          <w:trHeight w:val="702"/>
        </w:trPr>
        <w:tc>
          <w:tcPr>
            <w:tcW w:w="1980" w:type="dxa"/>
            <w:vMerge w:val="restart"/>
            <w:vAlign w:val="center"/>
          </w:tcPr>
          <w:p w14:paraId="0E0B37C0" w14:textId="77777777" w:rsidR="00CD213E" w:rsidRDefault="00CD213E" w:rsidP="00150C7F">
            <w:pPr>
              <w:jc w:val="center"/>
              <w:rPr>
                <w:b/>
                <w:color w:val="000000"/>
              </w:rPr>
            </w:pPr>
            <w:r>
              <w:rPr>
                <w:b/>
                <w:color w:val="000000"/>
              </w:rPr>
              <w:t>Ethical Practices</w:t>
            </w:r>
          </w:p>
        </w:tc>
        <w:tc>
          <w:tcPr>
            <w:tcW w:w="1417" w:type="dxa"/>
            <w:vAlign w:val="center"/>
          </w:tcPr>
          <w:p w14:paraId="5F667533" w14:textId="77777777" w:rsidR="00CD213E" w:rsidRDefault="00CD213E" w:rsidP="00150C7F">
            <w:pPr>
              <w:jc w:val="center"/>
              <w:rPr>
                <w:color w:val="000000"/>
              </w:rPr>
            </w:pPr>
            <w:r>
              <w:rPr>
                <w:b/>
                <w:color w:val="000000"/>
              </w:rPr>
              <w:t>EP1</w:t>
            </w:r>
          </w:p>
        </w:tc>
        <w:tc>
          <w:tcPr>
            <w:tcW w:w="5999" w:type="dxa"/>
            <w:vAlign w:val="center"/>
          </w:tcPr>
          <w:p w14:paraId="78AB050F" w14:textId="77777777" w:rsidR="00CD213E" w:rsidRDefault="00CD213E" w:rsidP="00150C7F">
            <w:pPr>
              <w:spacing w:before="120" w:after="120" w:line="276" w:lineRule="auto"/>
              <w:jc w:val="both"/>
              <w:rPr>
                <w:color w:val="000000"/>
              </w:rPr>
            </w:pPr>
            <w:r>
              <w:rPr>
                <w:b/>
                <w:i/>
                <w:color w:val="000000"/>
              </w:rPr>
              <w:t>Improvement Tools Business Ethics:</w:t>
            </w:r>
            <w:r>
              <w:rPr>
                <w:color w:val="000000"/>
              </w:rPr>
              <w:t xml:space="preserve"> Whether the MNE has implemented specific tools and strategies to enhance ethical practices – </w:t>
            </w:r>
            <w:r>
              <w:rPr>
                <w:i/>
                <w:color w:val="000000"/>
              </w:rPr>
              <w:t xml:space="preserve">does the company have appropriate communication tools to improve general business ethics? </w:t>
            </w:r>
          </w:p>
        </w:tc>
      </w:tr>
      <w:tr w:rsidR="00CD213E" w14:paraId="157343EC" w14:textId="77777777" w:rsidTr="00CD213E">
        <w:trPr>
          <w:trHeight w:val="415"/>
        </w:trPr>
        <w:tc>
          <w:tcPr>
            <w:tcW w:w="1980" w:type="dxa"/>
            <w:vMerge/>
            <w:vAlign w:val="center"/>
          </w:tcPr>
          <w:p w14:paraId="6CA8E35E" w14:textId="77777777" w:rsidR="00CD213E" w:rsidRDefault="00CD213E" w:rsidP="00150C7F">
            <w:pPr>
              <w:widowControl w:val="0"/>
              <w:pBdr>
                <w:top w:val="nil"/>
                <w:left w:val="nil"/>
                <w:bottom w:val="nil"/>
                <w:right w:val="nil"/>
                <w:between w:val="nil"/>
              </w:pBdr>
              <w:spacing w:line="276" w:lineRule="auto"/>
              <w:rPr>
                <w:color w:val="000000"/>
              </w:rPr>
            </w:pPr>
          </w:p>
        </w:tc>
        <w:tc>
          <w:tcPr>
            <w:tcW w:w="1417" w:type="dxa"/>
            <w:vAlign w:val="center"/>
          </w:tcPr>
          <w:p w14:paraId="262777D9" w14:textId="77777777" w:rsidR="00CD213E" w:rsidRDefault="00CD213E" w:rsidP="00150C7F">
            <w:pPr>
              <w:jc w:val="center"/>
              <w:rPr>
                <w:color w:val="000000"/>
              </w:rPr>
            </w:pPr>
            <w:r>
              <w:rPr>
                <w:b/>
                <w:color w:val="000000"/>
              </w:rPr>
              <w:t>EP2</w:t>
            </w:r>
          </w:p>
        </w:tc>
        <w:tc>
          <w:tcPr>
            <w:tcW w:w="5999" w:type="dxa"/>
            <w:vAlign w:val="center"/>
          </w:tcPr>
          <w:p w14:paraId="532D8C7C" w14:textId="77777777" w:rsidR="00CD213E" w:rsidRDefault="00CD213E" w:rsidP="00150C7F">
            <w:pPr>
              <w:spacing w:before="120" w:after="120" w:line="276" w:lineRule="auto"/>
              <w:jc w:val="both"/>
              <w:rPr>
                <w:color w:val="000000"/>
              </w:rPr>
            </w:pPr>
            <w:r>
              <w:rPr>
                <w:b/>
                <w:i/>
                <w:color w:val="000000"/>
              </w:rPr>
              <w:t>Policy Business Ethics:</w:t>
            </w:r>
            <w:r>
              <w:rPr>
                <w:color w:val="000000"/>
              </w:rPr>
              <w:t xml:space="preserve"> Whether the MNE has established formal policies to promote and enforce ethical practices –</w:t>
            </w:r>
            <w:r>
              <w:rPr>
                <w:i/>
                <w:color w:val="000000"/>
              </w:rPr>
              <w:t>does the company describe in the code of conduct that it strives to maintain the highest level of general business ethics?</w:t>
            </w:r>
            <w:r>
              <w:rPr>
                <w:color w:val="000000"/>
              </w:rPr>
              <w:t xml:space="preserve"> </w:t>
            </w:r>
          </w:p>
        </w:tc>
      </w:tr>
      <w:tr w:rsidR="00CD213E" w14:paraId="3407A0B3" w14:textId="77777777" w:rsidTr="00CD213E">
        <w:trPr>
          <w:trHeight w:val="544"/>
        </w:trPr>
        <w:tc>
          <w:tcPr>
            <w:tcW w:w="1980" w:type="dxa"/>
            <w:vMerge/>
            <w:vAlign w:val="center"/>
          </w:tcPr>
          <w:p w14:paraId="0201642B" w14:textId="77777777" w:rsidR="00CD213E" w:rsidRDefault="00CD213E" w:rsidP="00150C7F">
            <w:pPr>
              <w:widowControl w:val="0"/>
              <w:pBdr>
                <w:top w:val="nil"/>
                <w:left w:val="nil"/>
                <w:bottom w:val="nil"/>
                <w:right w:val="nil"/>
                <w:between w:val="nil"/>
              </w:pBdr>
              <w:spacing w:line="276" w:lineRule="auto"/>
              <w:rPr>
                <w:color w:val="000000"/>
              </w:rPr>
            </w:pPr>
          </w:p>
        </w:tc>
        <w:tc>
          <w:tcPr>
            <w:tcW w:w="1417" w:type="dxa"/>
            <w:vAlign w:val="center"/>
          </w:tcPr>
          <w:p w14:paraId="0A6C7847" w14:textId="77777777" w:rsidR="00CD213E" w:rsidRDefault="00CD213E" w:rsidP="00150C7F">
            <w:pPr>
              <w:jc w:val="center"/>
              <w:rPr>
                <w:color w:val="000000"/>
              </w:rPr>
            </w:pPr>
            <w:r>
              <w:rPr>
                <w:b/>
                <w:color w:val="000000"/>
              </w:rPr>
              <w:t>EP3</w:t>
            </w:r>
          </w:p>
        </w:tc>
        <w:tc>
          <w:tcPr>
            <w:tcW w:w="5999" w:type="dxa"/>
            <w:vAlign w:val="center"/>
          </w:tcPr>
          <w:p w14:paraId="7E4EE72D" w14:textId="77777777" w:rsidR="00CD213E" w:rsidRDefault="00CD213E" w:rsidP="00150C7F">
            <w:pPr>
              <w:spacing w:before="120" w:after="120" w:line="276" w:lineRule="auto"/>
              <w:jc w:val="both"/>
              <w:rPr>
                <w:color w:val="000000"/>
              </w:rPr>
            </w:pPr>
            <w:r>
              <w:rPr>
                <w:b/>
                <w:i/>
                <w:color w:val="000000"/>
              </w:rPr>
              <w:t>Policy Diversity and Opportunity:</w:t>
            </w:r>
            <w:r>
              <w:rPr>
                <w:color w:val="000000"/>
              </w:rPr>
              <w:t xml:space="preserve"> </w:t>
            </w:r>
            <w:sdt>
              <w:sdtPr>
                <w:tag w:val="goog_rdk_191"/>
                <w:id w:val="-1374072327"/>
              </w:sdtPr>
              <w:sdtEndPr/>
              <w:sdtContent>
                <w:r>
                  <w:rPr>
                    <w:color w:val="000000"/>
                  </w:rPr>
                  <w:t>Has the MNE implemented formal policies to promote diversity and equal opportunity within the organization? Does</w:t>
                </w:r>
              </w:sdtContent>
            </w:sdt>
            <w:r>
              <w:rPr>
                <w:i/>
                <w:color w:val="000000"/>
              </w:rPr>
              <w:t xml:space="preserve"> the company have a policy to drive diversity and equal opportunity?</w:t>
            </w:r>
          </w:p>
        </w:tc>
      </w:tr>
      <w:tr w:rsidR="00CD213E" w14:paraId="0305C77B" w14:textId="77777777" w:rsidTr="00CD213E">
        <w:trPr>
          <w:trHeight w:val="711"/>
        </w:trPr>
        <w:tc>
          <w:tcPr>
            <w:tcW w:w="1980" w:type="dxa"/>
            <w:vMerge w:val="restart"/>
            <w:vAlign w:val="center"/>
          </w:tcPr>
          <w:p w14:paraId="23ACCB38" w14:textId="77777777" w:rsidR="00CD213E" w:rsidRDefault="00CD213E" w:rsidP="00150C7F">
            <w:pPr>
              <w:jc w:val="center"/>
              <w:rPr>
                <w:b/>
                <w:color w:val="000000"/>
              </w:rPr>
            </w:pPr>
            <w:r>
              <w:rPr>
                <w:b/>
                <w:color w:val="000000"/>
              </w:rPr>
              <w:t>Environmental Management Practices</w:t>
            </w:r>
          </w:p>
        </w:tc>
        <w:tc>
          <w:tcPr>
            <w:tcW w:w="1417" w:type="dxa"/>
            <w:vAlign w:val="center"/>
          </w:tcPr>
          <w:p w14:paraId="36FCF52B" w14:textId="77777777" w:rsidR="00CD213E" w:rsidRDefault="00CD213E" w:rsidP="00150C7F">
            <w:pPr>
              <w:jc w:val="center"/>
              <w:rPr>
                <w:color w:val="000000"/>
              </w:rPr>
            </w:pPr>
            <w:r>
              <w:rPr>
                <w:b/>
                <w:color w:val="000000"/>
              </w:rPr>
              <w:t>EMP1</w:t>
            </w:r>
          </w:p>
        </w:tc>
        <w:tc>
          <w:tcPr>
            <w:tcW w:w="5999" w:type="dxa"/>
            <w:vAlign w:val="center"/>
          </w:tcPr>
          <w:p w14:paraId="21563396" w14:textId="77777777" w:rsidR="00CD213E" w:rsidRDefault="00CD213E" w:rsidP="00150C7F">
            <w:pPr>
              <w:spacing w:before="120" w:after="120" w:line="276" w:lineRule="auto"/>
              <w:jc w:val="both"/>
              <w:rPr>
                <w:color w:val="000000"/>
              </w:rPr>
            </w:pPr>
            <w:r>
              <w:rPr>
                <w:b/>
                <w:i/>
                <w:color w:val="000000"/>
              </w:rPr>
              <w:t>Environmental Supply Chain Management:</w:t>
            </w:r>
            <w:r>
              <w:rPr>
                <w:color w:val="000000"/>
              </w:rPr>
              <w:t xml:space="preserve"> Whether the MNE has adopted practices and policies to manage and improve the environmental impact of its supply chain – </w:t>
            </w:r>
            <w:r>
              <w:rPr>
                <w:i/>
                <w:color w:val="000000"/>
              </w:rPr>
              <w:t xml:space="preserve">does the company use environmental criteria (e.g., ISO 14000, energy consumption) in the selection process of its suppliers or sourcing partners? </w:t>
            </w:r>
          </w:p>
        </w:tc>
      </w:tr>
      <w:tr w:rsidR="00CD213E" w14:paraId="276F199B" w14:textId="77777777" w:rsidTr="00CD213E">
        <w:trPr>
          <w:trHeight w:val="423"/>
        </w:trPr>
        <w:tc>
          <w:tcPr>
            <w:tcW w:w="1980" w:type="dxa"/>
            <w:vMerge/>
            <w:vAlign w:val="center"/>
          </w:tcPr>
          <w:p w14:paraId="0FC25FD3" w14:textId="77777777" w:rsidR="00CD213E" w:rsidRDefault="00CD213E" w:rsidP="00150C7F">
            <w:pPr>
              <w:widowControl w:val="0"/>
              <w:pBdr>
                <w:top w:val="nil"/>
                <w:left w:val="nil"/>
                <w:bottom w:val="nil"/>
                <w:right w:val="nil"/>
                <w:between w:val="nil"/>
              </w:pBdr>
              <w:spacing w:line="276" w:lineRule="auto"/>
              <w:rPr>
                <w:color w:val="000000"/>
              </w:rPr>
            </w:pPr>
          </w:p>
        </w:tc>
        <w:tc>
          <w:tcPr>
            <w:tcW w:w="1417" w:type="dxa"/>
            <w:vAlign w:val="center"/>
          </w:tcPr>
          <w:p w14:paraId="2EE2E697" w14:textId="77777777" w:rsidR="00CD213E" w:rsidRDefault="00CD213E" w:rsidP="00150C7F">
            <w:pPr>
              <w:jc w:val="center"/>
              <w:rPr>
                <w:color w:val="000000"/>
              </w:rPr>
            </w:pPr>
            <w:r>
              <w:rPr>
                <w:b/>
                <w:color w:val="000000"/>
              </w:rPr>
              <w:t>EMP2</w:t>
            </w:r>
          </w:p>
        </w:tc>
        <w:tc>
          <w:tcPr>
            <w:tcW w:w="5999" w:type="dxa"/>
            <w:vAlign w:val="center"/>
          </w:tcPr>
          <w:p w14:paraId="51B4FD88" w14:textId="77777777" w:rsidR="00CD213E" w:rsidRDefault="00CD213E" w:rsidP="00150C7F">
            <w:pPr>
              <w:spacing w:before="120" w:after="120" w:line="276" w:lineRule="auto"/>
              <w:jc w:val="both"/>
              <w:rPr>
                <w:i/>
                <w:color w:val="000000"/>
              </w:rPr>
            </w:pPr>
            <w:r>
              <w:rPr>
                <w:b/>
                <w:i/>
                <w:color w:val="000000"/>
              </w:rPr>
              <w:t>Waste Reduction Initiatives:</w:t>
            </w:r>
            <w:r>
              <w:rPr>
                <w:i/>
                <w:color w:val="000000"/>
              </w:rPr>
              <w:t xml:space="preserve"> </w:t>
            </w:r>
            <w:r>
              <w:rPr>
                <w:color w:val="000000"/>
              </w:rPr>
              <w:t xml:space="preserve">Whether the MNE has implemented initiatives aimed at reducing waste production and improving waste management practices – </w:t>
            </w:r>
            <w:r>
              <w:rPr>
                <w:i/>
                <w:color w:val="000000"/>
              </w:rPr>
              <w:t>does the company report on initiatives to recycle, reduce, reuse, substitute, treat or phase out total waste?</w:t>
            </w:r>
          </w:p>
        </w:tc>
      </w:tr>
      <w:tr w:rsidR="00CD213E" w14:paraId="6BD1A8AD" w14:textId="77777777" w:rsidTr="00CD213E">
        <w:trPr>
          <w:trHeight w:val="416"/>
        </w:trPr>
        <w:tc>
          <w:tcPr>
            <w:tcW w:w="1980" w:type="dxa"/>
            <w:vMerge/>
            <w:vAlign w:val="center"/>
          </w:tcPr>
          <w:p w14:paraId="6C3628EC" w14:textId="77777777" w:rsidR="00CD213E" w:rsidRDefault="00CD213E" w:rsidP="00150C7F">
            <w:pPr>
              <w:widowControl w:val="0"/>
              <w:pBdr>
                <w:top w:val="nil"/>
                <w:left w:val="nil"/>
                <w:bottom w:val="nil"/>
                <w:right w:val="nil"/>
                <w:between w:val="nil"/>
              </w:pBdr>
              <w:spacing w:line="276" w:lineRule="auto"/>
              <w:rPr>
                <w:i/>
                <w:color w:val="000000"/>
              </w:rPr>
            </w:pPr>
          </w:p>
        </w:tc>
        <w:tc>
          <w:tcPr>
            <w:tcW w:w="1417" w:type="dxa"/>
            <w:vAlign w:val="center"/>
          </w:tcPr>
          <w:p w14:paraId="74CCC8DD" w14:textId="77777777" w:rsidR="00CD213E" w:rsidRDefault="00CD213E" w:rsidP="00150C7F">
            <w:pPr>
              <w:jc w:val="center"/>
              <w:rPr>
                <w:color w:val="000000"/>
              </w:rPr>
            </w:pPr>
            <w:r>
              <w:rPr>
                <w:b/>
                <w:color w:val="000000"/>
              </w:rPr>
              <w:t>EMP3</w:t>
            </w:r>
          </w:p>
        </w:tc>
        <w:tc>
          <w:tcPr>
            <w:tcW w:w="5999" w:type="dxa"/>
            <w:vAlign w:val="center"/>
          </w:tcPr>
          <w:p w14:paraId="6F42AC1C" w14:textId="77777777" w:rsidR="00CD213E" w:rsidRDefault="00CD213E" w:rsidP="00150C7F">
            <w:pPr>
              <w:spacing w:before="120" w:after="120" w:line="276" w:lineRule="auto"/>
              <w:jc w:val="both"/>
              <w:rPr>
                <w:color w:val="000000"/>
              </w:rPr>
            </w:pPr>
            <w:r>
              <w:rPr>
                <w:b/>
                <w:i/>
                <w:color w:val="000000"/>
              </w:rPr>
              <w:t>Renewable Energy Use:</w:t>
            </w:r>
            <w:r>
              <w:rPr>
                <w:i/>
                <w:color w:val="000000"/>
              </w:rPr>
              <w:t xml:space="preserve"> </w:t>
            </w:r>
            <w:r>
              <w:rPr>
                <w:color w:val="000000"/>
              </w:rPr>
              <w:t xml:space="preserve">Whether the MNE utilizes renewable energy sources as part of its energy consumption </w:t>
            </w:r>
            <w:r>
              <w:rPr>
                <w:color w:val="000000"/>
              </w:rPr>
              <w:lastRenderedPageBreak/>
              <w:t xml:space="preserve">strategy – </w:t>
            </w:r>
            <w:r>
              <w:rPr>
                <w:i/>
                <w:color w:val="000000"/>
              </w:rPr>
              <w:t xml:space="preserve">does the company make use of renewable energy (i.e., renewable energy produced/purchased for its </w:t>
            </w:r>
            <w:sdt>
              <w:sdtPr>
                <w:tag w:val="goog_rdk_193"/>
                <w:id w:val="1587720862"/>
                <w:showingPlcHdr/>
              </w:sdtPr>
              <w:sdtEndPr/>
              <w:sdtContent>
                <w:r>
                  <w:t xml:space="preserve">     </w:t>
                </w:r>
              </w:sdtContent>
            </w:sdt>
            <w:r>
              <w:rPr>
                <w:i/>
                <w:color w:val="000000"/>
              </w:rPr>
              <w:t>use only; waste that is converted to energy and is used by the company for their use)?</w:t>
            </w:r>
          </w:p>
        </w:tc>
      </w:tr>
      <w:tr w:rsidR="00CD213E" w14:paraId="797F151F" w14:textId="77777777" w:rsidTr="00CD213E">
        <w:trPr>
          <w:trHeight w:val="422"/>
        </w:trPr>
        <w:tc>
          <w:tcPr>
            <w:tcW w:w="1980" w:type="dxa"/>
            <w:vMerge w:val="restart"/>
            <w:vAlign w:val="center"/>
          </w:tcPr>
          <w:p w14:paraId="6540F473" w14:textId="77777777" w:rsidR="00CD213E" w:rsidRDefault="00CD213E" w:rsidP="00150C7F">
            <w:pPr>
              <w:jc w:val="center"/>
              <w:rPr>
                <w:b/>
                <w:color w:val="000000"/>
              </w:rPr>
            </w:pPr>
            <w:r>
              <w:rPr>
                <w:b/>
                <w:color w:val="000000"/>
              </w:rPr>
              <w:lastRenderedPageBreak/>
              <w:t>Sustainability Performance</w:t>
            </w:r>
          </w:p>
        </w:tc>
        <w:tc>
          <w:tcPr>
            <w:tcW w:w="1417" w:type="dxa"/>
            <w:vAlign w:val="center"/>
          </w:tcPr>
          <w:p w14:paraId="07EEC682" w14:textId="77777777" w:rsidR="00CD213E" w:rsidRDefault="00CD213E" w:rsidP="00150C7F">
            <w:pPr>
              <w:jc w:val="center"/>
              <w:rPr>
                <w:color w:val="000000"/>
              </w:rPr>
            </w:pPr>
            <w:r>
              <w:rPr>
                <w:b/>
                <w:color w:val="000000"/>
              </w:rPr>
              <w:t>SP1</w:t>
            </w:r>
          </w:p>
        </w:tc>
        <w:tc>
          <w:tcPr>
            <w:tcW w:w="5999" w:type="dxa"/>
            <w:vAlign w:val="center"/>
          </w:tcPr>
          <w:p w14:paraId="6E421DD3" w14:textId="77777777" w:rsidR="00CD213E" w:rsidRDefault="00CD213E" w:rsidP="00150C7F">
            <w:pPr>
              <w:spacing w:before="120" w:after="120" w:line="276" w:lineRule="auto"/>
              <w:jc w:val="both"/>
              <w:rPr>
                <w:color w:val="000000"/>
              </w:rPr>
            </w:pPr>
            <w:r>
              <w:rPr>
                <w:b/>
                <w:i/>
                <w:color w:val="000000"/>
              </w:rPr>
              <w:t>Environmental Pillar Score:</w:t>
            </w:r>
            <w:r>
              <w:rPr>
                <w:i/>
                <w:color w:val="000000"/>
              </w:rPr>
              <w:t xml:space="preserve"> </w:t>
            </w:r>
            <w:r>
              <w:rPr>
                <w:color w:val="000000"/>
              </w:rPr>
              <w:t>Evaluation of the MNE's environmental performance by examining its resource use, emissions reduction, and innovation efforts.</w:t>
            </w:r>
          </w:p>
        </w:tc>
      </w:tr>
      <w:tr w:rsidR="00CD213E" w14:paraId="638D5D55" w14:textId="77777777" w:rsidTr="00CD213E">
        <w:trPr>
          <w:trHeight w:val="400"/>
        </w:trPr>
        <w:tc>
          <w:tcPr>
            <w:tcW w:w="1980" w:type="dxa"/>
            <w:vMerge/>
            <w:vAlign w:val="center"/>
          </w:tcPr>
          <w:p w14:paraId="1B5A2EA4" w14:textId="77777777" w:rsidR="00CD213E" w:rsidRDefault="00CD213E" w:rsidP="00150C7F">
            <w:pPr>
              <w:widowControl w:val="0"/>
              <w:pBdr>
                <w:top w:val="nil"/>
                <w:left w:val="nil"/>
                <w:bottom w:val="nil"/>
                <w:right w:val="nil"/>
                <w:between w:val="nil"/>
              </w:pBdr>
              <w:spacing w:line="276" w:lineRule="auto"/>
              <w:rPr>
                <w:color w:val="000000"/>
              </w:rPr>
            </w:pPr>
          </w:p>
        </w:tc>
        <w:tc>
          <w:tcPr>
            <w:tcW w:w="1417" w:type="dxa"/>
            <w:vAlign w:val="center"/>
          </w:tcPr>
          <w:p w14:paraId="6DBBFE1A" w14:textId="77777777" w:rsidR="00CD213E" w:rsidRDefault="00CD213E" w:rsidP="00150C7F">
            <w:pPr>
              <w:jc w:val="center"/>
              <w:rPr>
                <w:color w:val="000000"/>
              </w:rPr>
            </w:pPr>
            <w:r>
              <w:rPr>
                <w:b/>
                <w:color w:val="000000"/>
              </w:rPr>
              <w:t>SP2</w:t>
            </w:r>
          </w:p>
        </w:tc>
        <w:tc>
          <w:tcPr>
            <w:tcW w:w="5999" w:type="dxa"/>
            <w:vAlign w:val="center"/>
          </w:tcPr>
          <w:p w14:paraId="601011F2" w14:textId="77777777" w:rsidR="00CD213E" w:rsidRDefault="00CD213E" w:rsidP="00150C7F">
            <w:pPr>
              <w:spacing w:before="120" w:after="120" w:line="276" w:lineRule="auto"/>
              <w:jc w:val="both"/>
              <w:rPr>
                <w:color w:val="000000"/>
              </w:rPr>
            </w:pPr>
            <w:r>
              <w:rPr>
                <w:b/>
                <w:i/>
                <w:color w:val="000000"/>
              </w:rPr>
              <w:t>Social Pillar Score:</w:t>
            </w:r>
            <w:r>
              <w:rPr>
                <w:color w:val="000000"/>
              </w:rPr>
              <w:t xml:space="preserve"> Evaluation of the MNE's social responsibility through its workforce practices, human rights adherence, community impact, and product responsibility.</w:t>
            </w:r>
          </w:p>
        </w:tc>
      </w:tr>
      <w:tr w:rsidR="00CD213E" w14:paraId="7C32A0C6" w14:textId="77777777" w:rsidTr="00CD213E">
        <w:trPr>
          <w:trHeight w:val="390"/>
        </w:trPr>
        <w:tc>
          <w:tcPr>
            <w:tcW w:w="1980" w:type="dxa"/>
            <w:vMerge/>
            <w:vAlign w:val="center"/>
          </w:tcPr>
          <w:p w14:paraId="41427FB6" w14:textId="77777777" w:rsidR="00CD213E" w:rsidRDefault="00CD213E" w:rsidP="00150C7F">
            <w:pPr>
              <w:widowControl w:val="0"/>
              <w:pBdr>
                <w:top w:val="nil"/>
                <w:left w:val="nil"/>
                <w:bottom w:val="nil"/>
                <w:right w:val="nil"/>
                <w:between w:val="nil"/>
              </w:pBdr>
              <w:spacing w:line="276" w:lineRule="auto"/>
              <w:rPr>
                <w:color w:val="000000"/>
              </w:rPr>
            </w:pPr>
          </w:p>
        </w:tc>
        <w:tc>
          <w:tcPr>
            <w:tcW w:w="1417" w:type="dxa"/>
            <w:vAlign w:val="center"/>
          </w:tcPr>
          <w:p w14:paraId="2F2A504B" w14:textId="77777777" w:rsidR="00CD213E" w:rsidRDefault="00CD213E" w:rsidP="00150C7F">
            <w:pPr>
              <w:jc w:val="center"/>
              <w:rPr>
                <w:color w:val="000000"/>
              </w:rPr>
            </w:pPr>
            <w:r>
              <w:rPr>
                <w:b/>
                <w:color w:val="000000"/>
              </w:rPr>
              <w:t>SP3</w:t>
            </w:r>
          </w:p>
        </w:tc>
        <w:tc>
          <w:tcPr>
            <w:tcW w:w="5999" w:type="dxa"/>
            <w:vAlign w:val="center"/>
          </w:tcPr>
          <w:p w14:paraId="05572BA9" w14:textId="77777777" w:rsidR="00CD213E" w:rsidRDefault="00CD213E" w:rsidP="00150C7F">
            <w:pPr>
              <w:spacing w:before="120" w:after="120" w:line="276" w:lineRule="auto"/>
              <w:jc w:val="both"/>
              <w:rPr>
                <w:color w:val="000000"/>
              </w:rPr>
            </w:pPr>
            <w:r>
              <w:rPr>
                <w:b/>
                <w:i/>
                <w:color w:val="000000"/>
              </w:rPr>
              <w:t>Governance Pillar Score:</w:t>
            </w:r>
            <w:r>
              <w:rPr>
                <w:color w:val="000000"/>
              </w:rPr>
              <w:t xml:space="preserve"> Evaluation of the MNE's governance quality by examining its management practices, shareholder relations, and corporate social responsibility strategy.</w:t>
            </w:r>
          </w:p>
        </w:tc>
      </w:tr>
      <w:tr w:rsidR="00CD213E" w14:paraId="37113DAA" w14:textId="77777777" w:rsidTr="00CD213E">
        <w:trPr>
          <w:trHeight w:val="440"/>
        </w:trPr>
        <w:tc>
          <w:tcPr>
            <w:tcW w:w="1980" w:type="dxa"/>
            <w:vMerge w:val="restart"/>
            <w:vAlign w:val="center"/>
          </w:tcPr>
          <w:p w14:paraId="3D4EB67A" w14:textId="77777777" w:rsidR="00CD213E" w:rsidRDefault="00CD213E" w:rsidP="00150C7F">
            <w:pPr>
              <w:jc w:val="center"/>
              <w:rPr>
                <w:b/>
                <w:color w:val="000000"/>
              </w:rPr>
            </w:pPr>
            <w:r>
              <w:rPr>
                <w:b/>
                <w:color w:val="000000"/>
              </w:rPr>
              <w:t>SDGs Adoption</w:t>
            </w:r>
          </w:p>
        </w:tc>
        <w:tc>
          <w:tcPr>
            <w:tcW w:w="1417" w:type="dxa"/>
            <w:vAlign w:val="center"/>
          </w:tcPr>
          <w:p w14:paraId="0FBB4B67" w14:textId="77777777" w:rsidR="00CD213E" w:rsidRDefault="00CD213E" w:rsidP="00150C7F">
            <w:pPr>
              <w:jc w:val="center"/>
              <w:rPr>
                <w:color w:val="000000"/>
              </w:rPr>
            </w:pPr>
            <w:r>
              <w:rPr>
                <w:b/>
                <w:color w:val="000000"/>
              </w:rPr>
              <w:t>SDG1</w:t>
            </w:r>
          </w:p>
        </w:tc>
        <w:tc>
          <w:tcPr>
            <w:tcW w:w="5999" w:type="dxa"/>
            <w:vAlign w:val="center"/>
          </w:tcPr>
          <w:p w14:paraId="1F48632B" w14:textId="77777777" w:rsidR="00CD213E" w:rsidRDefault="00CD213E" w:rsidP="00150C7F">
            <w:pPr>
              <w:spacing w:before="120" w:after="120" w:line="276" w:lineRule="auto"/>
              <w:jc w:val="both"/>
              <w:rPr>
                <w:color w:val="000000"/>
              </w:rPr>
            </w:pPr>
            <w:r w:rsidRPr="00DF77C1">
              <w:rPr>
                <w:b/>
                <w:i/>
                <w:iCs/>
                <w:color w:val="000000"/>
              </w:rPr>
              <w:t>No</w:t>
            </w:r>
            <w:r>
              <w:rPr>
                <w:b/>
                <w:color w:val="000000"/>
              </w:rPr>
              <w:t xml:space="preserve"> </w:t>
            </w:r>
            <w:r>
              <w:rPr>
                <w:b/>
                <w:i/>
                <w:color w:val="000000"/>
              </w:rPr>
              <w:t>Poverty:</w:t>
            </w:r>
            <w:r>
              <w:rPr>
                <w:i/>
                <w:color w:val="000000"/>
              </w:rPr>
              <w:t xml:space="preserve"> </w:t>
            </w:r>
            <w:r>
              <w:rPr>
                <w:color w:val="000000"/>
              </w:rPr>
              <w:t>Whether the MNE has adopted initiatives to generate quality employment, provide equal opportunities, and contribute to human capital development to help end poverty in all its forms everywhere.</w:t>
            </w:r>
          </w:p>
        </w:tc>
      </w:tr>
      <w:tr w:rsidR="00CD213E" w14:paraId="78B3336A" w14:textId="77777777" w:rsidTr="00CD213E">
        <w:trPr>
          <w:trHeight w:val="418"/>
        </w:trPr>
        <w:tc>
          <w:tcPr>
            <w:tcW w:w="1980" w:type="dxa"/>
            <w:vMerge/>
            <w:vAlign w:val="center"/>
          </w:tcPr>
          <w:p w14:paraId="2B7782D1" w14:textId="77777777" w:rsidR="00CD213E" w:rsidRDefault="00CD213E" w:rsidP="00150C7F">
            <w:pPr>
              <w:widowControl w:val="0"/>
              <w:pBdr>
                <w:top w:val="nil"/>
                <w:left w:val="nil"/>
                <w:bottom w:val="nil"/>
                <w:right w:val="nil"/>
                <w:between w:val="nil"/>
              </w:pBdr>
              <w:spacing w:line="276" w:lineRule="auto"/>
              <w:rPr>
                <w:color w:val="000000"/>
              </w:rPr>
            </w:pPr>
          </w:p>
        </w:tc>
        <w:tc>
          <w:tcPr>
            <w:tcW w:w="1417" w:type="dxa"/>
            <w:vAlign w:val="center"/>
          </w:tcPr>
          <w:p w14:paraId="22E26086" w14:textId="77777777" w:rsidR="00CD213E" w:rsidRDefault="00CD213E" w:rsidP="00150C7F">
            <w:pPr>
              <w:jc w:val="center"/>
              <w:rPr>
                <w:color w:val="000000"/>
              </w:rPr>
            </w:pPr>
            <w:r>
              <w:rPr>
                <w:b/>
                <w:color w:val="000000"/>
              </w:rPr>
              <w:t>SDG7</w:t>
            </w:r>
          </w:p>
        </w:tc>
        <w:tc>
          <w:tcPr>
            <w:tcW w:w="5999" w:type="dxa"/>
            <w:vAlign w:val="center"/>
          </w:tcPr>
          <w:p w14:paraId="619DAAED" w14:textId="77777777" w:rsidR="00CD213E" w:rsidRDefault="00CD213E" w:rsidP="00150C7F">
            <w:pPr>
              <w:spacing w:before="120" w:after="120" w:line="276" w:lineRule="auto"/>
              <w:jc w:val="both"/>
            </w:pPr>
            <w:r>
              <w:rPr>
                <w:b/>
                <w:i/>
                <w:color w:val="000000"/>
              </w:rPr>
              <w:t>Affordable and Clean Energy:</w:t>
            </w:r>
            <w:r>
              <w:rPr>
                <w:i/>
                <w:color w:val="000000"/>
              </w:rPr>
              <w:t xml:space="preserve"> </w:t>
            </w:r>
            <w:r>
              <w:t>Whether the MNE, particularly in the energy sector, has adopted practices to ensure access to affordable and clean energy and develop green technologies to tackle pollution.</w:t>
            </w:r>
          </w:p>
        </w:tc>
      </w:tr>
      <w:tr w:rsidR="00CD213E" w14:paraId="6DC5AD92" w14:textId="77777777" w:rsidTr="00CD213E">
        <w:trPr>
          <w:trHeight w:val="707"/>
        </w:trPr>
        <w:tc>
          <w:tcPr>
            <w:tcW w:w="1980" w:type="dxa"/>
            <w:vMerge/>
            <w:vAlign w:val="center"/>
          </w:tcPr>
          <w:p w14:paraId="0DC86A3D" w14:textId="77777777" w:rsidR="00CD213E" w:rsidRDefault="00CD213E" w:rsidP="00150C7F">
            <w:pPr>
              <w:widowControl w:val="0"/>
              <w:pBdr>
                <w:top w:val="nil"/>
                <w:left w:val="nil"/>
                <w:bottom w:val="nil"/>
                <w:right w:val="nil"/>
                <w:between w:val="nil"/>
              </w:pBdr>
              <w:spacing w:line="276" w:lineRule="auto"/>
            </w:pPr>
          </w:p>
        </w:tc>
        <w:tc>
          <w:tcPr>
            <w:tcW w:w="1417" w:type="dxa"/>
            <w:vAlign w:val="center"/>
          </w:tcPr>
          <w:p w14:paraId="5CA05BE2" w14:textId="77777777" w:rsidR="00CD213E" w:rsidRDefault="00CD213E" w:rsidP="00150C7F">
            <w:pPr>
              <w:jc w:val="center"/>
              <w:rPr>
                <w:color w:val="000000"/>
              </w:rPr>
            </w:pPr>
            <w:r>
              <w:rPr>
                <w:b/>
                <w:color w:val="000000"/>
              </w:rPr>
              <w:t>SDG8</w:t>
            </w:r>
          </w:p>
        </w:tc>
        <w:tc>
          <w:tcPr>
            <w:tcW w:w="5999" w:type="dxa"/>
            <w:vAlign w:val="center"/>
          </w:tcPr>
          <w:p w14:paraId="0EF1D003" w14:textId="77777777" w:rsidR="00CD213E" w:rsidRDefault="00CD213E" w:rsidP="00150C7F">
            <w:pPr>
              <w:spacing w:before="120" w:after="120" w:line="276" w:lineRule="auto"/>
              <w:jc w:val="both"/>
            </w:pPr>
            <w:r>
              <w:rPr>
                <w:b/>
                <w:i/>
                <w:color w:val="000000"/>
              </w:rPr>
              <w:t>Decent Work and Economic Growth:</w:t>
            </w:r>
            <w:r>
              <w:rPr>
                <w:color w:val="000000"/>
              </w:rPr>
              <w:t xml:space="preserve"> </w:t>
            </w:r>
            <w:r>
              <w:t>Whether the MNE has adopted policies to promote inclusive economic growth, offer decent work for all, integrate SMEs into their value chain, and contribute to inclusive development.</w:t>
            </w:r>
          </w:p>
        </w:tc>
      </w:tr>
      <w:tr w:rsidR="00CD213E" w14:paraId="626DBDCC" w14:textId="77777777" w:rsidTr="00CD213E">
        <w:trPr>
          <w:trHeight w:val="690"/>
        </w:trPr>
        <w:tc>
          <w:tcPr>
            <w:tcW w:w="1980" w:type="dxa"/>
            <w:vMerge/>
            <w:vAlign w:val="center"/>
          </w:tcPr>
          <w:p w14:paraId="53A0B9DE" w14:textId="77777777" w:rsidR="00CD213E" w:rsidRDefault="00CD213E" w:rsidP="00150C7F">
            <w:pPr>
              <w:widowControl w:val="0"/>
              <w:pBdr>
                <w:top w:val="nil"/>
                <w:left w:val="nil"/>
                <w:bottom w:val="nil"/>
                <w:right w:val="nil"/>
                <w:between w:val="nil"/>
              </w:pBdr>
              <w:spacing w:line="276" w:lineRule="auto"/>
            </w:pPr>
          </w:p>
        </w:tc>
        <w:tc>
          <w:tcPr>
            <w:tcW w:w="1417" w:type="dxa"/>
            <w:vAlign w:val="center"/>
          </w:tcPr>
          <w:p w14:paraId="58074ED7" w14:textId="77777777" w:rsidR="00CD213E" w:rsidRDefault="00CD213E" w:rsidP="00150C7F">
            <w:pPr>
              <w:jc w:val="center"/>
              <w:rPr>
                <w:color w:val="000000"/>
              </w:rPr>
            </w:pPr>
            <w:r>
              <w:rPr>
                <w:b/>
                <w:color w:val="000000"/>
              </w:rPr>
              <w:t>SDG9</w:t>
            </w:r>
          </w:p>
        </w:tc>
        <w:tc>
          <w:tcPr>
            <w:tcW w:w="5999" w:type="dxa"/>
            <w:vAlign w:val="center"/>
          </w:tcPr>
          <w:p w14:paraId="2B687C1A" w14:textId="77777777" w:rsidR="00CD213E" w:rsidRDefault="00CD213E" w:rsidP="00150C7F">
            <w:pPr>
              <w:spacing w:before="120" w:after="120" w:line="276" w:lineRule="auto"/>
              <w:jc w:val="both"/>
            </w:pPr>
            <w:r>
              <w:rPr>
                <w:b/>
                <w:i/>
                <w:color w:val="000000"/>
              </w:rPr>
              <w:t>Industry, Innovation, and Infrastructure:</w:t>
            </w:r>
            <w:r>
              <w:rPr>
                <w:i/>
                <w:color w:val="000000"/>
              </w:rPr>
              <w:t xml:space="preserve"> </w:t>
            </w:r>
            <w:r>
              <w:t>Whether the MNE has adopted strategies to build resilient infrastructure, promote inclusive and sustainable industrialization, and foster innovation that incorporates marginalized communities.</w:t>
            </w:r>
          </w:p>
        </w:tc>
      </w:tr>
      <w:tr w:rsidR="00CD213E" w14:paraId="654A35E0" w14:textId="77777777" w:rsidTr="00CD213E">
        <w:trPr>
          <w:trHeight w:val="416"/>
        </w:trPr>
        <w:tc>
          <w:tcPr>
            <w:tcW w:w="1980" w:type="dxa"/>
            <w:vMerge/>
            <w:vAlign w:val="center"/>
          </w:tcPr>
          <w:p w14:paraId="27171879" w14:textId="77777777" w:rsidR="00CD213E" w:rsidRDefault="00CD213E" w:rsidP="00150C7F">
            <w:pPr>
              <w:widowControl w:val="0"/>
              <w:pBdr>
                <w:top w:val="nil"/>
                <w:left w:val="nil"/>
                <w:bottom w:val="nil"/>
                <w:right w:val="nil"/>
                <w:between w:val="nil"/>
              </w:pBdr>
              <w:spacing w:line="276" w:lineRule="auto"/>
            </w:pPr>
          </w:p>
        </w:tc>
        <w:tc>
          <w:tcPr>
            <w:tcW w:w="1417" w:type="dxa"/>
            <w:vAlign w:val="center"/>
          </w:tcPr>
          <w:p w14:paraId="3C1299DF" w14:textId="77777777" w:rsidR="00CD213E" w:rsidRDefault="00CD213E" w:rsidP="00150C7F">
            <w:pPr>
              <w:jc w:val="center"/>
              <w:rPr>
                <w:color w:val="000000"/>
              </w:rPr>
            </w:pPr>
            <w:r>
              <w:rPr>
                <w:b/>
                <w:color w:val="000000"/>
              </w:rPr>
              <w:t>SDG10</w:t>
            </w:r>
          </w:p>
        </w:tc>
        <w:tc>
          <w:tcPr>
            <w:tcW w:w="5999" w:type="dxa"/>
            <w:vAlign w:val="center"/>
          </w:tcPr>
          <w:p w14:paraId="30A5D787" w14:textId="77777777" w:rsidR="00CD213E" w:rsidRDefault="00CD213E" w:rsidP="00150C7F">
            <w:pPr>
              <w:spacing w:before="120" w:after="120" w:line="276" w:lineRule="auto"/>
              <w:jc w:val="both"/>
            </w:pPr>
            <w:r>
              <w:rPr>
                <w:b/>
                <w:i/>
                <w:color w:val="000000"/>
              </w:rPr>
              <w:t>Reduced Inequalities:</w:t>
            </w:r>
            <w:r>
              <w:rPr>
                <w:color w:val="000000"/>
              </w:rPr>
              <w:t xml:space="preserve"> </w:t>
            </w:r>
            <w:r>
              <w:t xml:space="preserve">Whether the MNE has implemented measures to reduce inequality within and among countries, </w:t>
            </w:r>
            <w:r>
              <w:lastRenderedPageBreak/>
              <w:t>focusing on wages, gender, health, and safety, and living standards.</w:t>
            </w:r>
          </w:p>
        </w:tc>
      </w:tr>
      <w:tr w:rsidR="00CD213E" w14:paraId="5AAF8198" w14:textId="77777777" w:rsidTr="00CD213E">
        <w:trPr>
          <w:trHeight w:val="408"/>
        </w:trPr>
        <w:tc>
          <w:tcPr>
            <w:tcW w:w="1980" w:type="dxa"/>
            <w:vMerge/>
            <w:vAlign w:val="center"/>
          </w:tcPr>
          <w:p w14:paraId="6B01B86D" w14:textId="77777777" w:rsidR="00CD213E" w:rsidRDefault="00CD213E" w:rsidP="00150C7F">
            <w:pPr>
              <w:widowControl w:val="0"/>
              <w:pBdr>
                <w:top w:val="nil"/>
                <w:left w:val="nil"/>
                <w:bottom w:val="nil"/>
                <w:right w:val="nil"/>
                <w:between w:val="nil"/>
              </w:pBdr>
              <w:spacing w:line="276" w:lineRule="auto"/>
            </w:pPr>
          </w:p>
        </w:tc>
        <w:tc>
          <w:tcPr>
            <w:tcW w:w="1417" w:type="dxa"/>
            <w:vAlign w:val="center"/>
          </w:tcPr>
          <w:p w14:paraId="3C0D1693" w14:textId="77777777" w:rsidR="00CD213E" w:rsidRDefault="00CD213E" w:rsidP="00150C7F">
            <w:pPr>
              <w:jc w:val="center"/>
              <w:rPr>
                <w:b/>
                <w:color w:val="000000"/>
              </w:rPr>
            </w:pPr>
            <w:r>
              <w:rPr>
                <w:b/>
                <w:color w:val="000000"/>
              </w:rPr>
              <w:t>SDG12</w:t>
            </w:r>
          </w:p>
        </w:tc>
        <w:tc>
          <w:tcPr>
            <w:tcW w:w="5999" w:type="dxa"/>
            <w:vAlign w:val="center"/>
          </w:tcPr>
          <w:p w14:paraId="5D27CB4F" w14:textId="77777777" w:rsidR="00CD213E" w:rsidRDefault="00CD213E" w:rsidP="00150C7F">
            <w:pPr>
              <w:spacing w:before="120" w:after="120" w:line="276" w:lineRule="auto"/>
              <w:jc w:val="both"/>
              <w:rPr>
                <w:b/>
                <w:i/>
                <w:color w:val="000000"/>
              </w:rPr>
            </w:pPr>
            <w:r w:rsidRPr="00DF77C1">
              <w:rPr>
                <w:b/>
                <w:i/>
                <w:iCs/>
              </w:rPr>
              <w:t>Responsible Consumption and Production</w:t>
            </w:r>
            <w:r>
              <w:rPr>
                <w:b/>
              </w:rPr>
              <w:t>:</w:t>
            </w:r>
            <w:r>
              <w:t xml:space="preserve"> Whether the MNE has adopted practices to ensure sustainable consumption and production patterns, including reducing waste, optimizing resource use, and implementing circular economy initiatives across their value chains.</w:t>
            </w:r>
          </w:p>
        </w:tc>
      </w:tr>
      <w:tr w:rsidR="00CD213E" w14:paraId="2319A44B" w14:textId="77777777" w:rsidTr="00CD213E">
        <w:trPr>
          <w:trHeight w:val="408"/>
        </w:trPr>
        <w:tc>
          <w:tcPr>
            <w:tcW w:w="1980" w:type="dxa"/>
            <w:vMerge/>
            <w:vAlign w:val="center"/>
          </w:tcPr>
          <w:p w14:paraId="1A0B93A4" w14:textId="77777777" w:rsidR="00CD213E" w:rsidRDefault="00CD213E" w:rsidP="00150C7F">
            <w:pPr>
              <w:widowControl w:val="0"/>
              <w:pBdr>
                <w:top w:val="nil"/>
                <w:left w:val="nil"/>
                <w:bottom w:val="nil"/>
                <w:right w:val="nil"/>
                <w:between w:val="nil"/>
              </w:pBdr>
              <w:spacing w:line="276" w:lineRule="auto"/>
              <w:rPr>
                <w:b/>
                <w:i/>
                <w:color w:val="000000"/>
              </w:rPr>
            </w:pPr>
          </w:p>
        </w:tc>
        <w:tc>
          <w:tcPr>
            <w:tcW w:w="1417" w:type="dxa"/>
            <w:vAlign w:val="center"/>
          </w:tcPr>
          <w:p w14:paraId="492BB1E0" w14:textId="77777777" w:rsidR="00CD213E" w:rsidRDefault="00CD213E" w:rsidP="00150C7F">
            <w:pPr>
              <w:jc w:val="center"/>
              <w:rPr>
                <w:color w:val="000000"/>
              </w:rPr>
            </w:pPr>
            <w:r>
              <w:rPr>
                <w:b/>
                <w:color w:val="000000"/>
              </w:rPr>
              <w:t>SDG13</w:t>
            </w:r>
          </w:p>
        </w:tc>
        <w:tc>
          <w:tcPr>
            <w:tcW w:w="5999" w:type="dxa"/>
            <w:vAlign w:val="center"/>
          </w:tcPr>
          <w:p w14:paraId="2C53BA2A" w14:textId="77777777" w:rsidR="00CD213E" w:rsidRDefault="00CD213E" w:rsidP="00150C7F">
            <w:pPr>
              <w:spacing w:before="120" w:after="120" w:line="276" w:lineRule="auto"/>
              <w:jc w:val="both"/>
            </w:pPr>
            <w:r>
              <w:rPr>
                <w:b/>
                <w:i/>
                <w:color w:val="000000"/>
              </w:rPr>
              <w:t>Climate Action:</w:t>
            </w:r>
            <w:r>
              <w:rPr>
                <w:color w:val="000000"/>
              </w:rPr>
              <w:t xml:space="preserve"> </w:t>
            </w:r>
            <w:r>
              <w:t>Whether the MNE has adopted initiatives to take urgent action against climate change and its impacts, using the same environmental standards in developing countries as in their home markets and employing green technologies in their industry.</w:t>
            </w:r>
          </w:p>
        </w:tc>
      </w:tr>
      <w:tr w:rsidR="00CD213E" w14:paraId="68EAAF7D" w14:textId="77777777" w:rsidTr="00CD213E">
        <w:trPr>
          <w:trHeight w:val="427"/>
        </w:trPr>
        <w:tc>
          <w:tcPr>
            <w:tcW w:w="1980" w:type="dxa"/>
            <w:vMerge/>
            <w:vAlign w:val="center"/>
          </w:tcPr>
          <w:p w14:paraId="29C08C37" w14:textId="77777777" w:rsidR="00CD213E" w:rsidRDefault="00CD213E" w:rsidP="00150C7F">
            <w:pPr>
              <w:widowControl w:val="0"/>
              <w:pBdr>
                <w:top w:val="nil"/>
                <w:left w:val="nil"/>
                <w:bottom w:val="nil"/>
                <w:right w:val="nil"/>
                <w:between w:val="nil"/>
              </w:pBdr>
              <w:spacing w:line="276" w:lineRule="auto"/>
            </w:pPr>
          </w:p>
        </w:tc>
        <w:tc>
          <w:tcPr>
            <w:tcW w:w="1417" w:type="dxa"/>
            <w:vAlign w:val="center"/>
          </w:tcPr>
          <w:p w14:paraId="5ACFF1F2" w14:textId="77777777" w:rsidR="00CD213E" w:rsidRDefault="00CD213E" w:rsidP="00150C7F">
            <w:pPr>
              <w:jc w:val="center"/>
              <w:rPr>
                <w:color w:val="000000"/>
              </w:rPr>
            </w:pPr>
            <w:r>
              <w:rPr>
                <w:b/>
                <w:color w:val="000000"/>
              </w:rPr>
              <w:t>SDG17</w:t>
            </w:r>
          </w:p>
        </w:tc>
        <w:tc>
          <w:tcPr>
            <w:tcW w:w="5999" w:type="dxa"/>
            <w:vAlign w:val="center"/>
          </w:tcPr>
          <w:p w14:paraId="7681B431" w14:textId="77777777" w:rsidR="00CD213E" w:rsidRDefault="00CD213E" w:rsidP="00150C7F">
            <w:pPr>
              <w:spacing w:before="120" w:after="120" w:line="276" w:lineRule="auto"/>
              <w:jc w:val="both"/>
            </w:pPr>
            <w:r>
              <w:rPr>
                <w:b/>
                <w:i/>
                <w:color w:val="000000"/>
              </w:rPr>
              <w:t>Partnership for the Goals:</w:t>
            </w:r>
            <w:r>
              <w:rPr>
                <w:color w:val="000000"/>
              </w:rPr>
              <w:t xml:space="preserve"> </w:t>
            </w:r>
            <w:r>
              <w:t xml:space="preserve">Whether the MNE has </w:t>
            </w:r>
            <w:sdt>
              <w:sdtPr>
                <w:tag w:val="goog_rdk_195"/>
                <w:id w:val="114497831"/>
              </w:sdtPr>
              <w:sdtEndPr/>
              <w:sdtContent>
                <w:r>
                  <w:t>partnered</w:t>
                </w:r>
              </w:sdtContent>
            </w:sdt>
            <w:sdt>
              <w:sdtPr>
                <w:tag w:val="goog_rdk_196"/>
                <w:id w:val="788169526"/>
                <w:showingPlcHdr/>
              </w:sdtPr>
              <w:sdtEndPr/>
              <w:sdtContent>
                <w:r>
                  <w:t xml:space="preserve">     </w:t>
                </w:r>
              </w:sdtContent>
            </w:sdt>
            <w:r>
              <w:t xml:space="preserve"> with governments and social actors to reduce inequalities and achieve sustainable development in developing countries.</w:t>
            </w:r>
          </w:p>
        </w:tc>
      </w:tr>
      <w:tr w:rsidR="00CD213E" w14:paraId="7F4FB3E3" w14:textId="77777777" w:rsidTr="00CD213E">
        <w:trPr>
          <w:trHeight w:val="434"/>
        </w:trPr>
        <w:tc>
          <w:tcPr>
            <w:tcW w:w="1980" w:type="dxa"/>
            <w:vAlign w:val="center"/>
          </w:tcPr>
          <w:p w14:paraId="0E5B39A3" w14:textId="77777777" w:rsidR="00CD213E" w:rsidRDefault="00CD213E" w:rsidP="00150C7F">
            <w:pPr>
              <w:jc w:val="center"/>
              <w:rPr>
                <w:b/>
                <w:color w:val="000000"/>
              </w:rPr>
            </w:pPr>
            <w:r>
              <w:rPr>
                <w:b/>
                <w:color w:val="000000"/>
              </w:rPr>
              <w:t>MNE Size</w:t>
            </w:r>
          </w:p>
        </w:tc>
        <w:tc>
          <w:tcPr>
            <w:tcW w:w="1417" w:type="dxa"/>
            <w:vAlign w:val="center"/>
          </w:tcPr>
          <w:p w14:paraId="5CBED2EB" w14:textId="77777777" w:rsidR="00CD213E" w:rsidRDefault="00CD213E" w:rsidP="00150C7F">
            <w:pPr>
              <w:jc w:val="center"/>
              <w:rPr>
                <w:b/>
                <w:color w:val="000000"/>
              </w:rPr>
            </w:pPr>
            <w:r>
              <w:rPr>
                <w:b/>
                <w:color w:val="000000"/>
              </w:rPr>
              <w:t>REV</w:t>
            </w:r>
          </w:p>
        </w:tc>
        <w:tc>
          <w:tcPr>
            <w:tcW w:w="5999" w:type="dxa"/>
            <w:vAlign w:val="center"/>
          </w:tcPr>
          <w:p w14:paraId="1FAE5DC3" w14:textId="77777777" w:rsidR="00CD213E" w:rsidRDefault="00CD213E" w:rsidP="00150C7F">
            <w:pPr>
              <w:spacing w:before="120" w:after="120" w:line="276" w:lineRule="auto"/>
              <w:jc w:val="both"/>
            </w:pPr>
            <w:r>
              <w:rPr>
                <w:b/>
                <w:i/>
              </w:rPr>
              <w:t>Revenue:</w:t>
            </w:r>
            <w:r>
              <w:t xml:space="preserve"> The total revenue generated by the MNE, indicating the company's overall size and financial performance.</w:t>
            </w:r>
          </w:p>
        </w:tc>
      </w:tr>
      <w:tr w:rsidR="00CD213E" w14:paraId="7D515AB4" w14:textId="77777777" w:rsidTr="00CD213E">
        <w:trPr>
          <w:trHeight w:val="675"/>
        </w:trPr>
        <w:tc>
          <w:tcPr>
            <w:tcW w:w="1980" w:type="dxa"/>
            <w:vAlign w:val="center"/>
          </w:tcPr>
          <w:p w14:paraId="2FB5188E" w14:textId="77777777" w:rsidR="00CD213E" w:rsidRDefault="00CD213E" w:rsidP="00150C7F">
            <w:pPr>
              <w:jc w:val="center"/>
              <w:rPr>
                <w:b/>
                <w:color w:val="000000"/>
              </w:rPr>
            </w:pPr>
            <w:r>
              <w:rPr>
                <w:b/>
                <w:color w:val="000000"/>
              </w:rPr>
              <w:t>Level of Economic Development</w:t>
            </w:r>
          </w:p>
        </w:tc>
        <w:tc>
          <w:tcPr>
            <w:tcW w:w="1417" w:type="dxa"/>
            <w:vAlign w:val="center"/>
          </w:tcPr>
          <w:p w14:paraId="517BDAA0" w14:textId="77777777" w:rsidR="00CD213E" w:rsidRDefault="00CD213E" w:rsidP="00150C7F">
            <w:pPr>
              <w:jc w:val="center"/>
              <w:rPr>
                <w:b/>
                <w:color w:val="000000"/>
              </w:rPr>
            </w:pPr>
            <w:r>
              <w:rPr>
                <w:b/>
                <w:color w:val="000000"/>
              </w:rPr>
              <w:t>GNI_PC</w:t>
            </w:r>
          </w:p>
        </w:tc>
        <w:tc>
          <w:tcPr>
            <w:tcW w:w="5999" w:type="dxa"/>
            <w:vAlign w:val="center"/>
          </w:tcPr>
          <w:p w14:paraId="177EFA34" w14:textId="77777777" w:rsidR="00CD213E" w:rsidRDefault="00CD213E" w:rsidP="00150C7F">
            <w:pPr>
              <w:spacing w:before="120" w:after="120" w:line="276" w:lineRule="auto"/>
              <w:jc w:val="both"/>
            </w:pPr>
            <w:r w:rsidRPr="00DF77C1">
              <w:rPr>
                <w:b/>
                <w:i/>
                <w:iCs/>
              </w:rPr>
              <w:t>GNI per capita:</w:t>
            </w:r>
            <w:r>
              <w:t xml:space="preserve"> The Gross National Income per capita of the country where the MNE's headquarters is located, categorized into one of four groups: low income, lower middle income, upper middle income, and high income.</w:t>
            </w:r>
          </w:p>
        </w:tc>
      </w:tr>
    </w:tbl>
    <w:p w14:paraId="048E5D7A" w14:textId="77777777" w:rsidR="0050455B" w:rsidRDefault="0050455B">
      <w:pPr>
        <w:spacing w:before="120" w:after="120" w:line="360" w:lineRule="auto"/>
        <w:jc w:val="both"/>
        <w:rPr>
          <w:b/>
        </w:rPr>
      </w:pPr>
    </w:p>
    <w:p w14:paraId="0000004F" w14:textId="77777777" w:rsidR="00E07592" w:rsidRDefault="00C67442">
      <w:pPr>
        <w:spacing w:before="120" w:after="120" w:line="360" w:lineRule="auto"/>
        <w:jc w:val="both"/>
        <w:rPr>
          <w:b/>
        </w:rPr>
      </w:pPr>
      <w:r>
        <w:rPr>
          <w:b/>
        </w:rPr>
        <w:t>3.2.1 Ethical Practices</w:t>
      </w:r>
    </w:p>
    <w:p w14:paraId="00000050" w14:textId="78BDA2A8" w:rsidR="00E07592" w:rsidRDefault="00C67442">
      <w:pPr>
        <w:spacing w:before="120" w:after="120" w:line="360" w:lineRule="auto"/>
        <w:jc w:val="both"/>
      </w:pPr>
      <w:r>
        <w:t>EP represents a company’s adherence to moral standards in policies, decisions, and stakeholder interactions</w:t>
      </w:r>
      <w:r w:rsidR="00565EA1">
        <w:t xml:space="preserve">, </w:t>
      </w:r>
      <w:r>
        <w:t xml:space="preserve">a foundational aspect of stakeholder theory emphasizing firms' obligations toward diverse stakeholder groups (Donaldson &amp; Preston, 1995; Parmar et al., 2010). We measure EP using three dimensions: </w:t>
      </w:r>
      <w:r>
        <w:rPr>
          <w:i/>
        </w:rPr>
        <w:t xml:space="preserve">improvement tools for business ethics, business ethics policies, and policies promoting diversity and opportunity. </w:t>
      </w:r>
      <w:r>
        <w:t>Improvement tools such as whistleblower systems, suggestion boxes, and hotlines empower employees to transparently report unethical behaviors, reinforcing organizational trust and accountability (Jo</w:t>
      </w:r>
      <w:r>
        <w:t xml:space="preserve">nes, 1995). </w:t>
      </w:r>
    </w:p>
    <w:p w14:paraId="00000052" w14:textId="1E15EF2F" w:rsidR="00E07592" w:rsidRDefault="00C67442" w:rsidP="00565EA1">
      <w:pPr>
        <w:spacing w:before="120" w:after="120" w:line="360" w:lineRule="auto"/>
        <w:ind w:firstLine="720"/>
        <w:jc w:val="both"/>
      </w:pPr>
      <w:r>
        <w:lastRenderedPageBreak/>
        <w:t>Policies on business ethics, often codified in conduct guidelines, ensure alignment with broader stakeholder expectations, discourage harmful practices, and strengthen corporate social responsibility (Jones et al., 2018). Additionally, policies supporting diversity and equal opportunities demonstrate a firm's dedication to procedural fairness and justice, critical for maintaining legitimacy among various stakeholders (Cugueró-</w:t>
      </w:r>
      <w:proofErr w:type="spellStart"/>
      <w:r>
        <w:t>Escofet</w:t>
      </w:r>
      <w:proofErr w:type="spellEnd"/>
      <w:r>
        <w:t xml:space="preserve"> &amp; Fortin, 2014; Gjesdal, 2024). Incorporating diverse perspectives in managerial decision-making provides both epistemic and moral advantages, particularly in addressing complex stakeholder-related challenges, thus strengthening the firm’s legitimacy and ethical credibility (Gjesdal, 2024). Given MNEs' operational complexity, robust ethical frameworks, including explicit anti-corruption measures, are essential to mitigate reputational risks and ensure consistency across institutional contexts (Sampa</w:t>
      </w:r>
      <w:r>
        <w:t xml:space="preserve">th &amp; Rahman, 2019). </w:t>
      </w:r>
    </w:p>
    <w:p w14:paraId="00000053" w14:textId="77777777" w:rsidR="00E07592" w:rsidRDefault="00C67442">
      <w:pPr>
        <w:spacing w:before="120" w:after="120" w:line="360" w:lineRule="auto"/>
        <w:jc w:val="both"/>
        <w:rPr>
          <w:b/>
        </w:rPr>
      </w:pPr>
      <w:r>
        <w:rPr>
          <w:b/>
        </w:rPr>
        <w:t>3.2.2 Environmental Management Practices</w:t>
      </w:r>
    </w:p>
    <w:p w14:paraId="00000054" w14:textId="77777777" w:rsidR="00E07592" w:rsidRDefault="00C67442">
      <w:pPr>
        <w:spacing w:before="120" w:after="120" w:line="360" w:lineRule="auto"/>
        <w:jc w:val="both"/>
      </w:pPr>
      <w:r>
        <w:t xml:space="preserve">EMP reflect strategic corporate actions aimed at reducing environmental footprints, improving firm performance, and supporting social welfare (Schuler et al., 2017). EMP comprises three primary dimensions: environmental supply chain management, waste reduction initiatives, and renewable energy adoption. Firms integrate environmental criteria (e.g., ISO 14000 standards) into supplier selection processes, promoting greener supply chains that enhance environmental and financial outcomes (Longoni et al., 2018; </w:t>
      </w:r>
      <w:r>
        <w:t xml:space="preserve">Yildiz Çankaya &amp; Sezen, 2019). Waste reduction practices—including recycling, reuse, and efficiency enhancement—help firms address stakeholder concerns, mitigate operational risks, and achieve cost savings, aligning closely with lean manufacturing principles (Klassen &amp; Whybark, 1999; Zhang &amp; Ma, 2021). </w:t>
      </w:r>
    </w:p>
    <w:p w14:paraId="00000056" w14:textId="4A85A3FB" w:rsidR="00E07592" w:rsidRDefault="00C67442" w:rsidP="00565EA1">
      <w:pPr>
        <w:spacing w:before="120" w:after="120" w:line="360" w:lineRule="auto"/>
        <w:ind w:firstLine="720"/>
        <w:jc w:val="both"/>
      </w:pPr>
      <w:r>
        <w:t>Transitioning to renewable energy sources optimizes resource usage, facilitates waste-to-energy processes, and aligns corporate production processes with long-term sustainability objectives, thus ensuring resource conservation for future generations (Lucas, 2010; Yildiz Çankaya &amp; Sezen, 2019). Collectively, these dimensions represent MNEs’ strategic capabilities essential for effectively integrating sustainability into core operational processes, responding to social pressures, and driving sustainable perfo</w:t>
      </w:r>
      <w:r>
        <w:t>rmance (Russo &amp; Fouts, 1997; Schuler et al., 2017).</w:t>
      </w:r>
    </w:p>
    <w:p w14:paraId="00000057" w14:textId="77777777" w:rsidR="00E07592" w:rsidRDefault="00C67442">
      <w:pPr>
        <w:spacing w:before="120" w:after="120" w:line="360" w:lineRule="auto"/>
        <w:jc w:val="both"/>
        <w:rPr>
          <w:b/>
        </w:rPr>
      </w:pPr>
      <w:r>
        <w:rPr>
          <w:b/>
        </w:rPr>
        <w:t>3.2.3 Sustainability Performance</w:t>
      </w:r>
    </w:p>
    <w:p w14:paraId="00000058" w14:textId="77777777" w:rsidR="00E07592" w:rsidRDefault="00C67442">
      <w:pPr>
        <w:spacing w:before="120" w:after="120" w:line="360" w:lineRule="auto"/>
        <w:jc w:val="both"/>
      </w:pPr>
      <w:r>
        <w:t xml:space="preserve">SP captures a firm’s effectiveness in aligning with sustainability objectives through explicit commitments to ESG practices. ESG represents a cornerstone of contemporary corporate social </w:t>
      </w:r>
      <w:r>
        <w:lastRenderedPageBreak/>
        <w:t xml:space="preserve">responsibility, encompassing standards and values critical to sustainable business development (Li et al., 2023). Although ESG scores are widely used as accountability measures that benefit investors, stakeholders, and broader society (Tamimi &amp; Sebastianelli, 2017; Clementino &amp; Perkins, 2021; </w:t>
      </w:r>
      <w:proofErr w:type="spellStart"/>
      <w:r>
        <w:t>Arayssi</w:t>
      </w:r>
      <w:proofErr w:type="spellEnd"/>
      <w:r>
        <w:t xml:space="preserve"> et al., 2020; Khaled et al., 2021; Alda, 2021), they also have limitations. Specifically, firm size significantly impacts the availability and depth of ESG data, potentially skewing performance assessments (</w:t>
      </w:r>
      <w:proofErr w:type="spellStart"/>
      <w:r>
        <w:t>Dre</w:t>
      </w:r>
      <w:r>
        <w:t>mpetic</w:t>
      </w:r>
      <w:proofErr w:type="spellEnd"/>
      <w:r>
        <w:t xml:space="preserve"> et al., 2019).</w:t>
      </w:r>
    </w:p>
    <w:p w14:paraId="0000005A" w14:textId="03F0C016" w:rsidR="00E07592" w:rsidRDefault="00C67442" w:rsidP="00565EA1">
      <w:pPr>
        <w:spacing w:before="120" w:after="120" w:line="360" w:lineRule="auto"/>
        <w:ind w:firstLine="720"/>
        <w:jc w:val="both"/>
      </w:pPr>
      <w:r>
        <w:t xml:space="preserve">Nevertheless, ESG scores are essential indicators of corporate risk, as institutional investors increasingly view low ESG performance as indicative of insufficient risk management and a heightened likelihood of financial distress (Habermann &amp; Fischer, 2023). We adopt the three ESG pillars to measure SP: environmental, social, and governance. </w:t>
      </w:r>
      <w:r>
        <w:rPr>
          <w:i/>
        </w:rPr>
        <w:t xml:space="preserve">The environmental pillar </w:t>
      </w:r>
      <w:r>
        <w:t xml:space="preserve">assesses initiatives related to resource efficiency, emissions reduction, and eco-innovation. </w:t>
      </w:r>
      <w:r>
        <w:rPr>
          <w:i/>
        </w:rPr>
        <w:t>The social pillar</w:t>
      </w:r>
      <w:r>
        <w:t xml:space="preserve"> evaluates workforce practices, adherence to human rights standards, community involvement, and responsible product management. Finally, </w:t>
      </w:r>
      <w:r>
        <w:rPr>
          <w:i/>
        </w:rPr>
        <w:t>the governance pillar</w:t>
      </w:r>
      <w:r>
        <w:t xml:space="preserve"> considers management quality, shareholder relations, and transparency in CSR strategies. </w:t>
      </w:r>
    </w:p>
    <w:p w14:paraId="0000005B" w14:textId="77777777" w:rsidR="00E07592" w:rsidRDefault="00C67442">
      <w:pPr>
        <w:spacing w:before="120" w:after="120" w:line="360" w:lineRule="auto"/>
        <w:jc w:val="both"/>
        <w:rPr>
          <w:b/>
        </w:rPr>
      </w:pPr>
      <w:r>
        <w:rPr>
          <w:b/>
        </w:rPr>
        <w:t>3.2.4 SDGs Adoption</w:t>
      </w:r>
    </w:p>
    <w:p w14:paraId="0000005C" w14:textId="77777777" w:rsidR="00E07592" w:rsidRDefault="00C67442">
      <w:pPr>
        <w:spacing w:before="120" w:after="120" w:line="360" w:lineRule="auto"/>
        <w:jc w:val="both"/>
      </w:pPr>
      <w:r>
        <w:t xml:space="preserve">SDG Adoption reflects how MNEs incorporate global sustainability objectives into their strategies and operations, emphasizing EP, environmental responsibility, and stakeholder engagement. The SDGs provide a principles-based framework guiding firms toward addressing interconnected global challenges like poverty, inequality, and environmental degradation (Kolk et al., 2017; United Nations, 2015; van </w:t>
      </w:r>
      <w:proofErr w:type="spellStart"/>
      <w:r>
        <w:t>Tulder</w:t>
      </w:r>
      <w:proofErr w:type="spellEnd"/>
      <w:r>
        <w:t xml:space="preserve"> &amp; van Mil, 2023). For this study, eight SDGs were selected based on their relevance to MNE capacities and direct impacts on sustainability outcomes—</w:t>
      </w:r>
      <w:r>
        <w:rPr>
          <w:i/>
        </w:rPr>
        <w:t>SDG1 (No Poverty), SDG7 (Affordable and Clean Energy), SDG8 (Decent Work and Economic Growth), SDG9 (Industry, Innovation, and Infrastructure), SDG10 (Reduced Inequalities), SDG12 (Responsible Consumption and Production), SDG13 (Climate Action), and SDG17 (Partnerships for the Goals)</w:t>
      </w:r>
      <w:r>
        <w:t>. These SDGs closely align with MNEs' roles in fostering economic develop</w:t>
      </w:r>
      <w:r>
        <w:t>ment, promoting social equity, and implementing environmentally sustainable practices (Ghauri, 2022).</w:t>
      </w:r>
    </w:p>
    <w:p w14:paraId="0000005E" w14:textId="4C49E045" w:rsidR="00E07592" w:rsidRPr="00565EA1" w:rsidRDefault="00C67442" w:rsidP="00565EA1">
      <w:pPr>
        <w:spacing w:before="120" w:after="120" w:line="360" w:lineRule="auto"/>
        <w:ind w:firstLine="720"/>
        <w:jc w:val="both"/>
        <w:rPr>
          <w:color w:val="0000FF"/>
        </w:rPr>
      </w:pPr>
      <w:r>
        <w:t xml:space="preserve">MNEs contribute to SDG 1 by generating employment and alleviating poverty through global operations (Kolk et al., 2017). SDG7 emphasizes transitioning to renewable energy, directly aligning with corporate mandates to minimize ecological impacts, while SDG8 underscores the importance of sustainable labor practices for economic growth (van Zanten &amp; van </w:t>
      </w:r>
      <w:proofErr w:type="spellStart"/>
      <w:r>
        <w:t>Tulder</w:t>
      </w:r>
      <w:proofErr w:type="spellEnd"/>
      <w:r>
        <w:t xml:space="preserve">, 2021; </w:t>
      </w:r>
      <w:r>
        <w:lastRenderedPageBreak/>
        <w:t xml:space="preserve">van </w:t>
      </w:r>
      <w:proofErr w:type="spellStart"/>
      <w:r>
        <w:t>Tulder</w:t>
      </w:r>
      <w:proofErr w:type="spellEnd"/>
      <w:r>
        <w:t>, 2024). Additionally, SDG9 highlights MNE roles in driving industrial innovation and infrastructure development (</w:t>
      </w:r>
      <w:proofErr w:type="spellStart"/>
      <w:r>
        <w:t>Leonidou</w:t>
      </w:r>
      <w:proofErr w:type="spellEnd"/>
      <w:r>
        <w:t xml:space="preserve"> et al., 2024; Williams &amp; Blasberg, 2022), particularly in emerging markets, and SDG10 stresses the importance of reducing inequalities within and across countries through inclusive business practices (Kolk et al., 2017). Moreover, SDG13 calls for actionable corporate commitments to climate action, encouraging emissions reductions and innovation, closely linked wi</w:t>
      </w:r>
      <w:r>
        <w:t xml:space="preserve">th SDG12's emphasis on responsible consumption and production as key sustainability priorities (Ghauri et al., 2021; </w:t>
      </w:r>
      <w:proofErr w:type="spellStart"/>
      <w:r>
        <w:t>Leonidou</w:t>
      </w:r>
      <w:proofErr w:type="spellEnd"/>
      <w:r>
        <w:t xml:space="preserve"> et al., 2024; van </w:t>
      </w:r>
      <w:proofErr w:type="spellStart"/>
      <w:r>
        <w:t>Tulder</w:t>
      </w:r>
      <w:proofErr w:type="spellEnd"/>
      <w:r>
        <w:t xml:space="preserve"> et al., 2021). Finally, collaborative efforts under SDG17 are essential, especially in institutionally weak contexts, to narrow the IRG and achieve tangible sustainability outcomes (</w:t>
      </w:r>
      <w:proofErr w:type="spellStart"/>
      <w:r>
        <w:t>Leonidou</w:t>
      </w:r>
      <w:proofErr w:type="spellEnd"/>
      <w:r>
        <w:t xml:space="preserve"> et al., 2024; Liou &amp; Rao-Nicholson, 2021; Nonet et al., 2022; Williams &amp; Blasberg, 2022). </w:t>
      </w:r>
      <w:r w:rsidR="00565EA1">
        <w:t xml:space="preserve">As discussed later in section 4.1, </w:t>
      </w:r>
      <w:r w:rsidRPr="00565EA1">
        <w:t xml:space="preserve">SDG12 was excluded </w:t>
      </w:r>
      <w:r w:rsidR="00565EA1" w:rsidRPr="00565EA1">
        <w:t xml:space="preserve">at the analysis level </w:t>
      </w:r>
      <w:r w:rsidRPr="00565EA1">
        <w:t xml:space="preserve">due </w:t>
      </w:r>
      <w:r w:rsidRPr="00565EA1">
        <w:t>to a VIF &gt;10, indicating multicollinearity. This suggests SDG12 is often conflated with EMP, potentially diluting distinct contributions in voids where firms prioritize operations over broader goals.</w:t>
      </w:r>
    </w:p>
    <w:p w14:paraId="0000005F" w14:textId="77777777" w:rsidR="00E07592" w:rsidRDefault="00C67442">
      <w:pPr>
        <w:spacing w:before="120" w:after="120" w:line="360" w:lineRule="auto"/>
        <w:jc w:val="both"/>
        <w:rPr>
          <w:b/>
        </w:rPr>
      </w:pPr>
      <w:r>
        <w:rPr>
          <w:b/>
        </w:rPr>
        <w:t>3.2.5 Control Variables</w:t>
      </w:r>
    </w:p>
    <w:p w14:paraId="43A08D0C" w14:textId="014FD0F7" w:rsidR="00565EA1" w:rsidRDefault="00C67442">
      <w:pPr>
        <w:spacing w:before="120" w:after="120" w:line="360" w:lineRule="auto"/>
        <w:jc w:val="both"/>
        <w:rPr>
          <w:b/>
        </w:rPr>
      </w:pPr>
      <w:r>
        <w:t>To account for factors influencing the relationships examined in this study, we include two control variables: MNE size and economic development. Firm size, proxied by total revenue, reflects an MNE's financial capacity and ability to implement sustainability initiatives. Larger firms typically have more resources for ESG reporting and sustainability practices, raising concerns about potential advantages in ESG assessments due to resource availability rather than substantive sustainability commitments (</w:t>
      </w:r>
      <w:proofErr w:type="spellStart"/>
      <w:r>
        <w:t>Drempetic</w:t>
      </w:r>
      <w:proofErr w:type="spellEnd"/>
      <w:r>
        <w:t xml:space="preserve"> et al., 2019). The level of economic development, measured by </w:t>
      </w:r>
      <w:r w:rsidR="00565EA1">
        <w:t>GNI</w:t>
      </w:r>
      <w:r>
        <w:t xml:space="preserve"> per capita, captures the institutional and economic environment in which MNEs operate. GNI per capita data were sourced from the World Bank and categorized into four groups—low-income, lower-middle-income, upper-middle-income, and high-income—according to 2023 thresholds. Country-level factors such as GNI are especially significant in weaker institutional contexts, where they critically shape firm-level environmental practices (Bane</w:t>
      </w:r>
      <w:r>
        <w:t>rjee et al., 2019).</w:t>
      </w:r>
    </w:p>
    <w:p w14:paraId="00000062" w14:textId="77777777" w:rsidR="00E07592" w:rsidRDefault="00C67442">
      <w:pPr>
        <w:spacing w:before="120" w:after="120" w:line="360" w:lineRule="auto"/>
        <w:jc w:val="both"/>
        <w:rPr>
          <w:b/>
        </w:rPr>
      </w:pPr>
      <w:r>
        <w:rPr>
          <w:b/>
        </w:rPr>
        <w:t>4. Results</w:t>
      </w:r>
    </w:p>
    <w:p w14:paraId="00000063" w14:textId="77777777" w:rsidR="00E07592" w:rsidRDefault="00C67442">
      <w:pPr>
        <w:spacing w:before="120" w:after="120" w:line="360" w:lineRule="auto"/>
        <w:jc w:val="both"/>
        <w:rPr>
          <w:b/>
        </w:rPr>
      </w:pPr>
      <w:r>
        <w:rPr>
          <w:b/>
        </w:rPr>
        <w:t>4.1 Reliability and Validity Evaluation</w:t>
      </w:r>
    </w:p>
    <w:p w14:paraId="00000064" w14:textId="7C3CF429" w:rsidR="00E07592" w:rsidRDefault="00C67442">
      <w:pPr>
        <w:spacing w:before="120" w:after="120" w:line="360" w:lineRule="auto"/>
        <w:jc w:val="both"/>
      </w:pPr>
      <w:r>
        <w:t xml:space="preserve">We conducted the analysis using PLS-SEM in </w:t>
      </w:r>
      <w:proofErr w:type="spellStart"/>
      <w:r>
        <w:t>SmartPLS</w:t>
      </w:r>
      <w:proofErr w:type="spellEnd"/>
      <w:r>
        <w:t xml:space="preserve">. This method was chosen for its capacity to handle complex models and its effectiveness in analyzing reflective and formative constructs (Ringle et al., 2015; Kline, 2023). The findings are presented across reliability and validity </w:t>
      </w:r>
      <w:r>
        <w:lastRenderedPageBreak/>
        <w:t xml:space="preserve">evaluation, overall model assessment, and hypothesis testing. The measurement model was evaluated for internal consistency reliability, convergent validity, and discriminant validity. </w:t>
      </w:r>
      <w:r w:rsidRPr="00565EA1">
        <w:rPr>
          <w:u w:val="single"/>
        </w:rPr>
        <w:t xml:space="preserve">Table </w:t>
      </w:r>
      <w:r w:rsidR="00565EA1" w:rsidRPr="00565EA1">
        <w:rPr>
          <w:u w:val="single"/>
        </w:rPr>
        <w:t>4</w:t>
      </w:r>
      <w:r>
        <w:t xml:space="preserve"> presents composite reliability, Cronbach’s alpha, average variance extracted (AVE), and factor loadings for each construct. All constructs met the recommended thresholds, with composite reliability and Cronbach’s alpha exceeding 0.7 and AVE exceeding 0.5 (Hair Jr et al., 2021). For instance, the lowest composite reliability score of 0.844 (for SP) and the lowest AVE score of 0.646 comfortably exceed these thresholds, confirming robust reliability and convergent validity.</w:t>
      </w:r>
    </w:p>
    <w:p w14:paraId="00000065" w14:textId="0D3D4E4C" w:rsidR="00E07592" w:rsidRDefault="00C67442" w:rsidP="00610307">
      <w:pPr>
        <w:spacing w:before="120" w:after="120" w:line="360" w:lineRule="auto"/>
        <w:ind w:firstLine="720"/>
        <w:jc w:val="both"/>
      </w:pPr>
      <w:r>
        <w:t xml:space="preserve">Discriminant validity was assessed using the Fornell-Larcker criterion and the </w:t>
      </w:r>
      <w:proofErr w:type="spellStart"/>
      <w:r>
        <w:t>Heterotrait-Monotrait</w:t>
      </w:r>
      <w:proofErr w:type="spellEnd"/>
      <w:r>
        <w:t xml:space="preserve"> (HTMT) ratio</w:t>
      </w:r>
      <w:r>
        <w:rPr>
          <w:vertAlign w:val="superscript"/>
        </w:rPr>
        <w:footnoteReference w:id="9"/>
      </w:r>
      <w:r>
        <w:t xml:space="preserve">. As shown in </w:t>
      </w:r>
      <w:r w:rsidRPr="00565EA1">
        <w:rPr>
          <w:u w:val="single"/>
        </w:rPr>
        <w:t xml:space="preserve">Table </w:t>
      </w:r>
      <w:r w:rsidR="00565EA1" w:rsidRPr="00565EA1">
        <w:rPr>
          <w:u w:val="single"/>
        </w:rPr>
        <w:t>5</w:t>
      </w:r>
      <w:r>
        <w:t>, each construct’s AVE exceeds its squared correlations with other constructs, confirming discriminant validity (Fornell &amp; Larcker, 1981)</w:t>
      </w:r>
      <w:r w:rsidR="00610307">
        <w:t xml:space="preserve">, and </w:t>
      </w:r>
      <w:r>
        <w:t>HTMT values were below the recommended threshold of 0.85 (Henseler et al., 2015)</w:t>
      </w:r>
      <w:r w:rsidR="00610307">
        <w:t xml:space="preserve">. Indicator cross-loadings are reported in </w:t>
      </w:r>
      <w:r w:rsidR="00610307" w:rsidRPr="00610307">
        <w:rPr>
          <w:u w:val="single"/>
        </w:rPr>
        <w:t xml:space="preserve">Table 6 </w:t>
      </w:r>
      <w:r w:rsidR="00610307">
        <w:t xml:space="preserve">and show that each indicator loads more strongly on its intended construct than on any other construct, reinforcing discriminant validity. </w:t>
      </w:r>
      <w:r>
        <w:t>Additionally, multicollinearity was evaluated using variance inflation factors</w:t>
      </w:r>
      <w:r>
        <w:t xml:space="preserve"> (VIF), with a threshold of 10 indicating redundancy (Kline, 2023). All constructs showed VIF values below this threshold, except for SDG12, which exceeded 10. Although SDG12 holds implications for MNE contributions to the circular economy (Ghauri, 2022), it was excluded from further analysis to maintain model robustness. The model’s overall fit was assessed using the standardized root mean square residual (SRMR), with the obtained SRMR value of 0.069 falling below the recommended threshold of 0.08, indicat</w:t>
      </w:r>
      <w:r>
        <w:t>ing good model fit (Dash &amp; Paul, 2021).</w:t>
      </w:r>
    </w:p>
    <w:p w14:paraId="6343ED2F" w14:textId="77777777" w:rsidR="00565EA1" w:rsidRDefault="00565EA1" w:rsidP="00565EA1">
      <w:pPr>
        <w:spacing w:before="120" w:after="120" w:line="360" w:lineRule="auto"/>
        <w:jc w:val="both"/>
        <w:rPr>
          <w:b/>
        </w:rPr>
      </w:pPr>
      <w:r>
        <w:rPr>
          <w:b/>
        </w:rPr>
        <w:t>4.2 Testing for Overall Measurement and Structural Model</w:t>
      </w:r>
    </w:p>
    <w:p w14:paraId="5286304A" w14:textId="50C61234" w:rsidR="00565EA1" w:rsidRDefault="00565EA1" w:rsidP="00565EA1">
      <w:pPr>
        <w:spacing w:before="120" w:after="120" w:line="360" w:lineRule="auto"/>
        <w:jc w:val="both"/>
      </w:pPr>
      <w:r>
        <w:t xml:space="preserve">The structural model was tested using 5000 bootstrap samples, as recommended by Hair et al. (2019). To assess the model quality, we evaluated the coefficient of determination (R²), predictive relevance (Q²), standardized path coefficients, and effect sizes (f²). The R² values indicate that the model explains 39.1% of the variance in SP, 59.4% in EMP, and 60.3% in SDG adoption, all exceeding the 0.10 threshold. The Q² scores further validate predictive capability, with values of 0.178 for SP, 0.435 for EMP, and 0.433 for SDG adoption, each above the cut-off of 0 (Geisser, 1974; Stone, 1974). Effect sizes (f²) of 0.02, 0.15, and 0.35 correspond, respectively, to small, </w:t>
      </w:r>
      <w:r>
        <w:lastRenderedPageBreak/>
        <w:t>medium, and large effects (Cohen, 1988). Collectively, these results confirm the structural model’s robustness and reliability.</w:t>
      </w:r>
    </w:p>
    <w:p w14:paraId="14E66C2F" w14:textId="2FD2ED86" w:rsidR="00565EA1" w:rsidRDefault="00565EA1" w:rsidP="00565EA1">
      <w:pPr>
        <w:rPr>
          <w:i/>
        </w:rPr>
      </w:pPr>
      <w:r>
        <w:rPr>
          <w:b/>
        </w:rPr>
        <w:t xml:space="preserve">Table 4. </w:t>
      </w:r>
      <w:r>
        <w:rPr>
          <w:i/>
        </w:rPr>
        <w:t>Internal Consistency</w:t>
      </w:r>
      <w:sdt>
        <w:sdtPr>
          <w:tag w:val="goog_rdk_239"/>
          <w:id w:val="-1163860695"/>
        </w:sdtPr>
        <w:sdtEndPr/>
        <w:sdtContent>
          <w:r>
            <w:rPr>
              <w:i/>
            </w:rPr>
            <w:t>,</w:t>
          </w:r>
        </w:sdtContent>
      </w:sdt>
      <w:r>
        <w:rPr>
          <w:i/>
        </w:rPr>
        <w:t xml:space="preserve"> Reliability</w:t>
      </w:r>
      <w:sdt>
        <w:sdtPr>
          <w:tag w:val="goog_rdk_240"/>
          <w:id w:val="-1339611775"/>
        </w:sdtPr>
        <w:sdtEndPr/>
        <w:sdtContent>
          <w:r>
            <w:rPr>
              <w:i/>
            </w:rPr>
            <w:t>,</w:t>
          </w:r>
        </w:sdtContent>
      </w:sdt>
      <w:r>
        <w:rPr>
          <w:i/>
        </w:rPr>
        <w:t xml:space="preserve"> and Convergent Validity</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72"/>
        <w:gridCol w:w="1559"/>
        <w:gridCol w:w="1701"/>
        <w:gridCol w:w="1701"/>
        <w:gridCol w:w="1418"/>
      </w:tblGrid>
      <w:tr w:rsidR="00565EA1" w14:paraId="37355FC8" w14:textId="77777777" w:rsidTr="00565EA1">
        <w:trPr>
          <w:trHeight w:val="553"/>
        </w:trPr>
        <w:tc>
          <w:tcPr>
            <w:tcW w:w="2972" w:type="dxa"/>
            <w:vAlign w:val="center"/>
          </w:tcPr>
          <w:p w14:paraId="66D0F0A8" w14:textId="77777777" w:rsidR="00565EA1" w:rsidRDefault="00565EA1" w:rsidP="00150C7F">
            <w:pPr>
              <w:jc w:val="center"/>
              <w:rPr>
                <w:b/>
                <w:color w:val="000000"/>
              </w:rPr>
            </w:pPr>
            <w:bookmarkStart w:id="1" w:name="_heading=h.3o8eaexk9ds1" w:colFirst="0" w:colLast="0"/>
            <w:bookmarkEnd w:id="1"/>
            <w:r>
              <w:rPr>
                <w:b/>
                <w:color w:val="000000"/>
              </w:rPr>
              <w:t>Constructs and Measures</w:t>
            </w:r>
          </w:p>
        </w:tc>
        <w:tc>
          <w:tcPr>
            <w:tcW w:w="1559" w:type="dxa"/>
            <w:vAlign w:val="center"/>
          </w:tcPr>
          <w:p w14:paraId="78AD55F6" w14:textId="77777777" w:rsidR="00565EA1" w:rsidRDefault="00565EA1" w:rsidP="00150C7F">
            <w:pPr>
              <w:jc w:val="center"/>
              <w:rPr>
                <w:b/>
                <w:color w:val="000000"/>
              </w:rPr>
            </w:pPr>
            <w:r>
              <w:rPr>
                <w:b/>
                <w:color w:val="000000"/>
              </w:rPr>
              <w:t>Factor Loadings</w:t>
            </w:r>
          </w:p>
        </w:tc>
        <w:tc>
          <w:tcPr>
            <w:tcW w:w="1701" w:type="dxa"/>
            <w:vAlign w:val="center"/>
          </w:tcPr>
          <w:p w14:paraId="2CC7C504" w14:textId="77777777" w:rsidR="00565EA1" w:rsidRDefault="00565EA1" w:rsidP="00150C7F">
            <w:pPr>
              <w:jc w:val="center"/>
              <w:rPr>
                <w:b/>
                <w:color w:val="000000"/>
              </w:rPr>
            </w:pPr>
            <w:r>
              <w:rPr>
                <w:b/>
                <w:color w:val="000000"/>
              </w:rPr>
              <w:t>Composite reliability</w:t>
            </w:r>
          </w:p>
        </w:tc>
        <w:tc>
          <w:tcPr>
            <w:tcW w:w="1701" w:type="dxa"/>
            <w:vAlign w:val="center"/>
          </w:tcPr>
          <w:p w14:paraId="06DDEDAB" w14:textId="77777777" w:rsidR="00565EA1" w:rsidRDefault="00565EA1" w:rsidP="00150C7F">
            <w:pPr>
              <w:jc w:val="center"/>
              <w:rPr>
                <w:b/>
                <w:color w:val="000000"/>
              </w:rPr>
            </w:pPr>
            <w:r>
              <w:rPr>
                <w:b/>
                <w:color w:val="000000"/>
              </w:rPr>
              <w:t>Cronbach’s alpha</w:t>
            </w:r>
          </w:p>
        </w:tc>
        <w:tc>
          <w:tcPr>
            <w:tcW w:w="1418" w:type="dxa"/>
            <w:vAlign w:val="center"/>
          </w:tcPr>
          <w:p w14:paraId="0AF369FA" w14:textId="77777777" w:rsidR="00565EA1" w:rsidRDefault="00565EA1" w:rsidP="00150C7F">
            <w:pPr>
              <w:jc w:val="center"/>
              <w:rPr>
                <w:b/>
                <w:color w:val="000000"/>
              </w:rPr>
            </w:pPr>
            <w:r>
              <w:rPr>
                <w:b/>
                <w:color w:val="000000"/>
              </w:rPr>
              <w:t>AVE</w:t>
            </w:r>
          </w:p>
        </w:tc>
      </w:tr>
      <w:tr w:rsidR="00565EA1" w14:paraId="516414B1" w14:textId="77777777" w:rsidTr="00565EA1">
        <w:trPr>
          <w:trHeight w:val="553"/>
        </w:trPr>
        <w:tc>
          <w:tcPr>
            <w:tcW w:w="2972" w:type="dxa"/>
            <w:vAlign w:val="center"/>
          </w:tcPr>
          <w:p w14:paraId="15A84BD5" w14:textId="77777777" w:rsidR="00565EA1" w:rsidRDefault="00565EA1" w:rsidP="00150C7F">
            <w:pPr>
              <w:jc w:val="center"/>
              <w:rPr>
                <w:b/>
                <w:i/>
                <w:color w:val="000000"/>
              </w:rPr>
            </w:pPr>
            <w:r>
              <w:rPr>
                <w:b/>
                <w:i/>
                <w:color w:val="000000"/>
              </w:rPr>
              <w:t>Ethical Practices</w:t>
            </w:r>
          </w:p>
        </w:tc>
        <w:tc>
          <w:tcPr>
            <w:tcW w:w="6379" w:type="dxa"/>
            <w:gridSpan w:val="4"/>
            <w:vAlign w:val="center"/>
          </w:tcPr>
          <w:p w14:paraId="7471EB7D" w14:textId="77777777" w:rsidR="00565EA1" w:rsidRDefault="00565EA1" w:rsidP="00150C7F">
            <w:pPr>
              <w:rPr>
                <w:b/>
                <w:color w:val="000000"/>
              </w:rPr>
            </w:pPr>
          </w:p>
        </w:tc>
      </w:tr>
      <w:tr w:rsidR="00565EA1" w14:paraId="6862E560" w14:textId="77777777" w:rsidTr="00565EA1">
        <w:trPr>
          <w:trHeight w:val="476"/>
        </w:trPr>
        <w:tc>
          <w:tcPr>
            <w:tcW w:w="2972" w:type="dxa"/>
            <w:vAlign w:val="center"/>
          </w:tcPr>
          <w:p w14:paraId="077AB4ED" w14:textId="77777777" w:rsidR="00565EA1" w:rsidRDefault="00565EA1" w:rsidP="00150C7F">
            <w:pPr>
              <w:jc w:val="center"/>
              <w:rPr>
                <w:color w:val="000000"/>
              </w:rPr>
            </w:pPr>
            <w:r>
              <w:rPr>
                <w:b/>
                <w:color w:val="000000"/>
              </w:rPr>
              <w:t>EP1</w:t>
            </w:r>
          </w:p>
        </w:tc>
        <w:tc>
          <w:tcPr>
            <w:tcW w:w="1559" w:type="dxa"/>
            <w:vAlign w:val="center"/>
          </w:tcPr>
          <w:p w14:paraId="097BADC9" w14:textId="77777777" w:rsidR="00565EA1" w:rsidRDefault="00565EA1" w:rsidP="00150C7F">
            <w:pPr>
              <w:spacing w:line="276" w:lineRule="auto"/>
              <w:jc w:val="center"/>
              <w:rPr>
                <w:color w:val="000000"/>
              </w:rPr>
            </w:pPr>
            <w:r>
              <w:rPr>
                <w:color w:val="000000"/>
              </w:rPr>
              <w:t>0.887</w:t>
            </w:r>
          </w:p>
        </w:tc>
        <w:tc>
          <w:tcPr>
            <w:tcW w:w="1701" w:type="dxa"/>
            <w:vMerge w:val="restart"/>
            <w:vAlign w:val="center"/>
          </w:tcPr>
          <w:p w14:paraId="68C6A8A5" w14:textId="77777777" w:rsidR="00565EA1" w:rsidRDefault="00565EA1" w:rsidP="00150C7F">
            <w:pPr>
              <w:spacing w:line="276" w:lineRule="auto"/>
              <w:jc w:val="center"/>
              <w:rPr>
                <w:color w:val="000000"/>
              </w:rPr>
            </w:pPr>
            <w:r>
              <w:rPr>
                <w:color w:val="000000"/>
              </w:rPr>
              <w:t>0.936</w:t>
            </w:r>
          </w:p>
        </w:tc>
        <w:tc>
          <w:tcPr>
            <w:tcW w:w="1701" w:type="dxa"/>
            <w:vMerge w:val="restart"/>
            <w:vAlign w:val="center"/>
          </w:tcPr>
          <w:p w14:paraId="2840BDBA" w14:textId="77777777" w:rsidR="00565EA1" w:rsidRDefault="00565EA1" w:rsidP="00150C7F">
            <w:pPr>
              <w:spacing w:line="276" w:lineRule="auto"/>
              <w:jc w:val="center"/>
              <w:rPr>
                <w:color w:val="000000"/>
              </w:rPr>
            </w:pPr>
            <w:r>
              <w:rPr>
                <w:color w:val="000000"/>
              </w:rPr>
              <w:t>0.897</w:t>
            </w:r>
          </w:p>
        </w:tc>
        <w:tc>
          <w:tcPr>
            <w:tcW w:w="1418" w:type="dxa"/>
            <w:vMerge w:val="restart"/>
            <w:vAlign w:val="center"/>
          </w:tcPr>
          <w:p w14:paraId="56BB3EBE" w14:textId="77777777" w:rsidR="00565EA1" w:rsidRDefault="00565EA1" w:rsidP="00150C7F">
            <w:pPr>
              <w:spacing w:line="276" w:lineRule="auto"/>
              <w:jc w:val="center"/>
              <w:rPr>
                <w:color w:val="000000"/>
              </w:rPr>
            </w:pPr>
            <w:r>
              <w:rPr>
                <w:color w:val="000000"/>
              </w:rPr>
              <w:t>0.829</w:t>
            </w:r>
          </w:p>
        </w:tc>
      </w:tr>
      <w:tr w:rsidR="00565EA1" w14:paraId="3F081F9F" w14:textId="77777777" w:rsidTr="00565EA1">
        <w:trPr>
          <w:trHeight w:val="415"/>
        </w:trPr>
        <w:tc>
          <w:tcPr>
            <w:tcW w:w="2972" w:type="dxa"/>
            <w:vAlign w:val="center"/>
          </w:tcPr>
          <w:p w14:paraId="3506725C" w14:textId="77777777" w:rsidR="00565EA1" w:rsidRDefault="00565EA1" w:rsidP="00150C7F">
            <w:pPr>
              <w:jc w:val="center"/>
              <w:rPr>
                <w:color w:val="000000"/>
              </w:rPr>
            </w:pPr>
            <w:r>
              <w:rPr>
                <w:b/>
                <w:color w:val="000000"/>
              </w:rPr>
              <w:t>EP2</w:t>
            </w:r>
          </w:p>
        </w:tc>
        <w:tc>
          <w:tcPr>
            <w:tcW w:w="1559" w:type="dxa"/>
            <w:vAlign w:val="center"/>
          </w:tcPr>
          <w:p w14:paraId="535E0F22" w14:textId="77777777" w:rsidR="00565EA1" w:rsidRDefault="00565EA1" w:rsidP="00150C7F">
            <w:pPr>
              <w:spacing w:line="276" w:lineRule="auto"/>
              <w:jc w:val="center"/>
              <w:rPr>
                <w:color w:val="000000"/>
              </w:rPr>
            </w:pPr>
            <w:r>
              <w:rPr>
                <w:color w:val="000000"/>
              </w:rPr>
              <w:t>0.927</w:t>
            </w:r>
          </w:p>
        </w:tc>
        <w:tc>
          <w:tcPr>
            <w:tcW w:w="1701" w:type="dxa"/>
            <w:vMerge/>
            <w:vAlign w:val="center"/>
          </w:tcPr>
          <w:p w14:paraId="5A7771C7" w14:textId="77777777" w:rsidR="00565EA1" w:rsidRDefault="00565EA1" w:rsidP="00150C7F">
            <w:pPr>
              <w:widowControl w:val="0"/>
              <w:pBdr>
                <w:top w:val="nil"/>
                <w:left w:val="nil"/>
                <w:bottom w:val="nil"/>
                <w:right w:val="nil"/>
                <w:between w:val="nil"/>
              </w:pBdr>
              <w:spacing w:line="276" w:lineRule="auto"/>
              <w:rPr>
                <w:color w:val="000000"/>
              </w:rPr>
            </w:pPr>
          </w:p>
        </w:tc>
        <w:tc>
          <w:tcPr>
            <w:tcW w:w="1701" w:type="dxa"/>
            <w:vMerge/>
            <w:vAlign w:val="center"/>
          </w:tcPr>
          <w:p w14:paraId="3354C4BF" w14:textId="77777777" w:rsidR="00565EA1" w:rsidRDefault="00565EA1" w:rsidP="00150C7F">
            <w:pPr>
              <w:widowControl w:val="0"/>
              <w:pBdr>
                <w:top w:val="nil"/>
                <w:left w:val="nil"/>
                <w:bottom w:val="nil"/>
                <w:right w:val="nil"/>
                <w:between w:val="nil"/>
              </w:pBdr>
              <w:spacing w:line="276" w:lineRule="auto"/>
              <w:rPr>
                <w:color w:val="000000"/>
              </w:rPr>
            </w:pPr>
          </w:p>
        </w:tc>
        <w:tc>
          <w:tcPr>
            <w:tcW w:w="1418" w:type="dxa"/>
            <w:vMerge/>
            <w:vAlign w:val="center"/>
          </w:tcPr>
          <w:p w14:paraId="560CAAFA" w14:textId="77777777" w:rsidR="00565EA1" w:rsidRDefault="00565EA1" w:rsidP="00150C7F">
            <w:pPr>
              <w:widowControl w:val="0"/>
              <w:pBdr>
                <w:top w:val="nil"/>
                <w:left w:val="nil"/>
                <w:bottom w:val="nil"/>
                <w:right w:val="nil"/>
                <w:between w:val="nil"/>
              </w:pBdr>
              <w:spacing w:line="276" w:lineRule="auto"/>
              <w:rPr>
                <w:color w:val="000000"/>
              </w:rPr>
            </w:pPr>
          </w:p>
        </w:tc>
      </w:tr>
      <w:tr w:rsidR="00565EA1" w14:paraId="6D990578" w14:textId="77777777" w:rsidTr="00565EA1">
        <w:trPr>
          <w:trHeight w:val="544"/>
        </w:trPr>
        <w:tc>
          <w:tcPr>
            <w:tcW w:w="2972" w:type="dxa"/>
            <w:vAlign w:val="center"/>
          </w:tcPr>
          <w:p w14:paraId="35B1F8B2" w14:textId="77777777" w:rsidR="00565EA1" w:rsidRDefault="00565EA1" w:rsidP="00150C7F">
            <w:pPr>
              <w:jc w:val="center"/>
              <w:rPr>
                <w:color w:val="000000"/>
              </w:rPr>
            </w:pPr>
            <w:r>
              <w:rPr>
                <w:b/>
                <w:color w:val="000000"/>
              </w:rPr>
              <w:t>EP3</w:t>
            </w:r>
          </w:p>
        </w:tc>
        <w:tc>
          <w:tcPr>
            <w:tcW w:w="1559" w:type="dxa"/>
            <w:vAlign w:val="center"/>
          </w:tcPr>
          <w:p w14:paraId="079E87A7" w14:textId="77777777" w:rsidR="00565EA1" w:rsidRDefault="00565EA1" w:rsidP="00150C7F">
            <w:pPr>
              <w:spacing w:line="276" w:lineRule="auto"/>
              <w:jc w:val="center"/>
              <w:rPr>
                <w:color w:val="000000"/>
              </w:rPr>
            </w:pPr>
            <w:r>
              <w:rPr>
                <w:color w:val="000000"/>
              </w:rPr>
              <w:t>0.916</w:t>
            </w:r>
          </w:p>
        </w:tc>
        <w:tc>
          <w:tcPr>
            <w:tcW w:w="1701" w:type="dxa"/>
            <w:vMerge/>
            <w:vAlign w:val="center"/>
          </w:tcPr>
          <w:p w14:paraId="67C6D3FA" w14:textId="77777777" w:rsidR="00565EA1" w:rsidRDefault="00565EA1" w:rsidP="00150C7F">
            <w:pPr>
              <w:widowControl w:val="0"/>
              <w:pBdr>
                <w:top w:val="nil"/>
                <w:left w:val="nil"/>
                <w:bottom w:val="nil"/>
                <w:right w:val="nil"/>
                <w:between w:val="nil"/>
              </w:pBdr>
              <w:spacing w:line="276" w:lineRule="auto"/>
              <w:rPr>
                <w:color w:val="000000"/>
              </w:rPr>
            </w:pPr>
          </w:p>
        </w:tc>
        <w:tc>
          <w:tcPr>
            <w:tcW w:w="1701" w:type="dxa"/>
            <w:vMerge/>
            <w:vAlign w:val="center"/>
          </w:tcPr>
          <w:p w14:paraId="51BF1482" w14:textId="77777777" w:rsidR="00565EA1" w:rsidRDefault="00565EA1" w:rsidP="00150C7F">
            <w:pPr>
              <w:widowControl w:val="0"/>
              <w:pBdr>
                <w:top w:val="nil"/>
                <w:left w:val="nil"/>
                <w:bottom w:val="nil"/>
                <w:right w:val="nil"/>
                <w:between w:val="nil"/>
              </w:pBdr>
              <w:spacing w:line="276" w:lineRule="auto"/>
              <w:rPr>
                <w:color w:val="000000"/>
              </w:rPr>
            </w:pPr>
          </w:p>
        </w:tc>
        <w:tc>
          <w:tcPr>
            <w:tcW w:w="1418" w:type="dxa"/>
            <w:vMerge/>
            <w:vAlign w:val="center"/>
          </w:tcPr>
          <w:p w14:paraId="2A828E47" w14:textId="77777777" w:rsidR="00565EA1" w:rsidRDefault="00565EA1" w:rsidP="00150C7F">
            <w:pPr>
              <w:widowControl w:val="0"/>
              <w:pBdr>
                <w:top w:val="nil"/>
                <w:left w:val="nil"/>
                <w:bottom w:val="nil"/>
                <w:right w:val="nil"/>
                <w:between w:val="nil"/>
              </w:pBdr>
              <w:spacing w:line="276" w:lineRule="auto"/>
              <w:rPr>
                <w:color w:val="000000"/>
              </w:rPr>
            </w:pPr>
          </w:p>
        </w:tc>
      </w:tr>
      <w:tr w:rsidR="00565EA1" w14:paraId="68B2D74F" w14:textId="77777777" w:rsidTr="00565EA1">
        <w:trPr>
          <w:trHeight w:val="544"/>
        </w:trPr>
        <w:tc>
          <w:tcPr>
            <w:tcW w:w="2972" w:type="dxa"/>
            <w:vAlign w:val="center"/>
          </w:tcPr>
          <w:p w14:paraId="2273B7F8" w14:textId="77777777" w:rsidR="00565EA1" w:rsidRDefault="00565EA1" w:rsidP="00150C7F">
            <w:pPr>
              <w:spacing w:line="276" w:lineRule="auto"/>
              <w:jc w:val="center"/>
              <w:rPr>
                <w:i/>
                <w:color w:val="000000"/>
              </w:rPr>
            </w:pPr>
            <w:r>
              <w:rPr>
                <w:b/>
                <w:i/>
                <w:color w:val="000000"/>
              </w:rPr>
              <w:t>Environmental Management Practices</w:t>
            </w:r>
          </w:p>
        </w:tc>
        <w:tc>
          <w:tcPr>
            <w:tcW w:w="6379" w:type="dxa"/>
            <w:gridSpan w:val="4"/>
            <w:vAlign w:val="center"/>
          </w:tcPr>
          <w:p w14:paraId="4C6563CF" w14:textId="77777777" w:rsidR="00565EA1" w:rsidRDefault="00565EA1" w:rsidP="00150C7F">
            <w:pPr>
              <w:spacing w:line="276" w:lineRule="auto"/>
              <w:rPr>
                <w:color w:val="000000"/>
              </w:rPr>
            </w:pPr>
          </w:p>
        </w:tc>
      </w:tr>
      <w:tr w:rsidR="00565EA1" w14:paraId="0AC4D1DA" w14:textId="77777777" w:rsidTr="00565EA1">
        <w:trPr>
          <w:trHeight w:val="391"/>
        </w:trPr>
        <w:tc>
          <w:tcPr>
            <w:tcW w:w="2972" w:type="dxa"/>
            <w:vAlign w:val="center"/>
          </w:tcPr>
          <w:p w14:paraId="2FFAED1B" w14:textId="77777777" w:rsidR="00565EA1" w:rsidRDefault="00565EA1" w:rsidP="00150C7F">
            <w:pPr>
              <w:jc w:val="center"/>
              <w:rPr>
                <w:color w:val="000000"/>
              </w:rPr>
            </w:pPr>
            <w:r>
              <w:rPr>
                <w:b/>
                <w:color w:val="000000"/>
              </w:rPr>
              <w:t>EMP1</w:t>
            </w:r>
          </w:p>
        </w:tc>
        <w:tc>
          <w:tcPr>
            <w:tcW w:w="1559" w:type="dxa"/>
            <w:vAlign w:val="center"/>
          </w:tcPr>
          <w:p w14:paraId="486704DE" w14:textId="77777777" w:rsidR="00565EA1" w:rsidRDefault="00565EA1" w:rsidP="00150C7F">
            <w:pPr>
              <w:spacing w:line="276" w:lineRule="auto"/>
              <w:jc w:val="center"/>
              <w:rPr>
                <w:color w:val="000000"/>
              </w:rPr>
            </w:pPr>
            <w:r>
              <w:rPr>
                <w:color w:val="000000"/>
              </w:rPr>
              <w:t>0.883</w:t>
            </w:r>
          </w:p>
        </w:tc>
        <w:tc>
          <w:tcPr>
            <w:tcW w:w="1701" w:type="dxa"/>
            <w:vMerge w:val="restart"/>
            <w:vAlign w:val="center"/>
          </w:tcPr>
          <w:p w14:paraId="33328D3E" w14:textId="77777777" w:rsidR="00565EA1" w:rsidRDefault="00565EA1" w:rsidP="00150C7F">
            <w:pPr>
              <w:spacing w:line="276" w:lineRule="auto"/>
              <w:jc w:val="center"/>
              <w:rPr>
                <w:color w:val="000000"/>
              </w:rPr>
            </w:pPr>
            <w:r>
              <w:rPr>
                <w:color w:val="000000"/>
              </w:rPr>
              <w:t>0.898</w:t>
            </w:r>
          </w:p>
        </w:tc>
        <w:tc>
          <w:tcPr>
            <w:tcW w:w="1701" w:type="dxa"/>
            <w:vMerge w:val="restart"/>
            <w:vAlign w:val="center"/>
          </w:tcPr>
          <w:p w14:paraId="35616023" w14:textId="77777777" w:rsidR="00565EA1" w:rsidRDefault="00565EA1" w:rsidP="00150C7F">
            <w:pPr>
              <w:spacing w:line="276" w:lineRule="auto"/>
              <w:jc w:val="center"/>
              <w:rPr>
                <w:color w:val="000000"/>
              </w:rPr>
            </w:pPr>
            <w:r>
              <w:rPr>
                <w:color w:val="000000"/>
              </w:rPr>
              <w:t>0.830</w:t>
            </w:r>
          </w:p>
        </w:tc>
        <w:tc>
          <w:tcPr>
            <w:tcW w:w="1418" w:type="dxa"/>
            <w:vMerge w:val="restart"/>
            <w:vAlign w:val="center"/>
          </w:tcPr>
          <w:p w14:paraId="73B1E5AB" w14:textId="77777777" w:rsidR="00565EA1" w:rsidRDefault="00565EA1" w:rsidP="00150C7F">
            <w:pPr>
              <w:spacing w:line="276" w:lineRule="auto"/>
              <w:jc w:val="center"/>
              <w:rPr>
                <w:color w:val="000000"/>
              </w:rPr>
            </w:pPr>
            <w:r>
              <w:rPr>
                <w:color w:val="000000"/>
              </w:rPr>
              <w:t>0.746</w:t>
            </w:r>
          </w:p>
        </w:tc>
      </w:tr>
      <w:tr w:rsidR="00565EA1" w14:paraId="64CF2A6E" w14:textId="77777777" w:rsidTr="00565EA1">
        <w:trPr>
          <w:trHeight w:val="423"/>
        </w:trPr>
        <w:tc>
          <w:tcPr>
            <w:tcW w:w="2972" w:type="dxa"/>
            <w:vAlign w:val="center"/>
          </w:tcPr>
          <w:p w14:paraId="3BB34DEB" w14:textId="77777777" w:rsidR="00565EA1" w:rsidRDefault="00565EA1" w:rsidP="00150C7F">
            <w:pPr>
              <w:jc w:val="center"/>
              <w:rPr>
                <w:color w:val="000000"/>
              </w:rPr>
            </w:pPr>
            <w:r>
              <w:rPr>
                <w:b/>
                <w:color w:val="000000"/>
              </w:rPr>
              <w:t>EMP2</w:t>
            </w:r>
          </w:p>
        </w:tc>
        <w:tc>
          <w:tcPr>
            <w:tcW w:w="1559" w:type="dxa"/>
            <w:vAlign w:val="center"/>
          </w:tcPr>
          <w:p w14:paraId="68C11346" w14:textId="77777777" w:rsidR="00565EA1" w:rsidRDefault="00565EA1" w:rsidP="00150C7F">
            <w:pPr>
              <w:spacing w:line="276" w:lineRule="auto"/>
              <w:jc w:val="center"/>
              <w:rPr>
                <w:i/>
                <w:color w:val="000000"/>
              </w:rPr>
            </w:pPr>
            <w:r>
              <w:rPr>
                <w:color w:val="000000"/>
              </w:rPr>
              <w:t>0.897</w:t>
            </w:r>
          </w:p>
        </w:tc>
        <w:tc>
          <w:tcPr>
            <w:tcW w:w="1701" w:type="dxa"/>
            <w:vMerge/>
            <w:vAlign w:val="center"/>
          </w:tcPr>
          <w:p w14:paraId="520D5BA4" w14:textId="77777777" w:rsidR="00565EA1" w:rsidRDefault="00565EA1" w:rsidP="00150C7F">
            <w:pPr>
              <w:widowControl w:val="0"/>
              <w:pBdr>
                <w:top w:val="nil"/>
                <w:left w:val="nil"/>
                <w:bottom w:val="nil"/>
                <w:right w:val="nil"/>
                <w:between w:val="nil"/>
              </w:pBdr>
              <w:spacing w:line="276" w:lineRule="auto"/>
              <w:rPr>
                <w:i/>
                <w:color w:val="000000"/>
              </w:rPr>
            </w:pPr>
          </w:p>
        </w:tc>
        <w:tc>
          <w:tcPr>
            <w:tcW w:w="1701" w:type="dxa"/>
            <w:vMerge/>
            <w:vAlign w:val="center"/>
          </w:tcPr>
          <w:p w14:paraId="65817C0A" w14:textId="77777777" w:rsidR="00565EA1" w:rsidRDefault="00565EA1" w:rsidP="00150C7F">
            <w:pPr>
              <w:widowControl w:val="0"/>
              <w:pBdr>
                <w:top w:val="nil"/>
                <w:left w:val="nil"/>
                <w:bottom w:val="nil"/>
                <w:right w:val="nil"/>
                <w:between w:val="nil"/>
              </w:pBdr>
              <w:spacing w:line="276" w:lineRule="auto"/>
              <w:rPr>
                <w:i/>
                <w:color w:val="000000"/>
              </w:rPr>
            </w:pPr>
          </w:p>
        </w:tc>
        <w:tc>
          <w:tcPr>
            <w:tcW w:w="1418" w:type="dxa"/>
            <w:vMerge/>
            <w:vAlign w:val="center"/>
          </w:tcPr>
          <w:p w14:paraId="33808731" w14:textId="77777777" w:rsidR="00565EA1" w:rsidRDefault="00565EA1" w:rsidP="00150C7F">
            <w:pPr>
              <w:widowControl w:val="0"/>
              <w:pBdr>
                <w:top w:val="nil"/>
                <w:left w:val="nil"/>
                <w:bottom w:val="nil"/>
                <w:right w:val="nil"/>
                <w:between w:val="nil"/>
              </w:pBdr>
              <w:spacing w:line="276" w:lineRule="auto"/>
              <w:rPr>
                <w:i/>
                <w:color w:val="000000"/>
              </w:rPr>
            </w:pPr>
          </w:p>
        </w:tc>
      </w:tr>
      <w:tr w:rsidR="00565EA1" w14:paraId="41D6CEBA" w14:textId="77777777" w:rsidTr="00565EA1">
        <w:trPr>
          <w:trHeight w:val="416"/>
        </w:trPr>
        <w:tc>
          <w:tcPr>
            <w:tcW w:w="2972" w:type="dxa"/>
            <w:vAlign w:val="center"/>
          </w:tcPr>
          <w:p w14:paraId="7A9BB0AC" w14:textId="77777777" w:rsidR="00565EA1" w:rsidRDefault="00565EA1" w:rsidP="00150C7F">
            <w:pPr>
              <w:jc w:val="center"/>
              <w:rPr>
                <w:color w:val="000000"/>
              </w:rPr>
            </w:pPr>
            <w:r>
              <w:rPr>
                <w:b/>
                <w:color w:val="000000"/>
              </w:rPr>
              <w:t>EMP3</w:t>
            </w:r>
          </w:p>
        </w:tc>
        <w:tc>
          <w:tcPr>
            <w:tcW w:w="1559" w:type="dxa"/>
            <w:vAlign w:val="center"/>
          </w:tcPr>
          <w:p w14:paraId="41D5BA35" w14:textId="77777777" w:rsidR="00565EA1" w:rsidRDefault="00565EA1" w:rsidP="00150C7F">
            <w:pPr>
              <w:spacing w:line="276" w:lineRule="auto"/>
              <w:jc w:val="center"/>
              <w:rPr>
                <w:color w:val="000000"/>
              </w:rPr>
            </w:pPr>
            <w:r>
              <w:rPr>
                <w:color w:val="000000"/>
              </w:rPr>
              <w:t>0.809</w:t>
            </w:r>
          </w:p>
        </w:tc>
        <w:tc>
          <w:tcPr>
            <w:tcW w:w="1701" w:type="dxa"/>
            <w:vMerge/>
            <w:vAlign w:val="center"/>
          </w:tcPr>
          <w:p w14:paraId="3F556988" w14:textId="77777777" w:rsidR="00565EA1" w:rsidRDefault="00565EA1" w:rsidP="00150C7F">
            <w:pPr>
              <w:widowControl w:val="0"/>
              <w:pBdr>
                <w:top w:val="nil"/>
                <w:left w:val="nil"/>
                <w:bottom w:val="nil"/>
                <w:right w:val="nil"/>
                <w:between w:val="nil"/>
              </w:pBdr>
              <w:spacing w:line="276" w:lineRule="auto"/>
              <w:rPr>
                <w:color w:val="000000"/>
              </w:rPr>
            </w:pPr>
          </w:p>
        </w:tc>
        <w:tc>
          <w:tcPr>
            <w:tcW w:w="1701" w:type="dxa"/>
            <w:vMerge/>
            <w:vAlign w:val="center"/>
          </w:tcPr>
          <w:p w14:paraId="4ABE5DEC" w14:textId="77777777" w:rsidR="00565EA1" w:rsidRDefault="00565EA1" w:rsidP="00150C7F">
            <w:pPr>
              <w:widowControl w:val="0"/>
              <w:pBdr>
                <w:top w:val="nil"/>
                <w:left w:val="nil"/>
                <w:bottom w:val="nil"/>
                <w:right w:val="nil"/>
                <w:between w:val="nil"/>
              </w:pBdr>
              <w:spacing w:line="276" w:lineRule="auto"/>
              <w:rPr>
                <w:color w:val="000000"/>
              </w:rPr>
            </w:pPr>
          </w:p>
        </w:tc>
        <w:tc>
          <w:tcPr>
            <w:tcW w:w="1418" w:type="dxa"/>
            <w:vMerge/>
            <w:vAlign w:val="center"/>
          </w:tcPr>
          <w:p w14:paraId="04260692" w14:textId="77777777" w:rsidR="00565EA1" w:rsidRDefault="00565EA1" w:rsidP="00150C7F">
            <w:pPr>
              <w:widowControl w:val="0"/>
              <w:pBdr>
                <w:top w:val="nil"/>
                <w:left w:val="nil"/>
                <w:bottom w:val="nil"/>
                <w:right w:val="nil"/>
                <w:between w:val="nil"/>
              </w:pBdr>
              <w:spacing w:line="276" w:lineRule="auto"/>
              <w:rPr>
                <w:color w:val="000000"/>
              </w:rPr>
            </w:pPr>
          </w:p>
        </w:tc>
      </w:tr>
      <w:tr w:rsidR="00565EA1" w14:paraId="03B9393C" w14:textId="77777777" w:rsidTr="00565EA1">
        <w:trPr>
          <w:trHeight w:val="416"/>
        </w:trPr>
        <w:tc>
          <w:tcPr>
            <w:tcW w:w="2972" w:type="dxa"/>
            <w:vAlign w:val="center"/>
          </w:tcPr>
          <w:p w14:paraId="68C59E8B" w14:textId="77777777" w:rsidR="00565EA1" w:rsidRDefault="00565EA1" w:rsidP="00150C7F">
            <w:pPr>
              <w:spacing w:line="276" w:lineRule="auto"/>
              <w:jc w:val="center"/>
              <w:rPr>
                <w:i/>
                <w:color w:val="000000"/>
              </w:rPr>
            </w:pPr>
            <w:r>
              <w:rPr>
                <w:b/>
                <w:i/>
                <w:color w:val="000000"/>
              </w:rPr>
              <w:t>Sustainability Performance</w:t>
            </w:r>
          </w:p>
        </w:tc>
        <w:tc>
          <w:tcPr>
            <w:tcW w:w="6379" w:type="dxa"/>
            <w:gridSpan w:val="4"/>
            <w:vAlign w:val="center"/>
          </w:tcPr>
          <w:p w14:paraId="006026B2" w14:textId="77777777" w:rsidR="00565EA1" w:rsidRDefault="00565EA1" w:rsidP="00150C7F">
            <w:pPr>
              <w:spacing w:line="276" w:lineRule="auto"/>
              <w:rPr>
                <w:color w:val="000000"/>
              </w:rPr>
            </w:pPr>
          </w:p>
        </w:tc>
      </w:tr>
      <w:tr w:rsidR="00565EA1" w14:paraId="0FEDA22E" w14:textId="77777777" w:rsidTr="00565EA1">
        <w:trPr>
          <w:trHeight w:val="422"/>
        </w:trPr>
        <w:tc>
          <w:tcPr>
            <w:tcW w:w="2972" w:type="dxa"/>
            <w:vAlign w:val="center"/>
          </w:tcPr>
          <w:p w14:paraId="73D5599C" w14:textId="77777777" w:rsidR="00565EA1" w:rsidRDefault="00565EA1" w:rsidP="00150C7F">
            <w:pPr>
              <w:jc w:val="center"/>
              <w:rPr>
                <w:color w:val="000000"/>
              </w:rPr>
            </w:pPr>
            <w:r>
              <w:rPr>
                <w:b/>
                <w:color w:val="000000"/>
              </w:rPr>
              <w:t>SP1</w:t>
            </w:r>
          </w:p>
        </w:tc>
        <w:tc>
          <w:tcPr>
            <w:tcW w:w="1559" w:type="dxa"/>
            <w:vAlign w:val="center"/>
          </w:tcPr>
          <w:p w14:paraId="5ADBA154" w14:textId="77777777" w:rsidR="00565EA1" w:rsidRDefault="00565EA1" w:rsidP="00150C7F">
            <w:pPr>
              <w:spacing w:line="276" w:lineRule="auto"/>
              <w:jc w:val="center"/>
              <w:rPr>
                <w:color w:val="000000"/>
              </w:rPr>
            </w:pPr>
            <w:r>
              <w:rPr>
                <w:color w:val="000000"/>
              </w:rPr>
              <w:t>0.880</w:t>
            </w:r>
          </w:p>
        </w:tc>
        <w:tc>
          <w:tcPr>
            <w:tcW w:w="1701" w:type="dxa"/>
            <w:vMerge w:val="restart"/>
            <w:vAlign w:val="center"/>
          </w:tcPr>
          <w:p w14:paraId="36C8FD8A" w14:textId="77777777" w:rsidR="00565EA1" w:rsidRDefault="00565EA1" w:rsidP="00150C7F">
            <w:pPr>
              <w:spacing w:line="276" w:lineRule="auto"/>
              <w:jc w:val="center"/>
              <w:rPr>
                <w:color w:val="000000"/>
              </w:rPr>
            </w:pPr>
            <w:r>
              <w:rPr>
                <w:color w:val="000000"/>
              </w:rPr>
              <w:t>0.844</w:t>
            </w:r>
          </w:p>
        </w:tc>
        <w:tc>
          <w:tcPr>
            <w:tcW w:w="1701" w:type="dxa"/>
            <w:vMerge w:val="restart"/>
            <w:vAlign w:val="center"/>
          </w:tcPr>
          <w:p w14:paraId="57B371CC" w14:textId="77777777" w:rsidR="00565EA1" w:rsidRDefault="00565EA1" w:rsidP="00150C7F">
            <w:pPr>
              <w:spacing w:line="276" w:lineRule="auto"/>
              <w:jc w:val="center"/>
              <w:rPr>
                <w:color w:val="000000"/>
              </w:rPr>
            </w:pPr>
            <w:r>
              <w:rPr>
                <w:color w:val="000000"/>
              </w:rPr>
              <w:t>0.735</w:t>
            </w:r>
          </w:p>
        </w:tc>
        <w:tc>
          <w:tcPr>
            <w:tcW w:w="1418" w:type="dxa"/>
            <w:vMerge w:val="restart"/>
            <w:vAlign w:val="center"/>
          </w:tcPr>
          <w:p w14:paraId="1A2170B5" w14:textId="77777777" w:rsidR="00565EA1" w:rsidRDefault="00565EA1" w:rsidP="00150C7F">
            <w:pPr>
              <w:spacing w:line="276" w:lineRule="auto"/>
              <w:jc w:val="center"/>
              <w:rPr>
                <w:color w:val="000000"/>
              </w:rPr>
            </w:pPr>
            <w:r>
              <w:rPr>
                <w:color w:val="000000"/>
              </w:rPr>
              <w:t>0.646</w:t>
            </w:r>
          </w:p>
        </w:tc>
      </w:tr>
      <w:tr w:rsidR="00565EA1" w14:paraId="76C5C8DF" w14:textId="77777777" w:rsidTr="00565EA1">
        <w:trPr>
          <w:trHeight w:val="400"/>
        </w:trPr>
        <w:tc>
          <w:tcPr>
            <w:tcW w:w="2972" w:type="dxa"/>
            <w:vAlign w:val="center"/>
          </w:tcPr>
          <w:p w14:paraId="2A736AB2" w14:textId="77777777" w:rsidR="00565EA1" w:rsidRDefault="00565EA1" w:rsidP="00150C7F">
            <w:pPr>
              <w:jc w:val="center"/>
              <w:rPr>
                <w:color w:val="000000"/>
              </w:rPr>
            </w:pPr>
            <w:r>
              <w:rPr>
                <w:b/>
                <w:color w:val="000000"/>
              </w:rPr>
              <w:t>SP2</w:t>
            </w:r>
          </w:p>
        </w:tc>
        <w:tc>
          <w:tcPr>
            <w:tcW w:w="1559" w:type="dxa"/>
            <w:vAlign w:val="center"/>
          </w:tcPr>
          <w:p w14:paraId="28D0FA0B" w14:textId="77777777" w:rsidR="00565EA1" w:rsidRDefault="00565EA1" w:rsidP="00150C7F">
            <w:pPr>
              <w:spacing w:line="276" w:lineRule="auto"/>
              <w:jc w:val="center"/>
              <w:rPr>
                <w:color w:val="000000"/>
              </w:rPr>
            </w:pPr>
            <w:r>
              <w:rPr>
                <w:color w:val="000000"/>
              </w:rPr>
              <w:t>0.859</w:t>
            </w:r>
          </w:p>
        </w:tc>
        <w:tc>
          <w:tcPr>
            <w:tcW w:w="1701" w:type="dxa"/>
            <w:vMerge/>
            <w:vAlign w:val="center"/>
          </w:tcPr>
          <w:p w14:paraId="7415477E" w14:textId="77777777" w:rsidR="00565EA1" w:rsidRDefault="00565EA1" w:rsidP="00150C7F">
            <w:pPr>
              <w:widowControl w:val="0"/>
              <w:pBdr>
                <w:top w:val="nil"/>
                <w:left w:val="nil"/>
                <w:bottom w:val="nil"/>
                <w:right w:val="nil"/>
                <w:between w:val="nil"/>
              </w:pBdr>
              <w:spacing w:line="276" w:lineRule="auto"/>
              <w:rPr>
                <w:color w:val="000000"/>
              </w:rPr>
            </w:pPr>
          </w:p>
        </w:tc>
        <w:tc>
          <w:tcPr>
            <w:tcW w:w="1701" w:type="dxa"/>
            <w:vMerge/>
            <w:vAlign w:val="center"/>
          </w:tcPr>
          <w:p w14:paraId="6F64A242" w14:textId="77777777" w:rsidR="00565EA1" w:rsidRDefault="00565EA1" w:rsidP="00150C7F">
            <w:pPr>
              <w:widowControl w:val="0"/>
              <w:pBdr>
                <w:top w:val="nil"/>
                <w:left w:val="nil"/>
                <w:bottom w:val="nil"/>
                <w:right w:val="nil"/>
                <w:between w:val="nil"/>
              </w:pBdr>
              <w:spacing w:line="276" w:lineRule="auto"/>
              <w:rPr>
                <w:color w:val="000000"/>
              </w:rPr>
            </w:pPr>
          </w:p>
        </w:tc>
        <w:tc>
          <w:tcPr>
            <w:tcW w:w="1418" w:type="dxa"/>
            <w:vMerge/>
            <w:vAlign w:val="center"/>
          </w:tcPr>
          <w:p w14:paraId="02B1B6FD" w14:textId="77777777" w:rsidR="00565EA1" w:rsidRDefault="00565EA1" w:rsidP="00150C7F">
            <w:pPr>
              <w:widowControl w:val="0"/>
              <w:pBdr>
                <w:top w:val="nil"/>
                <w:left w:val="nil"/>
                <w:bottom w:val="nil"/>
                <w:right w:val="nil"/>
                <w:between w:val="nil"/>
              </w:pBdr>
              <w:spacing w:line="276" w:lineRule="auto"/>
              <w:rPr>
                <w:color w:val="000000"/>
              </w:rPr>
            </w:pPr>
          </w:p>
        </w:tc>
      </w:tr>
      <w:tr w:rsidR="00565EA1" w14:paraId="22AA4FA1" w14:textId="77777777" w:rsidTr="00565EA1">
        <w:trPr>
          <w:trHeight w:val="390"/>
        </w:trPr>
        <w:tc>
          <w:tcPr>
            <w:tcW w:w="2972" w:type="dxa"/>
            <w:vAlign w:val="center"/>
          </w:tcPr>
          <w:p w14:paraId="1CB7FF5D" w14:textId="77777777" w:rsidR="00565EA1" w:rsidRDefault="00565EA1" w:rsidP="00150C7F">
            <w:pPr>
              <w:jc w:val="center"/>
              <w:rPr>
                <w:color w:val="000000"/>
              </w:rPr>
            </w:pPr>
            <w:r>
              <w:rPr>
                <w:b/>
                <w:color w:val="000000"/>
              </w:rPr>
              <w:t>SP3</w:t>
            </w:r>
          </w:p>
        </w:tc>
        <w:tc>
          <w:tcPr>
            <w:tcW w:w="1559" w:type="dxa"/>
            <w:vAlign w:val="center"/>
          </w:tcPr>
          <w:p w14:paraId="59CC4FDA" w14:textId="77777777" w:rsidR="00565EA1" w:rsidRDefault="00565EA1" w:rsidP="00150C7F">
            <w:pPr>
              <w:spacing w:line="276" w:lineRule="auto"/>
              <w:jc w:val="center"/>
              <w:rPr>
                <w:color w:val="000000"/>
              </w:rPr>
            </w:pPr>
            <w:r>
              <w:rPr>
                <w:color w:val="000000"/>
              </w:rPr>
              <w:t>0.653</w:t>
            </w:r>
          </w:p>
        </w:tc>
        <w:tc>
          <w:tcPr>
            <w:tcW w:w="1701" w:type="dxa"/>
            <w:vMerge/>
            <w:vAlign w:val="center"/>
          </w:tcPr>
          <w:p w14:paraId="0E203976" w14:textId="77777777" w:rsidR="00565EA1" w:rsidRDefault="00565EA1" w:rsidP="00150C7F">
            <w:pPr>
              <w:widowControl w:val="0"/>
              <w:pBdr>
                <w:top w:val="nil"/>
                <w:left w:val="nil"/>
                <w:bottom w:val="nil"/>
                <w:right w:val="nil"/>
                <w:between w:val="nil"/>
              </w:pBdr>
              <w:spacing w:line="276" w:lineRule="auto"/>
              <w:rPr>
                <w:color w:val="000000"/>
              </w:rPr>
            </w:pPr>
          </w:p>
        </w:tc>
        <w:tc>
          <w:tcPr>
            <w:tcW w:w="1701" w:type="dxa"/>
            <w:vMerge/>
            <w:vAlign w:val="center"/>
          </w:tcPr>
          <w:p w14:paraId="0549207D" w14:textId="77777777" w:rsidR="00565EA1" w:rsidRDefault="00565EA1" w:rsidP="00150C7F">
            <w:pPr>
              <w:widowControl w:val="0"/>
              <w:pBdr>
                <w:top w:val="nil"/>
                <w:left w:val="nil"/>
                <w:bottom w:val="nil"/>
                <w:right w:val="nil"/>
                <w:between w:val="nil"/>
              </w:pBdr>
              <w:spacing w:line="276" w:lineRule="auto"/>
              <w:rPr>
                <w:color w:val="000000"/>
              </w:rPr>
            </w:pPr>
          </w:p>
        </w:tc>
        <w:tc>
          <w:tcPr>
            <w:tcW w:w="1418" w:type="dxa"/>
            <w:vMerge/>
            <w:vAlign w:val="center"/>
          </w:tcPr>
          <w:p w14:paraId="61700CDC" w14:textId="77777777" w:rsidR="00565EA1" w:rsidRDefault="00565EA1" w:rsidP="00150C7F">
            <w:pPr>
              <w:widowControl w:val="0"/>
              <w:pBdr>
                <w:top w:val="nil"/>
                <w:left w:val="nil"/>
                <w:bottom w:val="nil"/>
                <w:right w:val="nil"/>
                <w:between w:val="nil"/>
              </w:pBdr>
              <w:spacing w:line="276" w:lineRule="auto"/>
              <w:rPr>
                <w:color w:val="000000"/>
              </w:rPr>
            </w:pPr>
          </w:p>
        </w:tc>
      </w:tr>
      <w:tr w:rsidR="00565EA1" w14:paraId="25B71423" w14:textId="77777777" w:rsidTr="00565EA1">
        <w:trPr>
          <w:trHeight w:val="390"/>
        </w:trPr>
        <w:tc>
          <w:tcPr>
            <w:tcW w:w="2972" w:type="dxa"/>
            <w:vAlign w:val="center"/>
          </w:tcPr>
          <w:p w14:paraId="7ABDA90E" w14:textId="77777777" w:rsidR="00565EA1" w:rsidRDefault="00565EA1" w:rsidP="00150C7F">
            <w:pPr>
              <w:spacing w:line="276" w:lineRule="auto"/>
              <w:jc w:val="center"/>
              <w:rPr>
                <w:i/>
                <w:color w:val="000000"/>
              </w:rPr>
            </w:pPr>
            <w:r>
              <w:rPr>
                <w:b/>
                <w:i/>
                <w:color w:val="000000"/>
              </w:rPr>
              <w:t>SDGs Adoption</w:t>
            </w:r>
          </w:p>
        </w:tc>
        <w:tc>
          <w:tcPr>
            <w:tcW w:w="6379" w:type="dxa"/>
            <w:gridSpan w:val="4"/>
            <w:vAlign w:val="center"/>
          </w:tcPr>
          <w:p w14:paraId="590B688F" w14:textId="77777777" w:rsidR="00565EA1" w:rsidRDefault="00565EA1" w:rsidP="00150C7F">
            <w:pPr>
              <w:spacing w:line="276" w:lineRule="auto"/>
              <w:rPr>
                <w:color w:val="000000"/>
              </w:rPr>
            </w:pPr>
          </w:p>
        </w:tc>
      </w:tr>
      <w:tr w:rsidR="00565EA1" w14:paraId="29798C23" w14:textId="77777777" w:rsidTr="00565EA1">
        <w:trPr>
          <w:trHeight w:val="440"/>
        </w:trPr>
        <w:tc>
          <w:tcPr>
            <w:tcW w:w="2972" w:type="dxa"/>
            <w:vAlign w:val="center"/>
          </w:tcPr>
          <w:p w14:paraId="7B8C428D" w14:textId="77777777" w:rsidR="00565EA1" w:rsidRDefault="00565EA1" w:rsidP="00150C7F">
            <w:pPr>
              <w:jc w:val="center"/>
              <w:rPr>
                <w:color w:val="000000"/>
              </w:rPr>
            </w:pPr>
            <w:r>
              <w:rPr>
                <w:b/>
                <w:color w:val="000000"/>
              </w:rPr>
              <w:t>SDG1</w:t>
            </w:r>
          </w:p>
        </w:tc>
        <w:tc>
          <w:tcPr>
            <w:tcW w:w="1559" w:type="dxa"/>
            <w:vAlign w:val="center"/>
          </w:tcPr>
          <w:p w14:paraId="4EE21222" w14:textId="77777777" w:rsidR="00565EA1" w:rsidRDefault="00565EA1" w:rsidP="00150C7F">
            <w:pPr>
              <w:spacing w:line="276" w:lineRule="auto"/>
              <w:jc w:val="center"/>
              <w:rPr>
                <w:color w:val="000000"/>
              </w:rPr>
            </w:pPr>
            <w:r>
              <w:rPr>
                <w:color w:val="000000"/>
              </w:rPr>
              <w:t>0.738</w:t>
            </w:r>
          </w:p>
        </w:tc>
        <w:tc>
          <w:tcPr>
            <w:tcW w:w="1701" w:type="dxa"/>
            <w:vMerge w:val="restart"/>
            <w:vAlign w:val="center"/>
          </w:tcPr>
          <w:p w14:paraId="51DE8661" w14:textId="77777777" w:rsidR="00565EA1" w:rsidRDefault="00565EA1" w:rsidP="00150C7F">
            <w:pPr>
              <w:spacing w:line="276" w:lineRule="auto"/>
              <w:jc w:val="center"/>
              <w:rPr>
                <w:color w:val="000000"/>
              </w:rPr>
            </w:pPr>
            <w:r>
              <w:rPr>
                <w:color w:val="000000"/>
              </w:rPr>
              <w:t>0.951</w:t>
            </w:r>
          </w:p>
        </w:tc>
        <w:tc>
          <w:tcPr>
            <w:tcW w:w="1701" w:type="dxa"/>
            <w:vMerge w:val="restart"/>
            <w:vAlign w:val="center"/>
          </w:tcPr>
          <w:p w14:paraId="60D623E2" w14:textId="77777777" w:rsidR="00565EA1" w:rsidRDefault="00565EA1" w:rsidP="00150C7F">
            <w:pPr>
              <w:spacing w:line="276" w:lineRule="auto"/>
              <w:jc w:val="center"/>
              <w:rPr>
                <w:color w:val="000000"/>
              </w:rPr>
            </w:pPr>
            <w:r>
              <w:rPr>
                <w:color w:val="000000"/>
              </w:rPr>
              <w:t>0.939</w:t>
            </w:r>
          </w:p>
        </w:tc>
        <w:tc>
          <w:tcPr>
            <w:tcW w:w="1418" w:type="dxa"/>
            <w:vMerge w:val="restart"/>
            <w:vAlign w:val="center"/>
          </w:tcPr>
          <w:p w14:paraId="122B7D7B" w14:textId="77777777" w:rsidR="00565EA1" w:rsidRDefault="00565EA1" w:rsidP="00150C7F">
            <w:pPr>
              <w:spacing w:line="276" w:lineRule="auto"/>
              <w:jc w:val="center"/>
              <w:rPr>
                <w:color w:val="000000"/>
              </w:rPr>
            </w:pPr>
            <w:r>
              <w:rPr>
                <w:color w:val="000000"/>
              </w:rPr>
              <w:t>0.735</w:t>
            </w:r>
          </w:p>
        </w:tc>
      </w:tr>
      <w:tr w:rsidR="00565EA1" w14:paraId="321DB142" w14:textId="77777777" w:rsidTr="00565EA1">
        <w:trPr>
          <w:trHeight w:val="418"/>
        </w:trPr>
        <w:tc>
          <w:tcPr>
            <w:tcW w:w="2972" w:type="dxa"/>
            <w:vAlign w:val="center"/>
          </w:tcPr>
          <w:p w14:paraId="3701D3E3" w14:textId="77777777" w:rsidR="00565EA1" w:rsidRDefault="00565EA1" w:rsidP="00150C7F">
            <w:pPr>
              <w:jc w:val="center"/>
              <w:rPr>
                <w:color w:val="000000"/>
              </w:rPr>
            </w:pPr>
            <w:r>
              <w:rPr>
                <w:b/>
                <w:color w:val="000000"/>
              </w:rPr>
              <w:t>SDG7</w:t>
            </w:r>
          </w:p>
        </w:tc>
        <w:tc>
          <w:tcPr>
            <w:tcW w:w="1559" w:type="dxa"/>
            <w:vAlign w:val="center"/>
          </w:tcPr>
          <w:p w14:paraId="5C2A75A4" w14:textId="77777777" w:rsidR="00565EA1" w:rsidRDefault="00565EA1" w:rsidP="00150C7F">
            <w:pPr>
              <w:spacing w:line="276" w:lineRule="auto"/>
              <w:jc w:val="center"/>
            </w:pPr>
            <w:r>
              <w:rPr>
                <w:color w:val="000000"/>
              </w:rPr>
              <w:t>0.799</w:t>
            </w:r>
          </w:p>
        </w:tc>
        <w:tc>
          <w:tcPr>
            <w:tcW w:w="1701" w:type="dxa"/>
            <w:vMerge/>
            <w:vAlign w:val="center"/>
          </w:tcPr>
          <w:p w14:paraId="63F00E09" w14:textId="77777777" w:rsidR="00565EA1" w:rsidRDefault="00565EA1" w:rsidP="00150C7F">
            <w:pPr>
              <w:widowControl w:val="0"/>
              <w:pBdr>
                <w:top w:val="nil"/>
                <w:left w:val="nil"/>
                <w:bottom w:val="nil"/>
                <w:right w:val="nil"/>
                <w:between w:val="nil"/>
              </w:pBdr>
              <w:spacing w:line="276" w:lineRule="auto"/>
            </w:pPr>
          </w:p>
        </w:tc>
        <w:tc>
          <w:tcPr>
            <w:tcW w:w="1701" w:type="dxa"/>
            <w:vMerge/>
            <w:vAlign w:val="center"/>
          </w:tcPr>
          <w:p w14:paraId="0B5759F9" w14:textId="77777777" w:rsidR="00565EA1" w:rsidRDefault="00565EA1" w:rsidP="00150C7F">
            <w:pPr>
              <w:widowControl w:val="0"/>
              <w:pBdr>
                <w:top w:val="nil"/>
                <w:left w:val="nil"/>
                <w:bottom w:val="nil"/>
                <w:right w:val="nil"/>
                <w:between w:val="nil"/>
              </w:pBdr>
              <w:spacing w:line="276" w:lineRule="auto"/>
            </w:pPr>
          </w:p>
        </w:tc>
        <w:tc>
          <w:tcPr>
            <w:tcW w:w="1418" w:type="dxa"/>
            <w:vMerge/>
            <w:vAlign w:val="center"/>
          </w:tcPr>
          <w:p w14:paraId="31234BBF" w14:textId="77777777" w:rsidR="00565EA1" w:rsidRDefault="00565EA1" w:rsidP="00150C7F">
            <w:pPr>
              <w:widowControl w:val="0"/>
              <w:pBdr>
                <w:top w:val="nil"/>
                <w:left w:val="nil"/>
                <w:bottom w:val="nil"/>
                <w:right w:val="nil"/>
                <w:between w:val="nil"/>
              </w:pBdr>
              <w:spacing w:line="276" w:lineRule="auto"/>
            </w:pPr>
          </w:p>
        </w:tc>
      </w:tr>
      <w:tr w:rsidR="00565EA1" w14:paraId="6E01578B" w14:textId="77777777" w:rsidTr="00565EA1">
        <w:trPr>
          <w:trHeight w:val="352"/>
        </w:trPr>
        <w:tc>
          <w:tcPr>
            <w:tcW w:w="2972" w:type="dxa"/>
            <w:vAlign w:val="center"/>
          </w:tcPr>
          <w:p w14:paraId="382606C5" w14:textId="77777777" w:rsidR="00565EA1" w:rsidRDefault="00565EA1" w:rsidP="00150C7F">
            <w:pPr>
              <w:jc w:val="center"/>
              <w:rPr>
                <w:color w:val="000000"/>
              </w:rPr>
            </w:pPr>
            <w:r>
              <w:rPr>
                <w:b/>
                <w:color w:val="000000"/>
              </w:rPr>
              <w:t>SDG8</w:t>
            </w:r>
          </w:p>
        </w:tc>
        <w:tc>
          <w:tcPr>
            <w:tcW w:w="1559" w:type="dxa"/>
            <w:vAlign w:val="center"/>
          </w:tcPr>
          <w:p w14:paraId="25DE8C95" w14:textId="77777777" w:rsidR="00565EA1" w:rsidRDefault="00565EA1" w:rsidP="00150C7F">
            <w:pPr>
              <w:spacing w:line="276" w:lineRule="auto"/>
              <w:jc w:val="center"/>
            </w:pPr>
            <w:r>
              <w:rPr>
                <w:color w:val="000000"/>
              </w:rPr>
              <w:t>0.948</w:t>
            </w:r>
          </w:p>
        </w:tc>
        <w:tc>
          <w:tcPr>
            <w:tcW w:w="1701" w:type="dxa"/>
            <w:vMerge/>
            <w:vAlign w:val="center"/>
          </w:tcPr>
          <w:p w14:paraId="65C401E0" w14:textId="77777777" w:rsidR="00565EA1" w:rsidRDefault="00565EA1" w:rsidP="00150C7F">
            <w:pPr>
              <w:widowControl w:val="0"/>
              <w:pBdr>
                <w:top w:val="nil"/>
                <w:left w:val="nil"/>
                <w:bottom w:val="nil"/>
                <w:right w:val="nil"/>
                <w:between w:val="nil"/>
              </w:pBdr>
              <w:spacing w:line="276" w:lineRule="auto"/>
            </w:pPr>
          </w:p>
        </w:tc>
        <w:tc>
          <w:tcPr>
            <w:tcW w:w="1701" w:type="dxa"/>
            <w:vMerge/>
            <w:vAlign w:val="center"/>
          </w:tcPr>
          <w:p w14:paraId="2B88CEBC" w14:textId="77777777" w:rsidR="00565EA1" w:rsidRDefault="00565EA1" w:rsidP="00150C7F">
            <w:pPr>
              <w:widowControl w:val="0"/>
              <w:pBdr>
                <w:top w:val="nil"/>
                <w:left w:val="nil"/>
                <w:bottom w:val="nil"/>
                <w:right w:val="nil"/>
                <w:between w:val="nil"/>
              </w:pBdr>
              <w:spacing w:line="276" w:lineRule="auto"/>
            </w:pPr>
          </w:p>
        </w:tc>
        <w:tc>
          <w:tcPr>
            <w:tcW w:w="1418" w:type="dxa"/>
            <w:vMerge/>
            <w:vAlign w:val="center"/>
          </w:tcPr>
          <w:p w14:paraId="3A6FCC67" w14:textId="77777777" w:rsidR="00565EA1" w:rsidRDefault="00565EA1" w:rsidP="00150C7F">
            <w:pPr>
              <w:widowControl w:val="0"/>
              <w:pBdr>
                <w:top w:val="nil"/>
                <w:left w:val="nil"/>
                <w:bottom w:val="nil"/>
                <w:right w:val="nil"/>
                <w:between w:val="nil"/>
              </w:pBdr>
              <w:spacing w:line="276" w:lineRule="auto"/>
            </w:pPr>
          </w:p>
        </w:tc>
      </w:tr>
      <w:tr w:rsidR="00565EA1" w14:paraId="4A5106CB" w14:textId="77777777" w:rsidTr="00565EA1">
        <w:trPr>
          <w:trHeight w:val="428"/>
        </w:trPr>
        <w:tc>
          <w:tcPr>
            <w:tcW w:w="2972" w:type="dxa"/>
            <w:vAlign w:val="center"/>
          </w:tcPr>
          <w:p w14:paraId="44885E51" w14:textId="77777777" w:rsidR="00565EA1" w:rsidRDefault="00565EA1" w:rsidP="00150C7F">
            <w:pPr>
              <w:jc w:val="center"/>
              <w:rPr>
                <w:color w:val="000000"/>
              </w:rPr>
            </w:pPr>
            <w:r>
              <w:rPr>
                <w:b/>
                <w:color w:val="000000"/>
              </w:rPr>
              <w:t>SDG9</w:t>
            </w:r>
          </w:p>
        </w:tc>
        <w:tc>
          <w:tcPr>
            <w:tcW w:w="1559" w:type="dxa"/>
            <w:vAlign w:val="center"/>
          </w:tcPr>
          <w:p w14:paraId="3E9715C7" w14:textId="77777777" w:rsidR="00565EA1" w:rsidRDefault="00565EA1" w:rsidP="00150C7F">
            <w:pPr>
              <w:spacing w:line="276" w:lineRule="auto"/>
              <w:jc w:val="center"/>
            </w:pPr>
            <w:r>
              <w:rPr>
                <w:color w:val="000000"/>
              </w:rPr>
              <w:t>0.893</w:t>
            </w:r>
          </w:p>
        </w:tc>
        <w:tc>
          <w:tcPr>
            <w:tcW w:w="1701" w:type="dxa"/>
            <w:vMerge/>
            <w:vAlign w:val="center"/>
          </w:tcPr>
          <w:p w14:paraId="452B50A7" w14:textId="77777777" w:rsidR="00565EA1" w:rsidRDefault="00565EA1" w:rsidP="00150C7F">
            <w:pPr>
              <w:widowControl w:val="0"/>
              <w:pBdr>
                <w:top w:val="nil"/>
                <w:left w:val="nil"/>
                <w:bottom w:val="nil"/>
                <w:right w:val="nil"/>
                <w:between w:val="nil"/>
              </w:pBdr>
              <w:spacing w:line="276" w:lineRule="auto"/>
            </w:pPr>
          </w:p>
        </w:tc>
        <w:tc>
          <w:tcPr>
            <w:tcW w:w="1701" w:type="dxa"/>
            <w:vMerge/>
            <w:vAlign w:val="center"/>
          </w:tcPr>
          <w:p w14:paraId="29C1FCF2" w14:textId="77777777" w:rsidR="00565EA1" w:rsidRDefault="00565EA1" w:rsidP="00150C7F">
            <w:pPr>
              <w:widowControl w:val="0"/>
              <w:pBdr>
                <w:top w:val="nil"/>
                <w:left w:val="nil"/>
                <w:bottom w:val="nil"/>
                <w:right w:val="nil"/>
                <w:between w:val="nil"/>
              </w:pBdr>
              <w:spacing w:line="276" w:lineRule="auto"/>
            </w:pPr>
          </w:p>
        </w:tc>
        <w:tc>
          <w:tcPr>
            <w:tcW w:w="1418" w:type="dxa"/>
            <w:vMerge/>
            <w:vAlign w:val="center"/>
          </w:tcPr>
          <w:p w14:paraId="1211A76F" w14:textId="77777777" w:rsidR="00565EA1" w:rsidRDefault="00565EA1" w:rsidP="00150C7F">
            <w:pPr>
              <w:widowControl w:val="0"/>
              <w:pBdr>
                <w:top w:val="nil"/>
                <w:left w:val="nil"/>
                <w:bottom w:val="nil"/>
                <w:right w:val="nil"/>
                <w:between w:val="nil"/>
              </w:pBdr>
              <w:spacing w:line="276" w:lineRule="auto"/>
            </w:pPr>
          </w:p>
        </w:tc>
      </w:tr>
      <w:tr w:rsidR="00565EA1" w14:paraId="7B5FB89E" w14:textId="77777777" w:rsidTr="00565EA1">
        <w:trPr>
          <w:trHeight w:val="416"/>
        </w:trPr>
        <w:tc>
          <w:tcPr>
            <w:tcW w:w="2972" w:type="dxa"/>
            <w:vAlign w:val="center"/>
          </w:tcPr>
          <w:p w14:paraId="217E7FCD" w14:textId="77777777" w:rsidR="00565EA1" w:rsidRDefault="00565EA1" w:rsidP="00150C7F">
            <w:pPr>
              <w:jc w:val="center"/>
              <w:rPr>
                <w:color w:val="000000"/>
              </w:rPr>
            </w:pPr>
            <w:r>
              <w:rPr>
                <w:b/>
                <w:color w:val="000000"/>
              </w:rPr>
              <w:t>SDG10</w:t>
            </w:r>
          </w:p>
        </w:tc>
        <w:tc>
          <w:tcPr>
            <w:tcW w:w="1559" w:type="dxa"/>
            <w:vAlign w:val="center"/>
          </w:tcPr>
          <w:p w14:paraId="0CF99E16" w14:textId="77777777" w:rsidR="00565EA1" w:rsidRDefault="00565EA1" w:rsidP="00150C7F">
            <w:pPr>
              <w:spacing w:line="276" w:lineRule="auto"/>
              <w:jc w:val="center"/>
            </w:pPr>
            <w:r>
              <w:rPr>
                <w:color w:val="000000"/>
              </w:rPr>
              <w:t>0.882</w:t>
            </w:r>
          </w:p>
        </w:tc>
        <w:tc>
          <w:tcPr>
            <w:tcW w:w="1701" w:type="dxa"/>
            <w:vMerge/>
            <w:vAlign w:val="center"/>
          </w:tcPr>
          <w:p w14:paraId="5F3277D3" w14:textId="77777777" w:rsidR="00565EA1" w:rsidRDefault="00565EA1" w:rsidP="00150C7F">
            <w:pPr>
              <w:widowControl w:val="0"/>
              <w:pBdr>
                <w:top w:val="nil"/>
                <w:left w:val="nil"/>
                <w:bottom w:val="nil"/>
                <w:right w:val="nil"/>
                <w:between w:val="nil"/>
              </w:pBdr>
              <w:spacing w:line="276" w:lineRule="auto"/>
            </w:pPr>
          </w:p>
        </w:tc>
        <w:tc>
          <w:tcPr>
            <w:tcW w:w="1701" w:type="dxa"/>
            <w:vMerge/>
            <w:vAlign w:val="center"/>
          </w:tcPr>
          <w:p w14:paraId="2E2BBE95" w14:textId="77777777" w:rsidR="00565EA1" w:rsidRDefault="00565EA1" w:rsidP="00150C7F">
            <w:pPr>
              <w:widowControl w:val="0"/>
              <w:pBdr>
                <w:top w:val="nil"/>
                <w:left w:val="nil"/>
                <w:bottom w:val="nil"/>
                <w:right w:val="nil"/>
                <w:between w:val="nil"/>
              </w:pBdr>
              <w:spacing w:line="276" w:lineRule="auto"/>
            </w:pPr>
          </w:p>
        </w:tc>
        <w:tc>
          <w:tcPr>
            <w:tcW w:w="1418" w:type="dxa"/>
            <w:vMerge/>
            <w:vAlign w:val="center"/>
          </w:tcPr>
          <w:p w14:paraId="5F3B274E" w14:textId="77777777" w:rsidR="00565EA1" w:rsidRDefault="00565EA1" w:rsidP="00150C7F">
            <w:pPr>
              <w:widowControl w:val="0"/>
              <w:pBdr>
                <w:top w:val="nil"/>
                <w:left w:val="nil"/>
                <w:bottom w:val="nil"/>
                <w:right w:val="nil"/>
                <w:between w:val="nil"/>
              </w:pBdr>
              <w:spacing w:line="276" w:lineRule="auto"/>
            </w:pPr>
          </w:p>
        </w:tc>
      </w:tr>
      <w:tr w:rsidR="00565EA1" w14:paraId="157BD0C0" w14:textId="77777777" w:rsidTr="00565EA1">
        <w:trPr>
          <w:trHeight w:val="408"/>
        </w:trPr>
        <w:tc>
          <w:tcPr>
            <w:tcW w:w="2972" w:type="dxa"/>
            <w:vAlign w:val="center"/>
          </w:tcPr>
          <w:p w14:paraId="223A8B13" w14:textId="77777777" w:rsidR="00565EA1" w:rsidRDefault="00565EA1" w:rsidP="00150C7F">
            <w:pPr>
              <w:jc w:val="center"/>
              <w:rPr>
                <w:color w:val="000000"/>
              </w:rPr>
            </w:pPr>
            <w:r>
              <w:rPr>
                <w:b/>
                <w:color w:val="000000"/>
              </w:rPr>
              <w:t>SDG13</w:t>
            </w:r>
          </w:p>
        </w:tc>
        <w:tc>
          <w:tcPr>
            <w:tcW w:w="1559" w:type="dxa"/>
            <w:vAlign w:val="center"/>
          </w:tcPr>
          <w:p w14:paraId="3AF60D2D" w14:textId="77777777" w:rsidR="00565EA1" w:rsidRDefault="00565EA1" w:rsidP="00150C7F">
            <w:pPr>
              <w:spacing w:line="276" w:lineRule="auto"/>
              <w:jc w:val="center"/>
            </w:pPr>
            <w:r>
              <w:rPr>
                <w:color w:val="000000"/>
              </w:rPr>
              <w:t>0.898</w:t>
            </w:r>
          </w:p>
        </w:tc>
        <w:tc>
          <w:tcPr>
            <w:tcW w:w="1701" w:type="dxa"/>
            <w:vMerge/>
            <w:vAlign w:val="center"/>
          </w:tcPr>
          <w:p w14:paraId="0C6456CF" w14:textId="77777777" w:rsidR="00565EA1" w:rsidRDefault="00565EA1" w:rsidP="00150C7F">
            <w:pPr>
              <w:widowControl w:val="0"/>
              <w:pBdr>
                <w:top w:val="nil"/>
                <w:left w:val="nil"/>
                <w:bottom w:val="nil"/>
                <w:right w:val="nil"/>
                <w:between w:val="nil"/>
              </w:pBdr>
              <w:spacing w:line="276" w:lineRule="auto"/>
            </w:pPr>
          </w:p>
        </w:tc>
        <w:tc>
          <w:tcPr>
            <w:tcW w:w="1701" w:type="dxa"/>
            <w:vMerge/>
            <w:vAlign w:val="center"/>
          </w:tcPr>
          <w:p w14:paraId="0063066A" w14:textId="77777777" w:rsidR="00565EA1" w:rsidRDefault="00565EA1" w:rsidP="00150C7F">
            <w:pPr>
              <w:widowControl w:val="0"/>
              <w:pBdr>
                <w:top w:val="nil"/>
                <w:left w:val="nil"/>
                <w:bottom w:val="nil"/>
                <w:right w:val="nil"/>
                <w:between w:val="nil"/>
              </w:pBdr>
              <w:spacing w:line="276" w:lineRule="auto"/>
            </w:pPr>
          </w:p>
        </w:tc>
        <w:tc>
          <w:tcPr>
            <w:tcW w:w="1418" w:type="dxa"/>
            <w:vMerge/>
            <w:vAlign w:val="center"/>
          </w:tcPr>
          <w:p w14:paraId="71F9C15C" w14:textId="77777777" w:rsidR="00565EA1" w:rsidRDefault="00565EA1" w:rsidP="00150C7F">
            <w:pPr>
              <w:widowControl w:val="0"/>
              <w:pBdr>
                <w:top w:val="nil"/>
                <w:left w:val="nil"/>
                <w:bottom w:val="nil"/>
                <w:right w:val="nil"/>
                <w:between w:val="nil"/>
              </w:pBdr>
              <w:spacing w:line="276" w:lineRule="auto"/>
            </w:pPr>
          </w:p>
        </w:tc>
      </w:tr>
      <w:tr w:rsidR="00565EA1" w14:paraId="620F4BE6" w14:textId="77777777" w:rsidTr="00565EA1">
        <w:trPr>
          <w:trHeight w:val="427"/>
        </w:trPr>
        <w:tc>
          <w:tcPr>
            <w:tcW w:w="2972" w:type="dxa"/>
            <w:vAlign w:val="center"/>
          </w:tcPr>
          <w:p w14:paraId="4A040DDF" w14:textId="77777777" w:rsidR="00565EA1" w:rsidRDefault="00565EA1" w:rsidP="00150C7F">
            <w:pPr>
              <w:jc w:val="center"/>
              <w:rPr>
                <w:color w:val="000000"/>
              </w:rPr>
            </w:pPr>
            <w:r>
              <w:rPr>
                <w:b/>
                <w:color w:val="000000"/>
              </w:rPr>
              <w:t>SDG17</w:t>
            </w:r>
          </w:p>
        </w:tc>
        <w:tc>
          <w:tcPr>
            <w:tcW w:w="1559" w:type="dxa"/>
            <w:vAlign w:val="center"/>
          </w:tcPr>
          <w:p w14:paraId="1894FFBA" w14:textId="77777777" w:rsidR="00565EA1" w:rsidRDefault="00565EA1" w:rsidP="00150C7F">
            <w:pPr>
              <w:spacing w:line="276" w:lineRule="auto"/>
              <w:jc w:val="center"/>
            </w:pPr>
            <w:r>
              <w:rPr>
                <w:color w:val="000000"/>
              </w:rPr>
              <w:t>0.825</w:t>
            </w:r>
          </w:p>
        </w:tc>
        <w:tc>
          <w:tcPr>
            <w:tcW w:w="1701" w:type="dxa"/>
            <w:vMerge/>
            <w:vAlign w:val="center"/>
          </w:tcPr>
          <w:p w14:paraId="272342A3" w14:textId="77777777" w:rsidR="00565EA1" w:rsidRDefault="00565EA1" w:rsidP="00150C7F">
            <w:pPr>
              <w:widowControl w:val="0"/>
              <w:pBdr>
                <w:top w:val="nil"/>
                <w:left w:val="nil"/>
                <w:bottom w:val="nil"/>
                <w:right w:val="nil"/>
                <w:between w:val="nil"/>
              </w:pBdr>
              <w:spacing w:line="276" w:lineRule="auto"/>
            </w:pPr>
          </w:p>
        </w:tc>
        <w:tc>
          <w:tcPr>
            <w:tcW w:w="1701" w:type="dxa"/>
            <w:vMerge/>
            <w:vAlign w:val="center"/>
          </w:tcPr>
          <w:p w14:paraId="0EC0264F" w14:textId="77777777" w:rsidR="00565EA1" w:rsidRDefault="00565EA1" w:rsidP="00150C7F">
            <w:pPr>
              <w:widowControl w:val="0"/>
              <w:pBdr>
                <w:top w:val="nil"/>
                <w:left w:val="nil"/>
                <w:bottom w:val="nil"/>
                <w:right w:val="nil"/>
                <w:between w:val="nil"/>
              </w:pBdr>
              <w:spacing w:line="276" w:lineRule="auto"/>
            </w:pPr>
          </w:p>
        </w:tc>
        <w:tc>
          <w:tcPr>
            <w:tcW w:w="1418" w:type="dxa"/>
            <w:vMerge/>
            <w:vAlign w:val="center"/>
          </w:tcPr>
          <w:p w14:paraId="7C8A55EC" w14:textId="77777777" w:rsidR="00565EA1" w:rsidRDefault="00565EA1" w:rsidP="00150C7F">
            <w:pPr>
              <w:widowControl w:val="0"/>
              <w:pBdr>
                <w:top w:val="nil"/>
                <w:left w:val="nil"/>
                <w:bottom w:val="nil"/>
                <w:right w:val="nil"/>
                <w:between w:val="nil"/>
              </w:pBdr>
              <w:spacing w:line="276" w:lineRule="auto"/>
            </w:pPr>
          </w:p>
        </w:tc>
      </w:tr>
    </w:tbl>
    <w:p w14:paraId="7FDF987B" w14:textId="77777777" w:rsidR="00565EA1" w:rsidRDefault="00565EA1" w:rsidP="00565EA1">
      <w:pPr>
        <w:rPr>
          <w:b/>
        </w:rPr>
      </w:pPr>
    </w:p>
    <w:p w14:paraId="3FE9B665" w14:textId="77777777" w:rsidR="00565EA1" w:rsidRDefault="00565EA1" w:rsidP="00565EA1">
      <w:pPr>
        <w:rPr>
          <w:b/>
        </w:rPr>
      </w:pPr>
    </w:p>
    <w:p w14:paraId="5F519BB9" w14:textId="77777777" w:rsidR="00565EA1" w:rsidRDefault="00565EA1" w:rsidP="00565EA1">
      <w:pPr>
        <w:rPr>
          <w:b/>
        </w:rPr>
      </w:pPr>
    </w:p>
    <w:p w14:paraId="3B226C64" w14:textId="77777777" w:rsidR="00565EA1" w:rsidRDefault="00565EA1" w:rsidP="00565EA1">
      <w:pPr>
        <w:rPr>
          <w:b/>
        </w:rPr>
      </w:pPr>
    </w:p>
    <w:p w14:paraId="038E3816" w14:textId="77777777" w:rsidR="00565EA1" w:rsidRDefault="00565EA1" w:rsidP="00565EA1">
      <w:pPr>
        <w:rPr>
          <w:b/>
        </w:rPr>
      </w:pPr>
    </w:p>
    <w:p w14:paraId="63EC8FB1" w14:textId="77777777" w:rsidR="00565EA1" w:rsidRDefault="00565EA1" w:rsidP="00565EA1">
      <w:pPr>
        <w:rPr>
          <w:b/>
        </w:rPr>
      </w:pPr>
    </w:p>
    <w:p w14:paraId="0407295F" w14:textId="77777777" w:rsidR="00565EA1" w:rsidRDefault="00565EA1" w:rsidP="00565EA1">
      <w:pPr>
        <w:rPr>
          <w:b/>
        </w:rPr>
      </w:pPr>
    </w:p>
    <w:p w14:paraId="37000315" w14:textId="2F494DE9" w:rsidR="00565EA1" w:rsidRDefault="00565EA1" w:rsidP="00565EA1">
      <w:pPr>
        <w:rPr>
          <w:i/>
        </w:rPr>
      </w:pPr>
      <w:r>
        <w:rPr>
          <w:b/>
        </w:rPr>
        <w:lastRenderedPageBreak/>
        <w:t xml:space="preserve">Table 5. </w:t>
      </w:r>
      <w:r>
        <w:rPr>
          <w:i/>
        </w:rPr>
        <w:t>Discriminant Validity</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gridCol w:w="1276"/>
        <w:gridCol w:w="1275"/>
        <w:gridCol w:w="1276"/>
        <w:gridCol w:w="1256"/>
      </w:tblGrid>
      <w:tr w:rsidR="00565EA1" w14:paraId="26E39CD0" w14:textId="77777777" w:rsidTr="00565EA1">
        <w:trPr>
          <w:trHeight w:val="288"/>
        </w:trPr>
        <w:tc>
          <w:tcPr>
            <w:tcW w:w="4820" w:type="dxa"/>
            <w:vAlign w:val="center"/>
          </w:tcPr>
          <w:p w14:paraId="1683077C" w14:textId="77777777" w:rsidR="00565EA1" w:rsidRDefault="00565EA1" w:rsidP="00150C7F">
            <w:pPr>
              <w:spacing w:before="120" w:after="120"/>
              <w:jc w:val="center"/>
              <w:rPr>
                <w:color w:val="000000"/>
              </w:rPr>
            </w:pPr>
            <w:bookmarkStart w:id="2" w:name="_heading=h.d2q1h3vzda5g" w:colFirst="0" w:colLast="0"/>
            <w:bookmarkEnd w:id="2"/>
          </w:p>
        </w:tc>
        <w:tc>
          <w:tcPr>
            <w:tcW w:w="1276" w:type="dxa"/>
            <w:vAlign w:val="center"/>
          </w:tcPr>
          <w:p w14:paraId="3BC2E522" w14:textId="77777777" w:rsidR="00565EA1" w:rsidRDefault="00565EA1" w:rsidP="00150C7F">
            <w:pPr>
              <w:spacing w:before="120" w:after="120"/>
              <w:jc w:val="center"/>
              <w:rPr>
                <w:b/>
                <w:color w:val="000000"/>
              </w:rPr>
            </w:pPr>
            <w:r>
              <w:rPr>
                <w:b/>
                <w:color w:val="000000"/>
              </w:rPr>
              <w:t>1</w:t>
            </w:r>
          </w:p>
        </w:tc>
        <w:tc>
          <w:tcPr>
            <w:tcW w:w="1275" w:type="dxa"/>
            <w:vAlign w:val="center"/>
          </w:tcPr>
          <w:p w14:paraId="3EDD0EF6" w14:textId="77777777" w:rsidR="00565EA1" w:rsidRDefault="00565EA1" w:rsidP="00150C7F">
            <w:pPr>
              <w:spacing w:before="120" w:after="120"/>
              <w:jc w:val="center"/>
              <w:rPr>
                <w:b/>
                <w:color w:val="000000"/>
              </w:rPr>
            </w:pPr>
            <w:r>
              <w:rPr>
                <w:b/>
                <w:color w:val="000000"/>
              </w:rPr>
              <w:t>2</w:t>
            </w:r>
          </w:p>
        </w:tc>
        <w:tc>
          <w:tcPr>
            <w:tcW w:w="1276" w:type="dxa"/>
            <w:vAlign w:val="center"/>
          </w:tcPr>
          <w:p w14:paraId="4193C364" w14:textId="77777777" w:rsidR="00565EA1" w:rsidRDefault="00565EA1" w:rsidP="00150C7F">
            <w:pPr>
              <w:spacing w:before="120" w:after="120"/>
              <w:jc w:val="center"/>
              <w:rPr>
                <w:b/>
                <w:color w:val="000000"/>
              </w:rPr>
            </w:pPr>
            <w:r>
              <w:rPr>
                <w:b/>
                <w:color w:val="000000"/>
              </w:rPr>
              <w:t>3</w:t>
            </w:r>
          </w:p>
        </w:tc>
        <w:tc>
          <w:tcPr>
            <w:tcW w:w="1256" w:type="dxa"/>
            <w:vAlign w:val="center"/>
          </w:tcPr>
          <w:p w14:paraId="5CBBACDE" w14:textId="77777777" w:rsidR="00565EA1" w:rsidRDefault="00565EA1" w:rsidP="00150C7F">
            <w:pPr>
              <w:spacing w:before="120" w:after="120"/>
              <w:jc w:val="center"/>
              <w:rPr>
                <w:b/>
                <w:color w:val="000000"/>
              </w:rPr>
            </w:pPr>
            <w:r>
              <w:rPr>
                <w:b/>
                <w:color w:val="000000"/>
              </w:rPr>
              <w:t>4</w:t>
            </w:r>
          </w:p>
        </w:tc>
      </w:tr>
      <w:tr w:rsidR="00565EA1" w14:paraId="1A4D68A3" w14:textId="77777777" w:rsidTr="00FB6954">
        <w:trPr>
          <w:trHeight w:val="288"/>
        </w:trPr>
        <w:tc>
          <w:tcPr>
            <w:tcW w:w="9903" w:type="dxa"/>
            <w:gridSpan w:val="5"/>
            <w:vAlign w:val="center"/>
          </w:tcPr>
          <w:p w14:paraId="05E0C0B4" w14:textId="17C1DEA0" w:rsidR="00565EA1" w:rsidRDefault="00565EA1" w:rsidP="00565EA1">
            <w:pPr>
              <w:spacing w:before="120" w:after="120"/>
              <w:rPr>
                <w:b/>
                <w:color w:val="000000"/>
              </w:rPr>
            </w:pPr>
            <w:r>
              <w:rPr>
                <w:i/>
              </w:rPr>
              <w:t>Fornell-Larcker Criterion</w:t>
            </w:r>
          </w:p>
        </w:tc>
      </w:tr>
      <w:tr w:rsidR="00565EA1" w14:paraId="2A3EB604" w14:textId="77777777" w:rsidTr="00565EA1">
        <w:trPr>
          <w:trHeight w:val="497"/>
        </w:trPr>
        <w:tc>
          <w:tcPr>
            <w:tcW w:w="4820" w:type="dxa"/>
            <w:vAlign w:val="center"/>
          </w:tcPr>
          <w:p w14:paraId="26B3E9A1" w14:textId="77777777" w:rsidR="00565EA1" w:rsidRDefault="00565EA1" w:rsidP="00150C7F">
            <w:pPr>
              <w:spacing w:before="120" w:after="120"/>
              <w:rPr>
                <w:b/>
                <w:color w:val="000000"/>
              </w:rPr>
            </w:pPr>
            <w:r>
              <w:rPr>
                <w:b/>
                <w:color w:val="000000"/>
              </w:rPr>
              <w:t>1. Environmental Management Practices</w:t>
            </w:r>
          </w:p>
        </w:tc>
        <w:tc>
          <w:tcPr>
            <w:tcW w:w="1276" w:type="dxa"/>
            <w:vAlign w:val="center"/>
          </w:tcPr>
          <w:p w14:paraId="5F168E5B" w14:textId="77777777" w:rsidR="00565EA1" w:rsidRDefault="00565EA1" w:rsidP="00150C7F">
            <w:pPr>
              <w:spacing w:line="276" w:lineRule="auto"/>
              <w:jc w:val="center"/>
              <w:rPr>
                <w:color w:val="000000"/>
              </w:rPr>
            </w:pPr>
            <w:r>
              <w:rPr>
                <w:color w:val="000000"/>
              </w:rPr>
              <w:t>0.864</w:t>
            </w:r>
          </w:p>
        </w:tc>
        <w:tc>
          <w:tcPr>
            <w:tcW w:w="1275" w:type="dxa"/>
            <w:vAlign w:val="center"/>
          </w:tcPr>
          <w:p w14:paraId="7F60187A" w14:textId="77777777" w:rsidR="00565EA1" w:rsidRDefault="00565EA1" w:rsidP="00150C7F">
            <w:pPr>
              <w:spacing w:line="276" w:lineRule="auto"/>
              <w:jc w:val="center"/>
              <w:rPr>
                <w:color w:val="000000"/>
              </w:rPr>
            </w:pPr>
          </w:p>
        </w:tc>
        <w:tc>
          <w:tcPr>
            <w:tcW w:w="1276" w:type="dxa"/>
            <w:vAlign w:val="center"/>
          </w:tcPr>
          <w:p w14:paraId="2497F9A2" w14:textId="77777777" w:rsidR="00565EA1" w:rsidRDefault="00565EA1" w:rsidP="00150C7F">
            <w:pPr>
              <w:spacing w:line="276" w:lineRule="auto"/>
              <w:jc w:val="center"/>
              <w:rPr>
                <w:color w:val="000000"/>
              </w:rPr>
            </w:pPr>
          </w:p>
        </w:tc>
        <w:tc>
          <w:tcPr>
            <w:tcW w:w="1256" w:type="dxa"/>
            <w:vAlign w:val="center"/>
          </w:tcPr>
          <w:p w14:paraId="75507252" w14:textId="77777777" w:rsidR="00565EA1" w:rsidRDefault="00565EA1" w:rsidP="00150C7F">
            <w:pPr>
              <w:spacing w:line="276" w:lineRule="auto"/>
              <w:jc w:val="center"/>
              <w:rPr>
                <w:color w:val="000000"/>
              </w:rPr>
            </w:pPr>
          </w:p>
        </w:tc>
      </w:tr>
      <w:tr w:rsidR="00565EA1" w14:paraId="24574039" w14:textId="77777777" w:rsidTr="00565EA1">
        <w:trPr>
          <w:trHeight w:val="474"/>
        </w:trPr>
        <w:tc>
          <w:tcPr>
            <w:tcW w:w="4820" w:type="dxa"/>
            <w:vAlign w:val="center"/>
          </w:tcPr>
          <w:p w14:paraId="42D98574" w14:textId="77777777" w:rsidR="00565EA1" w:rsidRDefault="00565EA1" w:rsidP="00150C7F">
            <w:pPr>
              <w:spacing w:before="120" w:after="120"/>
              <w:rPr>
                <w:b/>
                <w:color w:val="000000"/>
              </w:rPr>
            </w:pPr>
            <w:r>
              <w:rPr>
                <w:b/>
                <w:color w:val="000000"/>
              </w:rPr>
              <w:t>2. Ethical Practices</w:t>
            </w:r>
          </w:p>
        </w:tc>
        <w:tc>
          <w:tcPr>
            <w:tcW w:w="1276" w:type="dxa"/>
            <w:vAlign w:val="center"/>
          </w:tcPr>
          <w:p w14:paraId="2DE1905A" w14:textId="77777777" w:rsidR="00565EA1" w:rsidRDefault="00565EA1" w:rsidP="00150C7F">
            <w:pPr>
              <w:spacing w:line="276" w:lineRule="auto"/>
              <w:jc w:val="center"/>
              <w:rPr>
                <w:color w:val="000000"/>
              </w:rPr>
            </w:pPr>
            <w:r>
              <w:rPr>
                <w:color w:val="000000"/>
              </w:rPr>
              <w:t>0.771</w:t>
            </w:r>
          </w:p>
        </w:tc>
        <w:tc>
          <w:tcPr>
            <w:tcW w:w="1275" w:type="dxa"/>
            <w:vAlign w:val="center"/>
          </w:tcPr>
          <w:p w14:paraId="416BA509" w14:textId="77777777" w:rsidR="00565EA1" w:rsidRDefault="00565EA1" w:rsidP="00150C7F">
            <w:pPr>
              <w:spacing w:line="276" w:lineRule="auto"/>
              <w:jc w:val="center"/>
              <w:rPr>
                <w:color w:val="000000"/>
              </w:rPr>
            </w:pPr>
            <w:r>
              <w:rPr>
                <w:color w:val="000000"/>
              </w:rPr>
              <w:t>0.910</w:t>
            </w:r>
          </w:p>
        </w:tc>
        <w:tc>
          <w:tcPr>
            <w:tcW w:w="1276" w:type="dxa"/>
            <w:vAlign w:val="center"/>
          </w:tcPr>
          <w:p w14:paraId="59A72A07" w14:textId="77777777" w:rsidR="00565EA1" w:rsidRDefault="00565EA1" w:rsidP="00150C7F">
            <w:pPr>
              <w:spacing w:line="276" w:lineRule="auto"/>
              <w:jc w:val="center"/>
              <w:rPr>
                <w:color w:val="000000"/>
              </w:rPr>
            </w:pPr>
          </w:p>
        </w:tc>
        <w:tc>
          <w:tcPr>
            <w:tcW w:w="1256" w:type="dxa"/>
            <w:vAlign w:val="center"/>
          </w:tcPr>
          <w:p w14:paraId="7D042DA0" w14:textId="77777777" w:rsidR="00565EA1" w:rsidRDefault="00565EA1" w:rsidP="00150C7F">
            <w:pPr>
              <w:spacing w:line="276" w:lineRule="auto"/>
              <w:jc w:val="center"/>
              <w:rPr>
                <w:color w:val="000000"/>
              </w:rPr>
            </w:pPr>
          </w:p>
        </w:tc>
      </w:tr>
      <w:tr w:rsidR="00565EA1" w14:paraId="4D070410" w14:textId="77777777" w:rsidTr="00565EA1">
        <w:trPr>
          <w:trHeight w:val="288"/>
        </w:trPr>
        <w:tc>
          <w:tcPr>
            <w:tcW w:w="4820" w:type="dxa"/>
            <w:vAlign w:val="center"/>
          </w:tcPr>
          <w:p w14:paraId="4247902A" w14:textId="77777777" w:rsidR="00565EA1" w:rsidRDefault="00565EA1" w:rsidP="00150C7F">
            <w:pPr>
              <w:spacing w:before="120" w:after="120"/>
              <w:rPr>
                <w:b/>
                <w:color w:val="000000"/>
              </w:rPr>
            </w:pPr>
            <w:r>
              <w:rPr>
                <w:b/>
                <w:color w:val="000000"/>
              </w:rPr>
              <w:t>3. SDGs Adoption</w:t>
            </w:r>
          </w:p>
        </w:tc>
        <w:tc>
          <w:tcPr>
            <w:tcW w:w="1276" w:type="dxa"/>
            <w:vAlign w:val="center"/>
          </w:tcPr>
          <w:p w14:paraId="4E7283B5" w14:textId="77777777" w:rsidR="00565EA1" w:rsidRDefault="00565EA1" w:rsidP="00150C7F">
            <w:pPr>
              <w:spacing w:line="276" w:lineRule="auto"/>
              <w:jc w:val="center"/>
              <w:rPr>
                <w:color w:val="000000"/>
              </w:rPr>
            </w:pPr>
            <w:r>
              <w:rPr>
                <w:color w:val="000000"/>
              </w:rPr>
              <w:t>0.760</w:t>
            </w:r>
          </w:p>
        </w:tc>
        <w:tc>
          <w:tcPr>
            <w:tcW w:w="1275" w:type="dxa"/>
            <w:vAlign w:val="center"/>
          </w:tcPr>
          <w:p w14:paraId="1A33988A" w14:textId="77777777" w:rsidR="00565EA1" w:rsidRDefault="00565EA1" w:rsidP="00150C7F">
            <w:pPr>
              <w:spacing w:line="276" w:lineRule="auto"/>
              <w:jc w:val="center"/>
              <w:rPr>
                <w:color w:val="000000"/>
              </w:rPr>
            </w:pPr>
            <w:r>
              <w:rPr>
                <w:color w:val="000000"/>
              </w:rPr>
              <w:t>0.687</w:t>
            </w:r>
          </w:p>
        </w:tc>
        <w:tc>
          <w:tcPr>
            <w:tcW w:w="1276" w:type="dxa"/>
            <w:vAlign w:val="center"/>
          </w:tcPr>
          <w:p w14:paraId="486F9B2F" w14:textId="77777777" w:rsidR="00565EA1" w:rsidRDefault="00565EA1" w:rsidP="00150C7F">
            <w:pPr>
              <w:spacing w:line="276" w:lineRule="auto"/>
              <w:jc w:val="center"/>
              <w:rPr>
                <w:color w:val="000000"/>
              </w:rPr>
            </w:pPr>
            <w:r>
              <w:rPr>
                <w:color w:val="000000"/>
              </w:rPr>
              <w:t>0.857</w:t>
            </w:r>
          </w:p>
        </w:tc>
        <w:tc>
          <w:tcPr>
            <w:tcW w:w="1256" w:type="dxa"/>
            <w:vAlign w:val="center"/>
          </w:tcPr>
          <w:p w14:paraId="7CA124A0" w14:textId="77777777" w:rsidR="00565EA1" w:rsidRDefault="00565EA1" w:rsidP="00150C7F">
            <w:pPr>
              <w:spacing w:line="276" w:lineRule="auto"/>
              <w:jc w:val="center"/>
              <w:rPr>
                <w:color w:val="000000"/>
              </w:rPr>
            </w:pPr>
          </w:p>
        </w:tc>
      </w:tr>
      <w:tr w:rsidR="00565EA1" w14:paraId="70B0D949" w14:textId="77777777" w:rsidTr="00565EA1">
        <w:trPr>
          <w:trHeight w:val="506"/>
        </w:trPr>
        <w:tc>
          <w:tcPr>
            <w:tcW w:w="4820" w:type="dxa"/>
            <w:vAlign w:val="center"/>
          </w:tcPr>
          <w:p w14:paraId="2133AFE8" w14:textId="77777777" w:rsidR="00565EA1" w:rsidRDefault="00565EA1" w:rsidP="00150C7F">
            <w:pPr>
              <w:spacing w:before="120" w:after="120"/>
              <w:rPr>
                <w:b/>
                <w:color w:val="000000"/>
              </w:rPr>
            </w:pPr>
            <w:r>
              <w:rPr>
                <w:b/>
                <w:color w:val="000000"/>
              </w:rPr>
              <w:t>4. Sustainability Performance</w:t>
            </w:r>
          </w:p>
        </w:tc>
        <w:tc>
          <w:tcPr>
            <w:tcW w:w="1276" w:type="dxa"/>
            <w:vAlign w:val="center"/>
          </w:tcPr>
          <w:p w14:paraId="56F025CE" w14:textId="77777777" w:rsidR="00565EA1" w:rsidRDefault="00565EA1" w:rsidP="00150C7F">
            <w:pPr>
              <w:spacing w:line="276" w:lineRule="auto"/>
              <w:jc w:val="center"/>
              <w:rPr>
                <w:color w:val="000000"/>
              </w:rPr>
            </w:pPr>
            <w:r>
              <w:rPr>
                <w:color w:val="000000"/>
              </w:rPr>
              <w:t>0.472</w:t>
            </w:r>
          </w:p>
        </w:tc>
        <w:tc>
          <w:tcPr>
            <w:tcW w:w="1275" w:type="dxa"/>
            <w:vAlign w:val="center"/>
          </w:tcPr>
          <w:p w14:paraId="55E73776" w14:textId="77777777" w:rsidR="00565EA1" w:rsidRDefault="00565EA1" w:rsidP="00150C7F">
            <w:pPr>
              <w:spacing w:line="276" w:lineRule="auto"/>
              <w:jc w:val="center"/>
              <w:rPr>
                <w:color w:val="000000"/>
              </w:rPr>
            </w:pPr>
            <w:r>
              <w:rPr>
                <w:color w:val="000000"/>
              </w:rPr>
              <w:t>0.304</w:t>
            </w:r>
          </w:p>
        </w:tc>
        <w:tc>
          <w:tcPr>
            <w:tcW w:w="1276" w:type="dxa"/>
            <w:vAlign w:val="center"/>
          </w:tcPr>
          <w:p w14:paraId="22478BBA" w14:textId="77777777" w:rsidR="00565EA1" w:rsidRDefault="00565EA1" w:rsidP="00150C7F">
            <w:pPr>
              <w:spacing w:line="276" w:lineRule="auto"/>
              <w:jc w:val="center"/>
              <w:rPr>
                <w:color w:val="000000"/>
              </w:rPr>
            </w:pPr>
            <w:r>
              <w:rPr>
                <w:color w:val="000000"/>
              </w:rPr>
              <w:t>0.443</w:t>
            </w:r>
          </w:p>
        </w:tc>
        <w:tc>
          <w:tcPr>
            <w:tcW w:w="1256" w:type="dxa"/>
            <w:vAlign w:val="center"/>
          </w:tcPr>
          <w:p w14:paraId="2DC81A97" w14:textId="77777777" w:rsidR="00565EA1" w:rsidRDefault="00565EA1" w:rsidP="00150C7F">
            <w:pPr>
              <w:spacing w:line="276" w:lineRule="auto"/>
              <w:jc w:val="center"/>
              <w:rPr>
                <w:color w:val="000000"/>
              </w:rPr>
            </w:pPr>
            <w:r>
              <w:rPr>
                <w:color w:val="000000"/>
              </w:rPr>
              <w:t>0.804</w:t>
            </w:r>
          </w:p>
        </w:tc>
      </w:tr>
      <w:tr w:rsidR="00565EA1" w14:paraId="3E8734FE" w14:textId="77777777" w:rsidTr="00224394">
        <w:trPr>
          <w:trHeight w:val="506"/>
        </w:trPr>
        <w:tc>
          <w:tcPr>
            <w:tcW w:w="9903" w:type="dxa"/>
            <w:gridSpan w:val="5"/>
            <w:vAlign w:val="center"/>
          </w:tcPr>
          <w:p w14:paraId="75CC6D3A" w14:textId="450CB277" w:rsidR="00565EA1" w:rsidRDefault="00565EA1" w:rsidP="00565EA1">
            <w:pPr>
              <w:spacing w:line="276" w:lineRule="auto"/>
              <w:rPr>
                <w:color w:val="000000"/>
              </w:rPr>
            </w:pPr>
            <w:r>
              <w:rPr>
                <w:i/>
                <w:color w:val="000000"/>
              </w:rPr>
              <w:t>HTMT</w:t>
            </w:r>
          </w:p>
        </w:tc>
      </w:tr>
      <w:tr w:rsidR="00565EA1" w14:paraId="4F21401F" w14:textId="77777777" w:rsidTr="00565EA1">
        <w:trPr>
          <w:trHeight w:val="506"/>
        </w:trPr>
        <w:tc>
          <w:tcPr>
            <w:tcW w:w="4820" w:type="dxa"/>
            <w:vAlign w:val="center"/>
          </w:tcPr>
          <w:p w14:paraId="6408D5E7" w14:textId="77777777" w:rsidR="00565EA1" w:rsidRDefault="00565EA1" w:rsidP="00150C7F">
            <w:pPr>
              <w:spacing w:before="120" w:after="120"/>
              <w:rPr>
                <w:b/>
                <w:color w:val="000000"/>
              </w:rPr>
            </w:pPr>
            <w:r>
              <w:rPr>
                <w:b/>
                <w:color w:val="000000"/>
              </w:rPr>
              <w:t>1. Environmental Management Practices</w:t>
            </w:r>
          </w:p>
        </w:tc>
        <w:tc>
          <w:tcPr>
            <w:tcW w:w="1276" w:type="dxa"/>
            <w:vAlign w:val="center"/>
          </w:tcPr>
          <w:p w14:paraId="4202F2C2" w14:textId="77777777" w:rsidR="00565EA1" w:rsidRDefault="00565EA1" w:rsidP="00150C7F">
            <w:pPr>
              <w:spacing w:line="276" w:lineRule="auto"/>
              <w:jc w:val="center"/>
              <w:rPr>
                <w:color w:val="000000"/>
              </w:rPr>
            </w:pPr>
          </w:p>
        </w:tc>
        <w:tc>
          <w:tcPr>
            <w:tcW w:w="1275" w:type="dxa"/>
            <w:vAlign w:val="center"/>
          </w:tcPr>
          <w:p w14:paraId="0627CF47" w14:textId="77777777" w:rsidR="00565EA1" w:rsidRDefault="00565EA1" w:rsidP="00150C7F">
            <w:pPr>
              <w:spacing w:line="276" w:lineRule="auto"/>
              <w:jc w:val="center"/>
              <w:rPr>
                <w:color w:val="000000"/>
              </w:rPr>
            </w:pPr>
          </w:p>
        </w:tc>
        <w:tc>
          <w:tcPr>
            <w:tcW w:w="1276" w:type="dxa"/>
            <w:vAlign w:val="center"/>
          </w:tcPr>
          <w:p w14:paraId="40477F41" w14:textId="77777777" w:rsidR="00565EA1" w:rsidRDefault="00565EA1" w:rsidP="00150C7F">
            <w:pPr>
              <w:spacing w:line="276" w:lineRule="auto"/>
              <w:jc w:val="center"/>
              <w:rPr>
                <w:color w:val="000000"/>
              </w:rPr>
            </w:pPr>
          </w:p>
        </w:tc>
        <w:tc>
          <w:tcPr>
            <w:tcW w:w="1256" w:type="dxa"/>
            <w:vAlign w:val="center"/>
          </w:tcPr>
          <w:p w14:paraId="11E9BDC1" w14:textId="77777777" w:rsidR="00565EA1" w:rsidRDefault="00565EA1" w:rsidP="00150C7F">
            <w:pPr>
              <w:spacing w:line="276" w:lineRule="auto"/>
              <w:jc w:val="center"/>
              <w:rPr>
                <w:color w:val="000000"/>
              </w:rPr>
            </w:pPr>
          </w:p>
        </w:tc>
      </w:tr>
      <w:tr w:rsidR="00565EA1" w14:paraId="159E676E" w14:textId="77777777" w:rsidTr="00565EA1">
        <w:trPr>
          <w:trHeight w:val="506"/>
        </w:trPr>
        <w:tc>
          <w:tcPr>
            <w:tcW w:w="4820" w:type="dxa"/>
            <w:vAlign w:val="center"/>
          </w:tcPr>
          <w:p w14:paraId="49A5C924" w14:textId="77777777" w:rsidR="00565EA1" w:rsidRDefault="00565EA1" w:rsidP="00150C7F">
            <w:pPr>
              <w:spacing w:before="120" w:after="120"/>
              <w:rPr>
                <w:b/>
                <w:color w:val="000000"/>
              </w:rPr>
            </w:pPr>
            <w:r>
              <w:rPr>
                <w:b/>
                <w:color w:val="000000"/>
              </w:rPr>
              <w:t>2. Ethical Practices</w:t>
            </w:r>
          </w:p>
        </w:tc>
        <w:tc>
          <w:tcPr>
            <w:tcW w:w="1276" w:type="dxa"/>
            <w:vAlign w:val="center"/>
          </w:tcPr>
          <w:p w14:paraId="782248C9" w14:textId="77777777" w:rsidR="00565EA1" w:rsidRDefault="00565EA1" w:rsidP="00150C7F">
            <w:pPr>
              <w:spacing w:line="276" w:lineRule="auto"/>
              <w:jc w:val="center"/>
              <w:rPr>
                <w:color w:val="000000"/>
              </w:rPr>
            </w:pPr>
            <w:r>
              <w:rPr>
                <w:color w:val="000000"/>
              </w:rPr>
              <w:t>0.835</w:t>
            </w:r>
          </w:p>
        </w:tc>
        <w:tc>
          <w:tcPr>
            <w:tcW w:w="1275" w:type="dxa"/>
            <w:vAlign w:val="center"/>
          </w:tcPr>
          <w:p w14:paraId="564F37A3" w14:textId="77777777" w:rsidR="00565EA1" w:rsidRDefault="00565EA1" w:rsidP="00150C7F">
            <w:pPr>
              <w:spacing w:line="276" w:lineRule="auto"/>
              <w:jc w:val="center"/>
              <w:rPr>
                <w:color w:val="000000"/>
              </w:rPr>
            </w:pPr>
          </w:p>
        </w:tc>
        <w:tc>
          <w:tcPr>
            <w:tcW w:w="1276" w:type="dxa"/>
            <w:vAlign w:val="center"/>
          </w:tcPr>
          <w:p w14:paraId="3816425B" w14:textId="77777777" w:rsidR="00565EA1" w:rsidRDefault="00565EA1" w:rsidP="00150C7F">
            <w:pPr>
              <w:spacing w:line="276" w:lineRule="auto"/>
              <w:jc w:val="center"/>
              <w:rPr>
                <w:color w:val="000000"/>
              </w:rPr>
            </w:pPr>
          </w:p>
        </w:tc>
        <w:tc>
          <w:tcPr>
            <w:tcW w:w="1256" w:type="dxa"/>
            <w:vAlign w:val="center"/>
          </w:tcPr>
          <w:p w14:paraId="48FC643E" w14:textId="77777777" w:rsidR="00565EA1" w:rsidRDefault="00565EA1" w:rsidP="00150C7F">
            <w:pPr>
              <w:spacing w:line="276" w:lineRule="auto"/>
              <w:jc w:val="center"/>
              <w:rPr>
                <w:color w:val="000000"/>
              </w:rPr>
            </w:pPr>
          </w:p>
        </w:tc>
      </w:tr>
      <w:tr w:rsidR="00565EA1" w14:paraId="096406A0" w14:textId="77777777" w:rsidTr="00565EA1">
        <w:trPr>
          <w:trHeight w:val="506"/>
        </w:trPr>
        <w:tc>
          <w:tcPr>
            <w:tcW w:w="4820" w:type="dxa"/>
            <w:vAlign w:val="center"/>
          </w:tcPr>
          <w:p w14:paraId="78F2B6AE" w14:textId="77777777" w:rsidR="00565EA1" w:rsidRDefault="00565EA1" w:rsidP="00150C7F">
            <w:pPr>
              <w:spacing w:before="120" w:after="120"/>
              <w:rPr>
                <w:b/>
                <w:color w:val="000000"/>
              </w:rPr>
            </w:pPr>
            <w:r>
              <w:rPr>
                <w:b/>
                <w:color w:val="000000"/>
              </w:rPr>
              <w:t>3. SDGs Adoption</w:t>
            </w:r>
          </w:p>
        </w:tc>
        <w:tc>
          <w:tcPr>
            <w:tcW w:w="1276" w:type="dxa"/>
            <w:vAlign w:val="center"/>
          </w:tcPr>
          <w:p w14:paraId="12573B9B" w14:textId="77777777" w:rsidR="00565EA1" w:rsidRDefault="00565EA1" w:rsidP="00150C7F">
            <w:pPr>
              <w:spacing w:line="276" w:lineRule="auto"/>
              <w:jc w:val="center"/>
              <w:rPr>
                <w:color w:val="000000"/>
              </w:rPr>
            </w:pPr>
            <w:r>
              <w:rPr>
                <w:color w:val="000000"/>
              </w:rPr>
              <w:t>0.846</w:t>
            </w:r>
          </w:p>
        </w:tc>
        <w:tc>
          <w:tcPr>
            <w:tcW w:w="1275" w:type="dxa"/>
            <w:vAlign w:val="center"/>
          </w:tcPr>
          <w:p w14:paraId="37966FAB" w14:textId="77777777" w:rsidR="00565EA1" w:rsidRDefault="00565EA1" w:rsidP="00150C7F">
            <w:pPr>
              <w:spacing w:line="276" w:lineRule="auto"/>
              <w:jc w:val="center"/>
              <w:rPr>
                <w:color w:val="000000"/>
              </w:rPr>
            </w:pPr>
            <w:r>
              <w:rPr>
                <w:color w:val="000000"/>
              </w:rPr>
              <w:t>0.727</w:t>
            </w:r>
          </w:p>
        </w:tc>
        <w:tc>
          <w:tcPr>
            <w:tcW w:w="1276" w:type="dxa"/>
            <w:vAlign w:val="center"/>
          </w:tcPr>
          <w:p w14:paraId="2146BC1A" w14:textId="77777777" w:rsidR="00565EA1" w:rsidRDefault="00565EA1" w:rsidP="00150C7F">
            <w:pPr>
              <w:spacing w:line="276" w:lineRule="auto"/>
              <w:jc w:val="center"/>
              <w:rPr>
                <w:color w:val="000000"/>
              </w:rPr>
            </w:pPr>
          </w:p>
        </w:tc>
        <w:tc>
          <w:tcPr>
            <w:tcW w:w="1256" w:type="dxa"/>
            <w:vAlign w:val="center"/>
          </w:tcPr>
          <w:p w14:paraId="31AB0823" w14:textId="77777777" w:rsidR="00565EA1" w:rsidRDefault="00565EA1" w:rsidP="00150C7F">
            <w:pPr>
              <w:spacing w:line="276" w:lineRule="auto"/>
              <w:jc w:val="center"/>
              <w:rPr>
                <w:color w:val="000000"/>
              </w:rPr>
            </w:pPr>
          </w:p>
        </w:tc>
      </w:tr>
      <w:tr w:rsidR="00565EA1" w14:paraId="3A6142A0" w14:textId="77777777" w:rsidTr="00565EA1">
        <w:trPr>
          <w:trHeight w:val="506"/>
        </w:trPr>
        <w:tc>
          <w:tcPr>
            <w:tcW w:w="4820" w:type="dxa"/>
            <w:vAlign w:val="center"/>
          </w:tcPr>
          <w:p w14:paraId="5D5EEEC8" w14:textId="77777777" w:rsidR="00565EA1" w:rsidRDefault="00565EA1" w:rsidP="00150C7F">
            <w:pPr>
              <w:spacing w:before="120" w:after="120"/>
              <w:rPr>
                <w:b/>
                <w:color w:val="000000"/>
              </w:rPr>
            </w:pPr>
            <w:r>
              <w:rPr>
                <w:b/>
                <w:color w:val="000000"/>
              </w:rPr>
              <w:t>4. Sustainability Performance</w:t>
            </w:r>
          </w:p>
        </w:tc>
        <w:tc>
          <w:tcPr>
            <w:tcW w:w="1276" w:type="dxa"/>
            <w:vAlign w:val="center"/>
          </w:tcPr>
          <w:p w14:paraId="1DFB5383" w14:textId="77777777" w:rsidR="00565EA1" w:rsidRDefault="00565EA1" w:rsidP="00150C7F">
            <w:pPr>
              <w:spacing w:line="276" w:lineRule="auto"/>
              <w:jc w:val="center"/>
              <w:rPr>
                <w:color w:val="000000"/>
              </w:rPr>
            </w:pPr>
            <w:r>
              <w:rPr>
                <w:color w:val="000000"/>
              </w:rPr>
              <w:t>0.575</w:t>
            </w:r>
          </w:p>
        </w:tc>
        <w:tc>
          <w:tcPr>
            <w:tcW w:w="1275" w:type="dxa"/>
            <w:vAlign w:val="center"/>
          </w:tcPr>
          <w:p w14:paraId="4DBF8ECC" w14:textId="77777777" w:rsidR="00565EA1" w:rsidRDefault="00565EA1" w:rsidP="00150C7F">
            <w:pPr>
              <w:spacing w:line="276" w:lineRule="auto"/>
              <w:jc w:val="center"/>
              <w:rPr>
                <w:color w:val="000000"/>
              </w:rPr>
            </w:pPr>
            <w:r>
              <w:rPr>
                <w:color w:val="000000"/>
              </w:rPr>
              <w:t>0.361</w:t>
            </w:r>
          </w:p>
        </w:tc>
        <w:tc>
          <w:tcPr>
            <w:tcW w:w="1276" w:type="dxa"/>
            <w:vAlign w:val="center"/>
          </w:tcPr>
          <w:p w14:paraId="48D60984" w14:textId="77777777" w:rsidR="00565EA1" w:rsidRDefault="00565EA1" w:rsidP="00150C7F">
            <w:pPr>
              <w:spacing w:line="276" w:lineRule="auto"/>
              <w:jc w:val="center"/>
              <w:rPr>
                <w:color w:val="000000"/>
              </w:rPr>
            </w:pPr>
            <w:r>
              <w:rPr>
                <w:color w:val="000000"/>
              </w:rPr>
              <w:t>0.492</w:t>
            </w:r>
          </w:p>
        </w:tc>
        <w:tc>
          <w:tcPr>
            <w:tcW w:w="1256" w:type="dxa"/>
            <w:vAlign w:val="center"/>
          </w:tcPr>
          <w:p w14:paraId="5637EBE3" w14:textId="77777777" w:rsidR="00565EA1" w:rsidRDefault="00565EA1" w:rsidP="00150C7F">
            <w:pPr>
              <w:spacing w:line="276" w:lineRule="auto"/>
              <w:jc w:val="center"/>
              <w:rPr>
                <w:color w:val="000000"/>
              </w:rPr>
            </w:pPr>
          </w:p>
        </w:tc>
      </w:tr>
    </w:tbl>
    <w:p w14:paraId="4045C1D3" w14:textId="77777777" w:rsidR="00565EA1" w:rsidRDefault="00565EA1" w:rsidP="00565EA1">
      <w:pPr>
        <w:rPr>
          <w:b/>
        </w:rPr>
      </w:pPr>
    </w:p>
    <w:p w14:paraId="15CEB91E" w14:textId="77777777" w:rsidR="00565EA1" w:rsidRDefault="00565EA1" w:rsidP="00565EA1">
      <w:pPr>
        <w:rPr>
          <w:b/>
        </w:rPr>
      </w:pPr>
    </w:p>
    <w:p w14:paraId="45D25B35" w14:textId="77777777" w:rsidR="00565EA1" w:rsidRDefault="00565EA1" w:rsidP="00565EA1">
      <w:pPr>
        <w:rPr>
          <w:b/>
        </w:rPr>
      </w:pPr>
    </w:p>
    <w:p w14:paraId="0AF64975" w14:textId="77777777" w:rsidR="00565EA1" w:rsidRDefault="00565EA1" w:rsidP="00565EA1">
      <w:pPr>
        <w:rPr>
          <w:b/>
        </w:rPr>
      </w:pPr>
    </w:p>
    <w:p w14:paraId="57459997" w14:textId="77777777" w:rsidR="00565EA1" w:rsidRDefault="00565EA1" w:rsidP="00565EA1">
      <w:pPr>
        <w:rPr>
          <w:b/>
        </w:rPr>
      </w:pPr>
    </w:p>
    <w:p w14:paraId="493417AC" w14:textId="77777777" w:rsidR="00565EA1" w:rsidRDefault="00565EA1" w:rsidP="00565EA1">
      <w:pPr>
        <w:rPr>
          <w:b/>
        </w:rPr>
      </w:pPr>
    </w:p>
    <w:p w14:paraId="4D354024" w14:textId="77777777" w:rsidR="00565EA1" w:rsidRDefault="00565EA1" w:rsidP="00565EA1">
      <w:pPr>
        <w:rPr>
          <w:b/>
        </w:rPr>
      </w:pPr>
    </w:p>
    <w:p w14:paraId="55D7463F" w14:textId="77777777" w:rsidR="00565EA1" w:rsidRDefault="00565EA1" w:rsidP="00565EA1">
      <w:pPr>
        <w:rPr>
          <w:b/>
        </w:rPr>
      </w:pPr>
    </w:p>
    <w:p w14:paraId="53DF9BFA" w14:textId="77777777" w:rsidR="00565EA1" w:rsidRDefault="00565EA1" w:rsidP="00565EA1">
      <w:pPr>
        <w:rPr>
          <w:b/>
        </w:rPr>
      </w:pPr>
    </w:p>
    <w:p w14:paraId="0B8BCE34" w14:textId="77777777" w:rsidR="00565EA1" w:rsidRDefault="00565EA1" w:rsidP="00565EA1">
      <w:pPr>
        <w:rPr>
          <w:b/>
        </w:rPr>
      </w:pPr>
    </w:p>
    <w:p w14:paraId="79010A73" w14:textId="77777777" w:rsidR="00565EA1" w:rsidRDefault="00565EA1" w:rsidP="00565EA1">
      <w:pPr>
        <w:rPr>
          <w:b/>
        </w:rPr>
      </w:pPr>
    </w:p>
    <w:p w14:paraId="2FB525D3" w14:textId="77777777" w:rsidR="00565EA1" w:rsidRDefault="00565EA1" w:rsidP="00565EA1">
      <w:pPr>
        <w:rPr>
          <w:b/>
        </w:rPr>
      </w:pPr>
    </w:p>
    <w:p w14:paraId="6162EFC7" w14:textId="77777777" w:rsidR="00565EA1" w:rsidRDefault="00565EA1" w:rsidP="00565EA1">
      <w:pPr>
        <w:rPr>
          <w:b/>
        </w:rPr>
      </w:pPr>
    </w:p>
    <w:p w14:paraId="25C738A6" w14:textId="77777777" w:rsidR="00565EA1" w:rsidRDefault="00565EA1" w:rsidP="00565EA1">
      <w:pPr>
        <w:rPr>
          <w:b/>
        </w:rPr>
      </w:pPr>
    </w:p>
    <w:p w14:paraId="142C2963" w14:textId="77777777" w:rsidR="00565EA1" w:rsidRDefault="00565EA1" w:rsidP="00565EA1">
      <w:pPr>
        <w:rPr>
          <w:b/>
        </w:rPr>
      </w:pPr>
    </w:p>
    <w:p w14:paraId="15037898" w14:textId="77777777" w:rsidR="00565EA1" w:rsidRDefault="00565EA1" w:rsidP="00565EA1">
      <w:pPr>
        <w:rPr>
          <w:b/>
        </w:rPr>
      </w:pPr>
    </w:p>
    <w:p w14:paraId="523E8AEC" w14:textId="77777777" w:rsidR="00565EA1" w:rsidRDefault="00565EA1" w:rsidP="00565EA1">
      <w:pPr>
        <w:rPr>
          <w:b/>
        </w:rPr>
      </w:pPr>
    </w:p>
    <w:p w14:paraId="59966505" w14:textId="77777777" w:rsidR="00565EA1" w:rsidRDefault="00565EA1" w:rsidP="00565EA1">
      <w:pPr>
        <w:rPr>
          <w:b/>
        </w:rPr>
      </w:pPr>
    </w:p>
    <w:p w14:paraId="3124C1AB" w14:textId="77777777" w:rsidR="00565EA1" w:rsidRDefault="00565EA1" w:rsidP="00565EA1">
      <w:pPr>
        <w:rPr>
          <w:b/>
        </w:rPr>
      </w:pPr>
    </w:p>
    <w:p w14:paraId="60EB218B" w14:textId="77777777" w:rsidR="00565EA1" w:rsidRDefault="00565EA1" w:rsidP="00565EA1">
      <w:pPr>
        <w:rPr>
          <w:b/>
        </w:rPr>
      </w:pPr>
    </w:p>
    <w:p w14:paraId="48992C15" w14:textId="77777777" w:rsidR="00565EA1" w:rsidRDefault="00565EA1" w:rsidP="00565EA1">
      <w:pPr>
        <w:rPr>
          <w:b/>
        </w:rPr>
      </w:pPr>
    </w:p>
    <w:p w14:paraId="38F842BC" w14:textId="77777777" w:rsidR="00565EA1" w:rsidRDefault="00565EA1" w:rsidP="00565EA1">
      <w:pPr>
        <w:rPr>
          <w:b/>
        </w:rPr>
      </w:pPr>
    </w:p>
    <w:p w14:paraId="4DD43ACE" w14:textId="77777777" w:rsidR="00565EA1" w:rsidRDefault="00565EA1" w:rsidP="00565EA1">
      <w:pPr>
        <w:rPr>
          <w:b/>
        </w:rPr>
      </w:pPr>
    </w:p>
    <w:p w14:paraId="0913D1C8" w14:textId="77777777" w:rsidR="00565EA1" w:rsidRDefault="00565EA1" w:rsidP="00565EA1">
      <w:pPr>
        <w:rPr>
          <w:b/>
        </w:rPr>
      </w:pPr>
    </w:p>
    <w:p w14:paraId="116BCCCC" w14:textId="61E0D337" w:rsidR="00565EA1" w:rsidRDefault="00565EA1" w:rsidP="00565EA1">
      <w:pPr>
        <w:rPr>
          <w:i/>
        </w:rPr>
      </w:pPr>
      <w:r>
        <w:rPr>
          <w:b/>
        </w:rPr>
        <w:lastRenderedPageBreak/>
        <w:t xml:space="preserve">Table 6. </w:t>
      </w:r>
      <w:r>
        <w:rPr>
          <w:i/>
        </w:rPr>
        <w:t>Cross-Loadings</w:t>
      </w:r>
    </w:p>
    <w:tbl>
      <w:tblPr>
        <w:tblW w:w="9026" w:type="dxa"/>
        <w:tblBorders>
          <w:top w:val="single" w:sz="12" w:space="0" w:color="000000"/>
          <w:bottom w:val="single" w:sz="12" w:space="0" w:color="000000"/>
        </w:tblBorders>
        <w:tblLayout w:type="fixed"/>
        <w:tblLook w:val="0400" w:firstRow="0" w:lastRow="0" w:firstColumn="0" w:lastColumn="0" w:noHBand="0" w:noVBand="1"/>
      </w:tblPr>
      <w:tblGrid>
        <w:gridCol w:w="2420"/>
        <w:gridCol w:w="1643"/>
        <w:gridCol w:w="1640"/>
        <w:gridCol w:w="1763"/>
        <w:gridCol w:w="1560"/>
      </w:tblGrid>
      <w:tr w:rsidR="00565EA1" w14:paraId="5F23D315" w14:textId="77777777" w:rsidTr="00565EA1">
        <w:trPr>
          <w:trHeight w:val="288"/>
        </w:trPr>
        <w:tc>
          <w:tcPr>
            <w:tcW w:w="2420" w:type="dxa"/>
            <w:tcBorders>
              <w:top w:val="nil"/>
              <w:left w:val="nil"/>
              <w:bottom w:val="single" w:sz="4" w:space="0" w:color="auto"/>
              <w:right w:val="single" w:sz="4" w:space="0" w:color="auto"/>
            </w:tcBorders>
            <w:vAlign w:val="bottom"/>
          </w:tcPr>
          <w:p w14:paraId="6F9C70CB" w14:textId="77777777" w:rsidR="00565EA1" w:rsidRDefault="00565EA1" w:rsidP="00150C7F">
            <w:pPr>
              <w:spacing w:before="120" w:after="120"/>
              <w:jc w:val="center"/>
              <w:rPr>
                <w:b/>
                <w:color w:val="000000"/>
              </w:rPr>
            </w:pPr>
            <w:bookmarkStart w:id="3" w:name="_heading=h.yohmbq5yssvp" w:colFirst="0" w:colLast="0"/>
            <w:bookmarkEnd w:id="3"/>
          </w:p>
        </w:tc>
        <w:tc>
          <w:tcPr>
            <w:tcW w:w="1643" w:type="dxa"/>
            <w:tcBorders>
              <w:top w:val="single" w:sz="4" w:space="0" w:color="auto"/>
              <w:left w:val="single" w:sz="4" w:space="0" w:color="auto"/>
              <w:bottom w:val="single" w:sz="4" w:space="0" w:color="auto"/>
              <w:right w:val="single" w:sz="4" w:space="0" w:color="auto"/>
            </w:tcBorders>
            <w:vAlign w:val="center"/>
          </w:tcPr>
          <w:p w14:paraId="5FA00EE9" w14:textId="77777777" w:rsidR="00565EA1" w:rsidRDefault="00565EA1" w:rsidP="00150C7F">
            <w:pPr>
              <w:spacing w:before="120" w:after="120"/>
              <w:jc w:val="center"/>
              <w:rPr>
                <w:b/>
                <w:color w:val="000000"/>
              </w:rPr>
            </w:pPr>
            <w:r>
              <w:rPr>
                <w:b/>
                <w:color w:val="000000"/>
              </w:rPr>
              <w:t>1</w:t>
            </w:r>
          </w:p>
        </w:tc>
        <w:tc>
          <w:tcPr>
            <w:tcW w:w="1640" w:type="dxa"/>
            <w:tcBorders>
              <w:top w:val="single" w:sz="4" w:space="0" w:color="auto"/>
              <w:left w:val="single" w:sz="4" w:space="0" w:color="auto"/>
              <w:bottom w:val="single" w:sz="4" w:space="0" w:color="auto"/>
              <w:right w:val="single" w:sz="4" w:space="0" w:color="auto"/>
            </w:tcBorders>
            <w:vAlign w:val="center"/>
          </w:tcPr>
          <w:p w14:paraId="1A68E188" w14:textId="77777777" w:rsidR="00565EA1" w:rsidRDefault="00565EA1" w:rsidP="00150C7F">
            <w:pPr>
              <w:spacing w:before="120" w:after="120"/>
              <w:jc w:val="center"/>
              <w:rPr>
                <w:b/>
                <w:color w:val="000000"/>
              </w:rPr>
            </w:pPr>
            <w:r>
              <w:rPr>
                <w:b/>
                <w:color w:val="000000"/>
              </w:rPr>
              <w:t>2</w:t>
            </w:r>
          </w:p>
        </w:tc>
        <w:tc>
          <w:tcPr>
            <w:tcW w:w="1763" w:type="dxa"/>
            <w:tcBorders>
              <w:top w:val="single" w:sz="4" w:space="0" w:color="auto"/>
              <w:left w:val="single" w:sz="4" w:space="0" w:color="auto"/>
              <w:bottom w:val="single" w:sz="4" w:space="0" w:color="auto"/>
              <w:right w:val="single" w:sz="4" w:space="0" w:color="auto"/>
            </w:tcBorders>
            <w:vAlign w:val="center"/>
          </w:tcPr>
          <w:p w14:paraId="44A0CC90" w14:textId="77777777" w:rsidR="00565EA1" w:rsidRDefault="00565EA1" w:rsidP="00150C7F">
            <w:pPr>
              <w:spacing w:before="120" w:after="120"/>
              <w:jc w:val="center"/>
              <w:rPr>
                <w:b/>
                <w:color w:val="000000"/>
              </w:rPr>
            </w:pPr>
            <w:r>
              <w:rPr>
                <w:b/>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14:paraId="67D485F4" w14:textId="77777777" w:rsidR="00565EA1" w:rsidRDefault="00565EA1" w:rsidP="00150C7F">
            <w:pPr>
              <w:spacing w:before="120" w:after="120"/>
              <w:jc w:val="center"/>
              <w:rPr>
                <w:b/>
                <w:color w:val="000000"/>
              </w:rPr>
            </w:pPr>
            <w:r>
              <w:rPr>
                <w:b/>
                <w:color w:val="000000"/>
              </w:rPr>
              <w:t>4</w:t>
            </w:r>
          </w:p>
        </w:tc>
      </w:tr>
      <w:tr w:rsidR="00565EA1" w14:paraId="5C13B7E9"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7C65A69D" w14:textId="77777777" w:rsidR="00565EA1" w:rsidRDefault="00565EA1" w:rsidP="00150C7F">
            <w:pPr>
              <w:spacing w:before="120" w:after="120"/>
              <w:jc w:val="center"/>
              <w:rPr>
                <w:b/>
                <w:color w:val="000000"/>
              </w:rPr>
            </w:pPr>
            <w:r>
              <w:rPr>
                <w:b/>
                <w:color w:val="000000"/>
              </w:rPr>
              <w:t>EMP1</w:t>
            </w:r>
          </w:p>
        </w:tc>
        <w:tc>
          <w:tcPr>
            <w:tcW w:w="1643" w:type="dxa"/>
            <w:tcBorders>
              <w:top w:val="single" w:sz="4" w:space="0" w:color="auto"/>
              <w:left w:val="single" w:sz="4" w:space="0" w:color="auto"/>
              <w:bottom w:val="single" w:sz="4" w:space="0" w:color="auto"/>
              <w:right w:val="single" w:sz="4" w:space="0" w:color="auto"/>
            </w:tcBorders>
            <w:vAlign w:val="bottom"/>
          </w:tcPr>
          <w:p w14:paraId="62B5DB01" w14:textId="77777777" w:rsidR="00565EA1" w:rsidRDefault="00565EA1" w:rsidP="00150C7F">
            <w:pPr>
              <w:spacing w:before="120" w:after="120"/>
              <w:jc w:val="center"/>
              <w:rPr>
                <w:b/>
                <w:color w:val="000000"/>
              </w:rPr>
            </w:pPr>
            <w:r>
              <w:rPr>
                <w:b/>
                <w:color w:val="000000"/>
              </w:rPr>
              <w:t>0.883</w:t>
            </w:r>
          </w:p>
        </w:tc>
        <w:tc>
          <w:tcPr>
            <w:tcW w:w="1640" w:type="dxa"/>
            <w:tcBorders>
              <w:top w:val="single" w:sz="4" w:space="0" w:color="auto"/>
              <w:left w:val="single" w:sz="4" w:space="0" w:color="auto"/>
              <w:bottom w:val="single" w:sz="4" w:space="0" w:color="auto"/>
              <w:right w:val="single" w:sz="4" w:space="0" w:color="auto"/>
            </w:tcBorders>
            <w:vAlign w:val="bottom"/>
          </w:tcPr>
          <w:p w14:paraId="759FACDF" w14:textId="77777777" w:rsidR="00565EA1" w:rsidRDefault="00565EA1" w:rsidP="00150C7F">
            <w:pPr>
              <w:spacing w:before="120" w:after="120"/>
              <w:jc w:val="center"/>
              <w:rPr>
                <w:color w:val="000000"/>
              </w:rPr>
            </w:pPr>
            <w:r>
              <w:rPr>
                <w:color w:val="000000"/>
              </w:rPr>
              <w:t>0.690</w:t>
            </w:r>
          </w:p>
        </w:tc>
        <w:tc>
          <w:tcPr>
            <w:tcW w:w="1763" w:type="dxa"/>
            <w:tcBorders>
              <w:top w:val="single" w:sz="4" w:space="0" w:color="auto"/>
              <w:left w:val="single" w:sz="4" w:space="0" w:color="auto"/>
              <w:bottom w:val="single" w:sz="4" w:space="0" w:color="auto"/>
              <w:right w:val="single" w:sz="4" w:space="0" w:color="auto"/>
            </w:tcBorders>
            <w:vAlign w:val="bottom"/>
          </w:tcPr>
          <w:p w14:paraId="09B7DC5A" w14:textId="77777777" w:rsidR="00565EA1" w:rsidRDefault="00565EA1" w:rsidP="00150C7F">
            <w:pPr>
              <w:spacing w:before="120" w:after="120"/>
              <w:jc w:val="center"/>
              <w:rPr>
                <w:color w:val="000000"/>
              </w:rPr>
            </w:pPr>
            <w:r>
              <w:rPr>
                <w:color w:val="000000"/>
              </w:rPr>
              <w:t>0.645</w:t>
            </w:r>
          </w:p>
        </w:tc>
        <w:tc>
          <w:tcPr>
            <w:tcW w:w="1560" w:type="dxa"/>
            <w:tcBorders>
              <w:top w:val="single" w:sz="4" w:space="0" w:color="auto"/>
              <w:left w:val="single" w:sz="4" w:space="0" w:color="auto"/>
              <w:bottom w:val="single" w:sz="4" w:space="0" w:color="auto"/>
              <w:right w:val="single" w:sz="4" w:space="0" w:color="auto"/>
            </w:tcBorders>
            <w:vAlign w:val="bottom"/>
          </w:tcPr>
          <w:p w14:paraId="6D8D2D67" w14:textId="77777777" w:rsidR="00565EA1" w:rsidRDefault="00565EA1" w:rsidP="00150C7F">
            <w:pPr>
              <w:spacing w:before="120" w:after="120"/>
              <w:jc w:val="center"/>
              <w:rPr>
                <w:color w:val="000000"/>
              </w:rPr>
            </w:pPr>
            <w:r>
              <w:rPr>
                <w:color w:val="000000"/>
              </w:rPr>
              <w:t>0.508</w:t>
            </w:r>
          </w:p>
        </w:tc>
      </w:tr>
      <w:tr w:rsidR="00565EA1" w14:paraId="6290D738"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7B834A45" w14:textId="77777777" w:rsidR="00565EA1" w:rsidRDefault="00565EA1" w:rsidP="00150C7F">
            <w:pPr>
              <w:spacing w:before="120" w:after="120"/>
              <w:jc w:val="center"/>
              <w:rPr>
                <w:b/>
                <w:color w:val="000000"/>
              </w:rPr>
            </w:pPr>
            <w:r>
              <w:rPr>
                <w:b/>
                <w:color w:val="000000"/>
              </w:rPr>
              <w:t>EMP2</w:t>
            </w:r>
          </w:p>
        </w:tc>
        <w:tc>
          <w:tcPr>
            <w:tcW w:w="1643" w:type="dxa"/>
            <w:tcBorders>
              <w:top w:val="single" w:sz="4" w:space="0" w:color="auto"/>
              <w:left w:val="single" w:sz="4" w:space="0" w:color="auto"/>
              <w:bottom w:val="single" w:sz="4" w:space="0" w:color="auto"/>
              <w:right w:val="single" w:sz="4" w:space="0" w:color="auto"/>
            </w:tcBorders>
            <w:vAlign w:val="bottom"/>
          </w:tcPr>
          <w:p w14:paraId="76C53718" w14:textId="77777777" w:rsidR="00565EA1" w:rsidRDefault="00565EA1" w:rsidP="00150C7F">
            <w:pPr>
              <w:spacing w:before="120" w:after="120"/>
              <w:jc w:val="center"/>
              <w:rPr>
                <w:b/>
                <w:color w:val="000000"/>
              </w:rPr>
            </w:pPr>
            <w:r>
              <w:rPr>
                <w:b/>
                <w:color w:val="000000"/>
              </w:rPr>
              <w:t>0.897</w:t>
            </w:r>
          </w:p>
        </w:tc>
        <w:tc>
          <w:tcPr>
            <w:tcW w:w="1640" w:type="dxa"/>
            <w:tcBorders>
              <w:top w:val="single" w:sz="4" w:space="0" w:color="auto"/>
              <w:left w:val="single" w:sz="4" w:space="0" w:color="auto"/>
              <w:bottom w:val="single" w:sz="4" w:space="0" w:color="auto"/>
              <w:right w:val="single" w:sz="4" w:space="0" w:color="auto"/>
            </w:tcBorders>
            <w:vAlign w:val="bottom"/>
          </w:tcPr>
          <w:p w14:paraId="06DF817E" w14:textId="77777777" w:rsidR="00565EA1" w:rsidRDefault="00565EA1" w:rsidP="00150C7F">
            <w:pPr>
              <w:spacing w:before="120" w:after="120"/>
              <w:jc w:val="center"/>
              <w:rPr>
                <w:color w:val="000000"/>
              </w:rPr>
            </w:pPr>
            <w:r>
              <w:rPr>
                <w:color w:val="000000"/>
              </w:rPr>
              <w:t>0.741</w:t>
            </w:r>
          </w:p>
        </w:tc>
        <w:tc>
          <w:tcPr>
            <w:tcW w:w="1763" w:type="dxa"/>
            <w:tcBorders>
              <w:top w:val="single" w:sz="4" w:space="0" w:color="auto"/>
              <w:left w:val="single" w:sz="4" w:space="0" w:color="auto"/>
              <w:bottom w:val="single" w:sz="4" w:space="0" w:color="auto"/>
              <w:right w:val="single" w:sz="4" w:space="0" w:color="auto"/>
            </w:tcBorders>
            <w:vAlign w:val="bottom"/>
          </w:tcPr>
          <w:p w14:paraId="4777764C" w14:textId="77777777" w:rsidR="00565EA1" w:rsidRDefault="00565EA1" w:rsidP="00150C7F">
            <w:pPr>
              <w:spacing w:before="120" w:after="120"/>
              <w:jc w:val="center"/>
              <w:rPr>
                <w:color w:val="000000"/>
              </w:rPr>
            </w:pPr>
            <w:r>
              <w:rPr>
                <w:color w:val="000000"/>
              </w:rPr>
              <w:t>0.742</w:t>
            </w:r>
          </w:p>
        </w:tc>
        <w:tc>
          <w:tcPr>
            <w:tcW w:w="1560" w:type="dxa"/>
            <w:tcBorders>
              <w:top w:val="single" w:sz="4" w:space="0" w:color="auto"/>
              <w:left w:val="single" w:sz="4" w:space="0" w:color="auto"/>
              <w:bottom w:val="single" w:sz="4" w:space="0" w:color="auto"/>
              <w:right w:val="single" w:sz="4" w:space="0" w:color="auto"/>
            </w:tcBorders>
            <w:vAlign w:val="bottom"/>
          </w:tcPr>
          <w:p w14:paraId="4D020BF0" w14:textId="77777777" w:rsidR="00565EA1" w:rsidRDefault="00565EA1" w:rsidP="00150C7F">
            <w:pPr>
              <w:spacing w:before="120" w:after="120"/>
              <w:jc w:val="center"/>
              <w:rPr>
                <w:color w:val="000000"/>
              </w:rPr>
            </w:pPr>
            <w:r>
              <w:rPr>
                <w:color w:val="000000"/>
              </w:rPr>
              <w:t>0.366</w:t>
            </w:r>
          </w:p>
        </w:tc>
      </w:tr>
      <w:tr w:rsidR="00565EA1" w14:paraId="446AF7A1"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699D61CC" w14:textId="77777777" w:rsidR="00565EA1" w:rsidRDefault="00565EA1" w:rsidP="00150C7F">
            <w:pPr>
              <w:spacing w:before="120" w:after="120"/>
              <w:jc w:val="center"/>
              <w:rPr>
                <w:b/>
                <w:color w:val="000000"/>
              </w:rPr>
            </w:pPr>
            <w:r>
              <w:rPr>
                <w:b/>
                <w:color w:val="000000"/>
              </w:rPr>
              <w:t>EMP3</w:t>
            </w:r>
          </w:p>
        </w:tc>
        <w:tc>
          <w:tcPr>
            <w:tcW w:w="1643" w:type="dxa"/>
            <w:tcBorders>
              <w:top w:val="single" w:sz="4" w:space="0" w:color="auto"/>
              <w:left w:val="single" w:sz="4" w:space="0" w:color="auto"/>
              <w:bottom w:val="single" w:sz="4" w:space="0" w:color="auto"/>
              <w:right w:val="single" w:sz="4" w:space="0" w:color="auto"/>
            </w:tcBorders>
            <w:vAlign w:val="bottom"/>
          </w:tcPr>
          <w:p w14:paraId="55BDC2DF" w14:textId="77777777" w:rsidR="00565EA1" w:rsidRDefault="00565EA1" w:rsidP="00150C7F">
            <w:pPr>
              <w:spacing w:before="120" w:after="120"/>
              <w:jc w:val="center"/>
              <w:rPr>
                <w:b/>
                <w:color w:val="000000"/>
              </w:rPr>
            </w:pPr>
            <w:r>
              <w:rPr>
                <w:b/>
                <w:color w:val="000000"/>
              </w:rPr>
              <w:t>0.809</w:t>
            </w:r>
          </w:p>
        </w:tc>
        <w:tc>
          <w:tcPr>
            <w:tcW w:w="1640" w:type="dxa"/>
            <w:tcBorders>
              <w:top w:val="single" w:sz="4" w:space="0" w:color="auto"/>
              <w:left w:val="single" w:sz="4" w:space="0" w:color="auto"/>
              <w:bottom w:val="single" w:sz="4" w:space="0" w:color="auto"/>
              <w:right w:val="single" w:sz="4" w:space="0" w:color="auto"/>
            </w:tcBorders>
            <w:vAlign w:val="bottom"/>
          </w:tcPr>
          <w:p w14:paraId="6BE9D733" w14:textId="77777777" w:rsidR="00565EA1" w:rsidRDefault="00565EA1" w:rsidP="00150C7F">
            <w:pPr>
              <w:spacing w:before="120" w:after="120"/>
              <w:jc w:val="center"/>
              <w:rPr>
                <w:color w:val="000000"/>
              </w:rPr>
            </w:pPr>
            <w:r>
              <w:rPr>
                <w:color w:val="000000"/>
              </w:rPr>
              <w:t>0.548</w:t>
            </w:r>
          </w:p>
        </w:tc>
        <w:tc>
          <w:tcPr>
            <w:tcW w:w="1763" w:type="dxa"/>
            <w:tcBorders>
              <w:top w:val="single" w:sz="4" w:space="0" w:color="auto"/>
              <w:left w:val="single" w:sz="4" w:space="0" w:color="auto"/>
              <w:bottom w:val="single" w:sz="4" w:space="0" w:color="auto"/>
              <w:right w:val="single" w:sz="4" w:space="0" w:color="auto"/>
            </w:tcBorders>
            <w:vAlign w:val="bottom"/>
          </w:tcPr>
          <w:p w14:paraId="04F1B8D7" w14:textId="77777777" w:rsidR="00565EA1" w:rsidRDefault="00565EA1" w:rsidP="00150C7F">
            <w:pPr>
              <w:spacing w:before="120" w:after="120"/>
              <w:jc w:val="center"/>
              <w:rPr>
                <w:color w:val="000000"/>
              </w:rPr>
            </w:pPr>
            <w:r>
              <w:rPr>
                <w:color w:val="000000"/>
              </w:rPr>
              <w:t>0.570</w:t>
            </w:r>
          </w:p>
        </w:tc>
        <w:tc>
          <w:tcPr>
            <w:tcW w:w="1560" w:type="dxa"/>
            <w:tcBorders>
              <w:top w:val="single" w:sz="4" w:space="0" w:color="auto"/>
              <w:left w:val="single" w:sz="4" w:space="0" w:color="auto"/>
              <w:bottom w:val="single" w:sz="4" w:space="0" w:color="auto"/>
              <w:right w:val="single" w:sz="4" w:space="0" w:color="auto"/>
            </w:tcBorders>
            <w:vAlign w:val="bottom"/>
          </w:tcPr>
          <w:p w14:paraId="484CC694" w14:textId="77777777" w:rsidR="00565EA1" w:rsidRDefault="00565EA1" w:rsidP="00150C7F">
            <w:pPr>
              <w:spacing w:before="120" w:after="120"/>
              <w:jc w:val="center"/>
              <w:rPr>
                <w:color w:val="000000"/>
              </w:rPr>
            </w:pPr>
            <w:r>
              <w:rPr>
                <w:color w:val="000000"/>
              </w:rPr>
              <w:t>0.343</w:t>
            </w:r>
          </w:p>
        </w:tc>
      </w:tr>
      <w:tr w:rsidR="00565EA1" w14:paraId="48D0A271"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56AAA97D" w14:textId="77777777" w:rsidR="00565EA1" w:rsidRDefault="00565EA1" w:rsidP="00150C7F">
            <w:pPr>
              <w:spacing w:before="120" w:after="120"/>
              <w:jc w:val="center"/>
              <w:rPr>
                <w:b/>
                <w:color w:val="000000"/>
              </w:rPr>
            </w:pPr>
            <w:r>
              <w:rPr>
                <w:b/>
                <w:color w:val="000000"/>
              </w:rPr>
              <w:t>EP1</w:t>
            </w:r>
          </w:p>
        </w:tc>
        <w:tc>
          <w:tcPr>
            <w:tcW w:w="1643" w:type="dxa"/>
            <w:tcBorders>
              <w:top w:val="single" w:sz="4" w:space="0" w:color="auto"/>
              <w:left w:val="single" w:sz="4" w:space="0" w:color="auto"/>
              <w:bottom w:val="single" w:sz="4" w:space="0" w:color="auto"/>
              <w:right w:val="single" w:sz="4" w:space="0" w:color="auto"/>
            </w:tcBorders>
            <w:vAlign w:val="bottom"/>
          </w:tcPr>
          <w:p w14:paraId="6C34FD9E" w14:textId="77777777" w:rsidR="00565EA1" w:rsidRDefault="00565EA1" w:rsidP="00150C7F">
            <w:pPr>
              <w:spacing w:before="120" w:after="120"/>
              <w:jc w:val="center"/>
              <w:rPr>
                <w:color w:val="000000"/>
              </w:rPr>
            </w:pPr>
            <w:r>
              <w:rPr>
                <w:color w:val="000000"/>
              </w:rPr>
              <w:t>0.606</w:t>
            </w:r>
          </w:p>
        </w:tc>
        <w:tc>
          <w:tcPr>
            <w:tcW w:w="1640" w:type="dxa"/>
            <w:tcBorders>
              <w:top w:val="single" w:sz="4" w:space="0" w:color="auto"/>
              <w:left w:val="single" w:sz="4" w:space="0" w:color="auto"/>
              <w:bottom w:val="single" w:sz="4" w:space="0" w:color="auto"/>
              <w:right w:val="single" w:sz="4" w:space="0" w:color="auto"/>
            </w:tcBorders>
            <w:vAlign w:val="bottom"/>
          </w:tcPr>
          <w:p w14:paraId="47F2951A" w14:textId="77777777" w:rsidR="00565EA1" w:rsidRDefault="00565EA1" w:rsidP="00150C7F">
            <w:pPr>
              <w:spacing w:before="120" w:after="120"/>
              <w:jc w:val="center"/>
              <w:rPr>
                <w:b/>
                <w:color w:val="000000"/>
              </w:rPr>
            </w:pPr>
            <w:r>
              <w:rPr>
                <w:b/>
                <w:color w:val="000000"/>
              </w:rPr>
              <w:t>0.887</w:t>
            </w:r>
          </w:p>
        </w:tc>
        <w:tc>
          <w:tcPr>
            <w:tcW w:w="1763" w:type="dxa"/>
            <w:tcBorders>
              <w:top w:val="single" w:sz="4" w:space="0" w:color="auto"/>
              <w:left w:val="single" w:sz="4" w:space="0" w:color="auto"/>
              <w:bottom w:val="single" w:sz="4" w:space="0" w:color="auto"/>
              <w:right w:val="single" w:sz="4" w:space="0" w:color="auto"/>
            </w:tcBorders>
            <w:vAlign w:val="bottom"/>
          </w:tcPr>
          <w:p w14:paraId="404EE647" w14:textId="77777777" w:rsidR="00565EA1" w:rsidRDefault="00565EA1" w:rsidP="00150C7F">
            <w:pPr>
              <w:spacing w:before="120" w:after="120"/>
              <w:jc w:val="center"/>
              <w:rPr>
                <w:b/>
                <w:color w:val="000000"/>
              </w:rPr>
            </w:pPr>
            <w:r>
              <w:rPr>
                <w:color w:val="000000"/>
              </w:rPr>
              <w:t>0.505</w:t>
            </w:r>
          </w:p>
        </w:tc>
        <w:tc>
          <w:tcPr>
            <w:tcW w:w="1560" w:type="dxa"/>
            <w:tcBorders>
              <w:top w:val="single" w:sz="4" w:space="0" w:color="auto"/>
              <w:left w:val="single" w:sz="4" w:space="0" w:color="auto"/>
              <w:bottom w:val="single" w:sz="4" w:space="0" w:color="auto"/>
              <w:right w:val="single" w:sz="4" w:space="0" w:color="auto"/>
            </w:tcBorders>
            <w:vAlign w:val="bottom"/>
          </w:tcPr>
          <w:p w14:paraId="2DE517D9" w14:textId="77777777" w:rsidR="00565EA1" w:rsidRDefault="00565EA1" w:rsidP="00150C7F">
            <w:pPr>
              <w:spacing w:before="120" w:after="120"/>
              <w:jc w:val="center"/>
              <w:rPr>
                <w:color w:val="000000"/>
              </w:rPr>
            </w:pPr>
            <w:r>
              <w:rPr>
                <w:color w:val="000000"/>
              </w:rPr>
              <w:t>0.326</w:t>
            </w:r>
          </w:p>
        </w:tc>
      </w:tr>
      <w:tr w:rsidR="00565EA1" w14:paraId="5A4F1A08"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06F4B540" w14:textId="77777777" w:rsidR="00565EA1" w:rsidRDefault="00565EA1" w:rsidP="00150C7F">
            <w:pPr>
              <w:spacing w:before="120" w:after="120"/>
              <w:jc w:val="center"/>
              <w:rPr>
                <w:b/>
                <w:color w:val="000000"/>
              </w:rPr>
            </w:pPr>
            <w:r>
              <w:rPr>
                <w:b/>
                <w:color w:val="000000"/>
              </w:rPr>
              <w:t>EP2</w:t>
            </w:r>
          </w:p>
        </w:tc>
        <w:tc>
          <w:tcPr>
            <w:tcW w:w="1643" w:type="dxa"/>
            <w:tcBorders>
              <w:top w:val="single" w:sz="4" w:space="0" w:color="auto"/>
              <w:left w:val="single" w:sz="4" w:space="0" w:color="auto"/>
              <w:bottom w:val="single" w:sz="4" w:space="0" w:color="auto"/>
              <w:right w:val="single" w:sz="4" w:space="0" w:color="auto"/>
            </w:tcBorders>
            <w:vAlign w:val="bottom"/>
          </w:tcPr>
          <w:p w14:paraId="74DA16D0" w14:textId="77777777" w:rsidR="00565EA1" w:rsidRDefault="00565EA1" w:rsidP="00150C7F">
            <w:pPr>
              <w:spacing w:before="120" w:after="120"/>
              <w:jc w:val="center"/>
              <w:rPr>
                <w:color w:val="000000"/>
              </w:rPr>
            </w:pPr>
            <w:r>
              <w:rPr>
                <w:color w:val="000000"/>
              </w:rPr>
              <w:t>0.695</w:t>
            </w:r>
          </w:p>
        </w:tc>
        <w:tc>
          <w:tcPr>
            <w:tcW w:w="1640" w:type="dxa"/>
            <w:tcBorders>
              <w:top w:val="single" w:sz="4" w:space="0" w:color="auto"/>
              <w:left w:val="single" w:sz="4" w:space="0" w:color="auto"/>
              <w:bottom w:val="single" w:sz="4" w:space="0" w:color="auto"/>
              <w:right w:val="single" w:sz="4" w:space="0" w:color="auto"/>
            </w:tcBorders>
            <w:vAlign w:val="bottom"/>
          </w:tcPr>
          <w:p w14:paraId="6DAA1D19" w14:textId="77777777" w:rsidR="00565EA1" w:rsidRDefault="00565EA1" w:rsidP="00150C7F">
            <w:pPr>
              <w:spacing w:before="120" w:after="120"/>
              <w:jc w:val="center"/>
              <w:rPr>
                <w:b/>
                <w:color w:val="000000"/>
              </w:rPr>
            </w:pPr>
            <w:r>
              <w:rPr>
                <w:b/>
                <w:color w:val="000000"/>
              </w:rPr>
              <w:t>0.927</w:t>
            </w:r>
          </w:p>
        </w:tc>
        <w:tc>
          <w:tcPr>
            <w:tcW w:w="1763" w:type="dxa"/>
            <w:tcBorders>
              <w:top w:val="single" w:sz="4" w:space="0" w:color="auto"/>
              <w:left w:val="single" w:sz="4" w:space="0" w:color="auto"/>
              <w:bottom w:val="single" w:sz="4" w:space="0" w:color="auto"/>
              <w:right w:val="single" w:sz="4" w:space="0" w:color="auto"/>
            </w:tcBorders>
            <w:vAlign w:val="bottom"/>
          </w:tcPr>
          <w:p w14:paraId="322B4BBB" w14:textId="77777777" w:rsidR="00565EA1" w:rsidRDefault="00565EA1" w:rsidP="00150C7F">
            <w:pPr>
              <w:spacing w:before="120" w:after="120"/>
              <w:jc w:val="center"/>
              <w:rPr>
                <w:b/>
                <w:color w:val="000000"/>
              </w:rPr>
            </w:pPr>
            <w:r>
              <w:rPr>
                <w:color w:val="000000"/>
              </w:rPr>
              <w:t>0.606</w:t>
            </w:r>
          </w:p>
        </w:tc>
        <w:tc>
          <w:tcPr>
            <w:tcW w:w="1560" w:type="dxa"/>
            <w:tcBorders>
              <w:top w:val="single" w:sz="4" w:space="0" w:color="auto"/>
              <w:left w:val="single" w:sz="4" w:space="0" w:color="auto"/>
              <w:bottom w:val="single" w:sz="4" w:space="0" w:color="auto"/>
              <w:right w:val="single" w:sz="4" w:space="0" w:color="auto"/>
            </w:tcBorders>
            <w:vAlign w:val="bottom"/>
          </w:tcPr>
          <w:p w14:paraId="42052451" w14:textId="77777777" w:rsidR="00565EA1" w:rsidRDefault="00565EA1" w:rsidP="00150C7F">
            <w:pPr>
              <w:spacing w:before="120" w:after="120"/>
              <w:jc w:val="center"/>
              <w:rPr>
                <w:color w:val="000000"/>
              </w:rPr>
            </w:pPr>
            <w:r>
              <w:rPr>
                <w:color w:val="000000"/>
              </w:rPr>
              <w:t>0.206</w:t>
            </w:r>
          </w:p>
        </w:tc>
      </w:tr>
      <w:tr w:rsidR="00565EA1" w14:paraId="2462C9F6"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27A6803F" w14:textId="77777777" w:rsidR="00565EA1" w:rsidRDefault="00565EA1" w:rsidP="00150C7F">
            <w:pPr>
              <w:spacing w:before="120" w:after="120"/>
              <w:jc w:val="center"/>
              <w:rPr>
                <w:b/>
                <w:color w:val="000000"/>
              </w:rPr>
            </w:pPr>
            <w:r>
              <w:rPr>
                <w:b/>
                <w:color w:val="000000"/>
              </w:rPr>
              <w:t>EP3</w:t>
            </w:r>
          </w:p>
        </w:tc>
        <w:tc>
          <w:tcPr>
            <w:tcW w:w="1643" w:type="dxa"/>
            <w:tcBorders>
              <w:top w:val="single" w:sz="4" w:space="0" w:color="auto"/>
              <w:left w:val="single" w:sz="4" w:space="0" w:color="auto"/>
              <w:bottom w:val="single" w:sz="4" w:space="0" w:color="auto"/>
              <w:right w:val="single" w:sz="4" w:space="0" w:color="auto"/>
            </w:tcBorders>
            <w:vAlign w:val="bottom"/>
          </w:tcPr>
          <w:p w14:paraId="3992B479" w14:textId="77777777" w:rsidR="00565EA1" w:rsidRDefault="00565EA1" w:rsidP="00150C7F">
            <w:pPr>
              <w:spacing w:before="120" w:after="120"/>
              <w:jc w:val="center"/>
              <w:rPr>
                <w:color w:val="000000"/>
              </w:rPr>
            </w:pPr>
            <w:r>
              <w:rPr>
                <w:color w:val="000000"/>
              </w:rPr>
              <w:t>0.782</w:t>
            </w:r>
          </w:p>
        </w:tc>
        <w:tc>
          <w:tcPr>
            <w:tcW w:w="1640" w:type="dxa"/>
            <w:tcBorders>
              <w:top w:val="single" w:sz="4" w:space="0" w:color="auto"/>
              <w:left w:val="single" w:sz="4" w:space="0" w:color="auto"/>
              <w:bottom w:val="single" w:sz="4" w:space="0" w:color="auto"/>
              <w:right w:val="single" w:sz="4" w:space="0" w:color="auto"/>
            </w:tcBorders>
            <w:vAlign w:val="bottom"/>
          </w:tcPr>
          <w:p w14:paraId="4C2259A7" w14:textId="77777777" w:rsidR="00565EA1" w:rsidRDefault="00565EA1" w:rsidP="00150C7F">
            <w:pPr>
              <w:spacing w:before="120" w:after="120"/>
              <w:jc w:val="center"/>
              <w:rPr>
                <w:b/>
                <w:color w:val="000000"/>
              </w:rPr>
            </w:pPr>
            <w:r>
              <w:rPr>
                <w:b/>
                <w:color w:val="000000"/>
              </w:rPr>
              <w:t>0.916</w:t>
            </w:r>
          </w:p>
        </w:tc>
        <w:tc>
          <w:tcPr>
            <w:tcW w:w="1763" w:type="dxa"/>
            <w:tcBorders>
              <w:top w:val="single" w:sz="4" w:space="0" w:color="auto"/>
              <w:left w:val="single" w:sz="4" w:space="0" w:color="auto"/>
              <w:bottom w:val="single" w:sz="4" w:space="0" w:color="auto"/>
              <w:right w:val="single" w:sz="4" w:space="0" w:color="auto"/>
            </w:tcBorders>
            <w:vAlign w:val="bottom"/>
          </w:tcPr>
          <w:p w14:paraId="5CD63162" w14:textId="77777777" w:rsidR="00565EA1" w:rsidRDefault="00565EA1" w:rsidP="00150C7F">
            <w:pPr>
              <w:spacing w:before="120" w:after="120"/>
              <w:jc w:val="center"/>
              <w:rPr>
                <w:b/>
                <w:color w:val="000000"/>
              </w:rPr>
            </w:pPr>
            <w:r>
              <w:rPr>
                <w:color w:val="000000"/>
              </w:rPr>
              <w:t>0.734</w:t>
            </w:r>
          </w:p>
        </w:tc>
        <w:tc>
          <w:tcPr>
            <w:tcW w:w="1560" w:type="dxa"/>
            <w:tcBorders>
              <w:top w:val="single" w:sz="4" w:space="0" w:color="auto"/>
              <w:left w:val="single" w:sz="4" w:space="0" w:color="auto"/>
              <w:bottom w:val="single" w:sz="4" w:space="0" w:color="auto"/>
              <w:right w:val="single" w:sz="4" w:space="0" w:color="auto"/>
            </w:tcBorders>
            <w:vAlign w:val="bottom"/>
          </w:tcPr>
          <w:p w14:paraId="20317503" w14:textId="77777777" w:rsidR="00565EA1" w:rsidRDefault="00565EA1" w:rsidP="00150C7F">
            <w:pPr>
              <w:spacing w:before="120" w:after="120"/>
              <w:jc w:val="center"/>
              <w:rPr>
                <w:color w:val="000000"/>
              </w:rPr>
            </w:pPr>
            <w:r>
              <w:rPr>
                <w:color w:val="000000"/>
              </w:rPr>
              <w:t>0.301</w:t>
            </w:r>
          </w:p>
        </w:tc>
      </w:tr>
      <w:tr w:rsidR="00565EA1" w14:paraId="2A24BC4E"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7CEA9BFC" w14:textId="77777777" w:rsidR="00565EA1" w:rsidRDefault="00565EA1" w:rsidP="00150C7F">
            <w:pPr>
              <w:spacing w:before="120" w:after="120"/>
              <w:jc w:val="center"/>
              <w:rPr>
                <w:b/>
                <w:color w:val="000000"/>
              </w:rPr>
            </w:pPr>
            <w:r>
              <w:rPr>
                <w:b/>
                <w:color w:val="000000"/>
              </w:rPr>
              <w:t>SDG1</w:t>
            </w:r>
          </w:p>
        </w:tc>
        <w:tc>
          <w:tcPr>
            <w:tcW w:w="1643" w:type="dxa"/>
            <w:tcBorders>
              <w:top w:val="single" w:sz="4" w:space="0" w:color="auto"/>
              <w:left w:val="single" w:sz="4" w:space="0" w:color="auto"/>
              <w:bottom w:val="single" w:sz="4" w:space="0" w:color="auto"/>
              <w:right w:val="single" w:sz="4" w:space="0" w:color="auto"/>
            </w:tcBorders>
            <w:vAlign w:val="bottom"/>
          </w:tcPr>
          <w:p w14:paraId="4F6F0689" w14:textId="77777777" w:rsidR="00565EA1" w:rsidRDefault="00565EA1" w:rsidP="00150C7F">
            <w:pPr>
              <w:spacing w:before="120" w:after="120"/>
              <w:jc w:val="center"/>
              <w:rPr>
                <w:color w:val="000000"/>
              </w:rPr>
            </w:pPr>
            <w:r>
              <w:rPr>
                <w:color w:val="000000"/>
              </w:rPr>
              <w:t>0.485</w:t>
            </w:r>
          </w:p>
        </w:tc>
        <w:tc>
          <w:tcPr>
            <w:tcW w:w="1640" w:type="dxa"/>
            <w:tcBorders>
              <w:top w:val="single" w:sz="4" w:space="0" w:color="auto"/>
              <w:left w:val="single" w:sz="4" w:space="0" w:color="auto"/>
              <w:bottom w:val="single" w:sz="4" w:space="0" w:color="auto"/>
              <w:right w:val="single" w:sz="4" w:space="0" w:color="auto"/>
            </w:tcBorders>
            <w:vAlign w:val="bottom"/>
          </w:tcPr>
          <w:p w14:paraId="715A9680" w14:textId="77777777" w:rsidR="00565EA1" w:rsidRDefault="00565EA1" w:rsidP="00150C7F">
            <w:pPr>
              <w:spacing w:before="120" w:after="120"/>
              <w:jc w:val="center"/>
              <w:rPr>
                <w:b/>
                <w:color w:val="000000"/>
              </w:rPr>
            </w:pPr>
            <w:r>
              <w:rPr>
                <w:color w:val="000000"/>
              </w:rPr>
              <w:t>0.429</w:t>
            </w:r>
          </w:p>
        </w:tc>
        <w:tc>
          <w:tcPr>
            <w:tcW w:w="1763" w:type="dxa"/>
            <w:tcBorders>
              <w:top w:val="single" w:sz="4" w:space="0" w:color="auto"/>
              <w:left w:val="single" w:sz="4" w:space="0" w:color="auto"/>
              <w:bottom w:val="single" w:sz="4" w:space="0" w:color="auto"/>
              <w:right w:val="single" w:sz="4" w:space="0" w:color="auto"/>
            </w:tcBorders>
            <w:vAlign w:val="bottom"/>
          </w:tcPr>
          <w:p w14:paraId="3B4C9972" w14:textId="77777777" w:rsidR="00565EA1" w:rsidRDefault="00565EA1" w:rsidP="00150C7F">
            <w:pPr>
              <w:spacing w:before="120" w:after="120"/>
              <w:jc w:val="center"/>
              <w:rPr>
                <w:b/>
                <w:color w:val="000000"/>
              </w:rPr>
            </w:pPr>
            <w:r>
              <w:rPr>
                <w:b/>
                <w:color w:val="000000"/>
              </w:rPr>
              <w:t>0.738</w:t>
            </w:r>
          </w:p>
        </w:tc>
        <w:tc>
          <w:tcPr>
            <w:tcW w:w="1560" w:type="dxa"/>
            <w:tcBorders>
              <w:top w:val="single" w:sz="4" w:space="0" w:color="auto"/>
              <w:left w:val="single" w:sz="4" w:space="0" w:color="auto"/>
              <w:bottom w:val="single" w:sz="4" w:space="0" w:color="auto"/>
              <w:right w:val="single" w:sz="4" w:space="0" w:color="auto"/>
            </w:tcBorders>
            <w:vAlign w:val="bottom"/>
          </w:tcPr>
          <w:p w14:paraId="04A7884E" w14:textId="77777777" w:rsidR="00565EA1" w:rsidRDefault="00565EA1" w:rsidP="00150C7F">
            <w:pPr>
              <w:spacing w:before="120" w:after="120"/>
              <w:jc w:val="center"/>
              <w:rPr>
                <w:color w:val="000000"/>
              </w:rPr>
            </w:pPr>
            <w:r>
              <w:rPr>
                <w:color w:val="000000"/>
              </w:rPr>
              <w:t>0.361</w:t>
            </w:r>
          </w:p>
        </w:tc>
      </w:tr>
      <w:tr w:rsidR="00565EA1" w14:paraId="4C4C8F96"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5E58B701" w14:textId="77777777" w:rsidR="00565EA1" w:rsidRDefault="00565EA1" w:rsidP="00150C7F">
            <w:pPr>
              <w:spacing w:before="120" w:after="120"/>
              <w:jc w:val="center"/>
              <w:rPr>
                <w:b/>
                <w:color w:val="000000"/>
              </w:rPr>
            </w:pPr>
            <w:r>
              <w:rPr>
                <w:b/>
                <w:color w:val="000000"/>
              </w:rPr>
              <w:t>SDG10</w:t>
            </w:r>
          </w:p>
        </w:tc>
        <w:tc>
          <w:tcPr>
            <w:tcW w:w="1643" w:type="dxa"/>
            <w:tcBorders>
              <w:top w:val="single" w:sz="4" w:space="0" w:color="auto"/>
              <w:left w:val="single" w:sz="4" w:space="0" w:color="auto"/>
              <w:bottom w:val="single" w:sz="4" w:space="0" w:color="auto"/>
              <w:right w:val="single" w:sz="4" w:space="0" w:color="auto"/>
            </w:tcBorders>
            <w:vAlign w:val="bottom"/>
          </w:tcPr>
          <w:p w14:paraId="0C7183D3" w14:textId="77777777" w:rsidR="00565EA1" w:rsidRDefault="00565EA1" w:rsidP="00150C7F">
            <w:pPr>
              <w:spacing w:before="120" w:after="120"/>
              <w:jc w:val="center"/>
              <w:rPr>
                <w:color w:val="000000"/>
              </w:rPr>
            </w:pPr>
            <w:r>
              <w:rPr>
                <w:color w:val="000000"/>
              </w:rPr>
              <w:t>0.605</w:t>
            </w:r>
          </w:p>
        </w:tc>
        <w:tc>
          <w:tcPr>
            <w:tcW w:w="1640" w:type="dxa"/>
            <w:tcBorders>
              <w:top w:val="single" w:sz="4" w:space="0" w:color="auto"/>
              <w:left w:val="single" w:sz="4" w:space="0" w:color="auto"/>
              <w:bottom w:val="single" w:sz="4" w:space="0" w:color="auto"/>
              <w:right w:val="single" w:sz="4" w:space="0" w:color="auto"/>
            </w:tcBorders>
            <w:vAlign w:val="bottom"/>
          </w:tcPr>
          <w:p w14:paraId="79DADCB0" w14:textId="77777777" w:rsidR="00565EA1" w:rsidRDefault="00565EA1" w:rsidP="00150C7F">
            <w:pPr>
              <w:spacing w:before="120" w:after="120"/>
              <w:jc w:val="center"/>
              <w:rPr>
                <w:b/>
                <w:color w:val="000000"/>
              </w:rPr>
            </w:pPr>
            <w:r>
              <w:rPr>
                <w:color w:val="000000"/>
              </w:rPr>
              <w:t>0.572</w:t>
            </w:r>
          </w:p>
        </w:tc>
        <w:tc>
          <w:tcPr>
            <w:tcW w:w="1763" w:type="dxa"/>
            <w:tcBorders>
              <w:top w:val="single" w:sz="4" w:space="0" w:color="auto"/>
              <w:left w:val="single" w:sz="4" w:space="0" w:color="auto"/>
              <w:bottom w:val="single" w:sz="4" w:space="0" w:color="auto"/>
              <w:right w:val="single" w:sz="4" w:space="0" w:color="auto"/>
            </w:tcBorders>
            <w:vAlign w:val="bottom"/>
          </w:tcPr>
          <w:p w14:paraId="5C513E20" w14:textId="77777777" w:rsidR="00565EA1" w:rsidRDefault="00565EA1" w:rsidP="00150C7F">
            <w:pPr>
              <w:spacing w:before="120" w:after="120"/>
              <w:jc w:val="center"/>
              <w:rPr>
                <w:b/>
                <w:color w:val="000000"/>
              </w:rPr>
            </w:pPr>
            <w:r>
              <w:rPr>
                <w:b/>
                <w:color w:val="000000"/>
              </w:rPr>
              <w:t>0.882</w:t>
            </w:r>
          </w:p>
        </w:tc>
        <w:tc>
          <w:tcPr>
            <w:tcW w:w="1560" w:type="dxa"/>
            <w:tcBorders>
              <w:top w:val="single" w:sz="4" w:space="0" w:color="auto"/>
              <w:left w:val="single" w:sz="4" w:space="0" w:color="auto"/>
              <w:bottom w:val="single" w:sz="4" w:space="0" w:color="auto"/>
              <w:right w:val="single" w:sz="4" w:space="0" w:color="auto"/>
            </w:tcBorders>
            <w:vAlign w:val="bottom"/>
          </w:tcPr>
          <w:p w14:paraId="33C94AEF" w14:textId="77777777" w:rsidR="00565EA1" w:rsidRDefault="00565EA1" w:rsidP="00150C7F">
            <w:pPr>
              <w:spacing w:before="120" w:after="120"/>
              <w:jc w:val="center"/>
              <w:rPr>
                <w:color w:val="000000"/>
              </w:rPr>
            </w:pPr>
            <w:r>
              <w:rPr>
                <w:color w:val="000000"/>
              </w:rPr>
              <w:t>0.336</w:t>
            </w:r>
          </w:p>
        </w:tc>
      </w:tr>
      <w:tr w:rsidR="00565EA1" w14:paraId="1E122AE0"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302D4263" w14:textId="77777777" w:rsidR="00565EA1" w:rsidRDefault="00565EA1" w:rsidP="00150C7F">
            <w:pPr>
              <w:spacing w:before="120" w:after="120"/>
              <w:jc w:val="center"/>
              <w:rPr>
                <w:b/>
                <w:color w:val="000000"/>
              </w:rPr>
            </w:pPr>
            <w:r>
              <w:rPr>
                <w:b/>
                <w:color w:val="000000"/>
              </w:rPr>
              <w:t>SDG13</w:t>
            </w:r>
          </w:p>
        </w:tc>
        <w:tc>
          <w:tcPr>
            <w:tcW w:w="1643" w:type="dxa"/>
            <w:tcBorders>
              <w:top w:val="single" w:sz="4" w:space="0" w:color="auto"/>
              <w:left w:val="single" w:sz="4" w:space="0" w:color="auto"/>
              <w:bottom w:val="single" w:sz="4" w:space="0" w:color="auto"/>
              <w:right w:val="single" w:sz="4" w:space="0" w:color="auto"/>
            </w:tcBorders>
            <w:vAlign w:val="bottom"/>
          </w:tcPr>
          <w:p w14:paraId="5358A216" w14:textId="77777777" w:rsidR="00565EA1" w:rsidRDefault="00565EA1" w:rsidP="00150C7F">
            <w:pPr>
              <w:spacing w:before="120" w:after="120"/>
              <w:jc w:val="center"/>
              <w:rPr>
                <w:color w:val="000000"/>
              </w:rPr>
            </w:pPr>
            <w:r>
              <w:rPr>
                <w:color w:val="000000"/>
              </w:rPr>
              <w:t>0.741</w:t>
            </w:r>
          </w:p>
        </w:tc>
        <w:tc>
          <w:tcPr>
            <w:tcW w:w="1640" w:type="dxa"/>
            <w:tcBorders>
              <w:top w:val="single" w:sz="4" w:space="0" w:color="auto"/>
              <w:left w:val="single" w:sz="4" w:space="0" w:color="auto"/>
              <w:bottom w:val="single" w:sz="4" w:space="0" w:color="auto"/>
              <w:right w:val="single" w:sz="4" w:space="0" w:color="auto"/>
            </w:tcBorders>
            <w:vAlign w:val="bottom"/>
          </w:tcPr>
          <w:p w14:paraId="0A4F02D5" w14:textId="77777777" w:rsidR="00565EA1" w:rsidRDefault="00565EA1" w:rsidP="00150C7F">
            <w:pPr>
              <w:spacing w:before="120" w:after="120"/>
              <w:jc w:val="center"/>
              <w:rPr>
                <w:b/>
                <w:color w:val="000000"/>
              </w:rPr>
            </w:pPr>
            <w:r>
              <w:rPr>
                <w:color w:val="000000"/>
              </w:rPr>
              <w:t>0.661</w:t>
            </w:r>
          </w:p>
        </w:tc>
        <w:tc>
          <w:tcPr>
            <w:tcW w:w="1763" w:type="dxa"/>
            <w:tcBorders>
              <w:top w:val="single" w:sz="4" w:space="0" w:color="auto"/>
              <w:left w:val="single" w:sz="4" w:space="0" w:color="auto"/>
              <w:bottom w:val="single" w:sz="4" w:space="0" w:color="auto"/>
              <w:right w:val="single" w:sz="4" w:space="0" w:color="auto"/>
            </w:tcBorders>
            <w:vAlign w:val="bottom"/>
          </w:tcPr>
          <w:p w14:paraId="142C5AE1" w14:textId="77777777" w:rsidR="00565EA1" w:rsidRDefault="00565EA1" w:rsidP="00150C7F">
            <w:pPr>
              <w:spacing w:before="120" w:after="120"/>
              <w:jc w:val="center"/>
              <w:rPr>
                <w:b/>
                <w:color w:val="000000"/>
              </w:rPr>
            </w:pPr>
            <w:r>
              <w:rPr>
                <w:b/>
                <w:color w:val="000000"/>
              </w:rPr>
              <w:t>0.898</w:t>
            </w:r>
          </w:p>
        </w:tc>
        <w:tc>
          <w:tcPr>
            <w:tcW w:w="1560" w:type="dxa"/>
            <w:tcBorders>
              <w:top w:val="single" w:sz="4" w:space="0" w:color="auto"/>
              <w:left w:val="single" w:sz="4" w:space="0" w:color="auto"/>
              <w:bottom w:val="single" w:sz="4" w:space="0" w:color="auto"/>
              <w:right w:val="single" w:sz="4" w:space="0" w:color="auto"/>
            </w:tcBorders>
            <w:vAlign w:val="bottom"/>
          </w:tcPr>
          <w:p w14:paraId="04A737BE" w14:textId="77777777" w:rsidR="00565EA1" w:rsidRDefault="00565EA1" w:rsidP="00150C7F">
            <w:pPr>
              <w:spacing w:before="120" w:after="120"/>
              <w:jc w:val="center"/>
              <w:rPr>
                <w:color w:val="000000"/>
              </w:rPr>
            </w:pPr>
            <w:r>
              <w:rPr>
                <w:color w:val="000000"/>
              </w:rPr>
              <w:t>0.425</w:t>
            </w:r>
          </w:p>
        </w:tc>
      </w:tr>
      <w:tr w:rsidR="00565EA1" w14:paraId="03D6AAB3"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3A03855A" w14:textId="77777777" w:rsidR="00565EA1" w:rsidRDefault="00565EA1" w:rsidP="00150C7F">
            <w:pPr>
              <w:spacing w:before="120" w:after="120"/>
              <w:jc w:val="center"/>
              <w:rPr>
                <w:b/>
                <w:color w:val="000000"/>
              </w:rPr>
            </w:pPr>
            <w:r>
              <w:rPr>
                <w:b/>
                <w:color w:val="000000"/>
              </w:rPr>
              <w:t>SDG17</w:t>
            </w:r>
          </w:p>
        </w:tc>
        <w:tc>
          <w:tcPr>
            <w:tcW w:w="1643" w:type="dxa"/>
            <w:tcBorders>
              <w:top w:val="single" w:sz="4" w:space="0" w:color="auto"/>
              <w:left w:val="single" w:sz="4" w:space="0" w:color="auto"/>
              <w:bottom w:val="single" w:sz="4" w:space="0" w:color="auto"/>
              <w:right w:val="single" w:sz="4" w:space="0" w:color="auto"/>
            </w:tcBorders>
            <w:vAlign w:val="bottom"/>
          </w:tcPr>
          <w:p w14:paraId="341FAD74" w14:textId="77777777" w:rsidR="00565EA1" w:rsidRDefault="00565EA1" w:rsidP="00150C7F">
            <w:pPr>
              <w:spacing w:before="120" w:after="120"/>
              <w:jc w:val="center"/>
              <w:rPr>
                <w:color w:val="000000"/>
              </w:rPr>
            </w:pPr>
            <w:r>
              <w:rPr>
                <w:color w:val="000000"/>
              </w:rPr>
              <w:t>0.577</w:t>
            </w:r>
          </w:p>
        </w:tc>
        <w:tc>
          <w:tcPr>
            <w:tcW w:w="1640" w:type="dxa"/>
            <w:tcBorders>
              <w:top w:val="single" w:sz="4" w:space="0" w:color="auto"/>
              <w:left w:val="single" w:sz="4" w:space="0" w:color="auto"/>
              <w:bottom w:val="single" w:sz="4" w:space="0" w:color="auto"/>
              <w:right w:val="single" w:sz="4" w:space="0" w:color="auto"/>
            </w:tcBorders>
            <w:vAlign w:val="bottom"/>
          </w:tcPr>
          <w:p w14:paraId="3E4E1A3A" w14:textId="77777777" w:rsidR="00565EA1" w:rsidRDefault="00565EA1" w:rsidP="00150C7F">
            <w:pPr>
              <w:spacing w:before="120" w:after="120"/>
              <w:jc w:val="center"/>
              <w:rPr>
                <w:color w:val="000000"/>
              </w:rPr>
            </w:pPr>
            <w:r>
              <w:rPr>
                <w:color w:val="000000"/>
              </w:rPr>
              <w:t>0.565</w:t>
            </w:r>
          </w:p>
        </w:tc>
        <w:tc>
          <w:tcPr>
            <w:tcW w:w="1763" w:type="dxa"/>
            <w:tcBorders>
              <w:top w:val="single" w:sz="4" w:space="0" w:color="auto"/>
              <w:left w:val="single" w:sz="4" w:space="0" w:color="auto"/>
              <w:bottom w:val="single" w:sz="4" w:space="0" w:color="auto"/>
              <w:right w:val="single" w:sz="4" w:space="0" w:color="auto"/>
            </w:tcBorders>
            <w:vAlign w:val="bottom"/>
          </w:tcPr>
          <w:p w14:paraId="5550E9CD" w14:textId="77777777" w:rsidR="00565EA1" w:rsidRDefault="00565EA1" w:rsidP="00150C7F">
            <w:pPr>
              <w:spacing w:before="120" w:after="120"/>
              <w:jc w:val="center"/>
              <w:rPr>
                <w:b/>
                <w:color w:val="000000"/>
              </w:rPr>
            </w:pPr>
            <w:r>
              <w:rPr>
                <w:b/>
                <w:color w:val="000000"/>
              </w:rPr>
              <w:t>0.825</w:t>
            </w:r>
          </w:p>
        </w:tc>
        <w:tc>
          <w:tcPr>
            <w:tcW w:w="1560" w:type="dxa"/>
            <w:tcBorders>
              <w:top w:val="single" w:sz="4" w:space="0" w:color="auto"/>
              <w:left w:val="single" w:sz="4" w:space="0" w:color="auto"/>
              <w:bottom w:val="single" w:sz="4" w:space="0" w:color="auto"/>
              <w:right w:val="single" w:sz="4" w:space="0" w:color="auto"/>
            </w:tcBorders>
            <w:vAlign w:val="bottom"/>
          </w:tcPr>
          <w:p w14:paraId="1C26494C" w14:textId="77777777" w:rsidR="00565EA1" w:rsidRDefault="00565EA1" w:rsidP="00150C7F">
            <w:pPr>
              <w:spacing w:before="120" w:after="120"/>
              <w:jc w:val="center"/>
              <w:rPr>
                <w:b/>
                <w:color w:val="000000"/>
              </w:rPr>
            </w:pPr>
            <w:r>
              <w:rPr>
                <w:color w:val="000000"/>
              </w:rPr>
              <w:t>0.338</w:t>
            </w:r>
          </w:p>
        </w:tc>
      </w:tr>
      <w:tr w:rsidR="00565EA1" w14:paraId="4AD68483"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5D5F5072" w14:textId="77777777" w:rsidR="00565EA1" w:rsidRDefault="00565EA1" w:rsidP="00150C7F">
            <w:pPr>
              <w:spacing w:before="120" w:after="120"/>
              <w:jc w:val="center"/>
              <w:rPr>
                <w:b/>
                <w:color w:val="000000"/>
              </w:rPr>
            </w:pPr>
            <w:r>
              <w:rPr>
                <w:b/>
                <w:color w:val="000000"/>
              </w:rPr>
              <w:t>SDG7</w:t>
            </w:r>
          </w:p>
        </w:tc>
        <w:tc>
          <w:tcPr>
            <w:tcW w:w="1643" w:type="dxa"/>
            <w:tcBorders>
              <w:top w:val="single" w:sz="4" w:space="0" w:color="auto"/>
              <w:left w:val="single" w:sz="4" w:space="0" w:color="auto"/>
              <w:bottom w:val="single" w:sz="4" w:space="0" w:color="auto"/>
              <w:right w:val="single" w:sz="4" w:space="0" w:color="auto"/>
            </w:tcBorders>
            <w:vAlign w:val="bottom"/>
          </w:tcPr>
          <w:p w14:paraId="2C9E00D4" w14:textId="77777777" w:rsidR="00565EA1" w:rsidRDefault="00565EA1" w:rsidP="00150C7F">
            <w:pPr>
              <w:spacing w:before="120" w:after="120"/>
              <w:jc w:val="center"/>
              <w:rPr>
                <w:color w:val="000000"/>
              </w:rPr>
            </w:pPr>
            <w:r>
              <w:rPr>
                <w:color w:val="000000"/>
              </w:rPr>
              <w:t>0.584</w:t>
            </w:r>
          </w:p>
        </w:tc>
        <w:tc>
          <w:tcPr>
            <w:tcW w:w="1640" w:type="dxa"/>
            <w:tcBorders>
              <w:top w:val="single" w:sz="4" w:space="0" w:color="auto"/>
              <w:left w:val="single" w:sz="4" w:space="0" w:color="auto"/>
              <w:bottom w:val="single" w:sz="4" w:space="0" w:color="auto"/>
              <w:right w:val="single" w:sz="4" w:space="0" w:color="auto"/>
            </w:tcBorders>
            <w:vAlign w:val="bottom"/>
          </w:tcPr>
          <w:p w14:paraId="44928F92" w14:textId="77777777" w:rsidR="00565EA1" w:rsidRDefault="00565EA1" w:rsidP="00150C7F">
            <w:pPr>
              <w:spacing w:before="120" w:after="120"/>
              <w:jc w:val="center"/>
              <w:rPr>
                <w:color w:val="000000"/>
              </w:rPr>
            </w:pPr>
            <w:r>
              <w:rPr>
                <w:color w:val="000000"/>
              </w:rPr>
              <w:t>0.490</w:t>
            </w:r>
          </w:p>
        </w:tc>
        <w:tc>
          <w:tcPr>
            <w:tcW w:w="1763" w:type="dxa"/>
            <w:tcBorders>
              <w:top w:val="single" w:sz="4" w:space="0" w:color="auto"/>
              <w:left w:val="single" w:sz="4" w:space="0" w:color="auto"/>
              <w:bottom w:val="single" w:sz="4" w:space="0" w:color="auto"/>
              <w:right w:val="single" w:sz="4" w:space="0" w:color="auto"/>
            </w:tcBorders>
            <w:vAlign w:val="bottom"/>
          </w:tcPr>
          <w:p w14:paraId="459AA39D" w14:textId="77777777" w:rsidR="00565EA1" w:rsidRDefault="00565EA1" w:rsidP="00150C7F">
            <w:pPr>
              <w:spacing w:before="120" w:after="120"/>
              <w:jc w:val="center"/>
              <w:rPr>
                <w:b/>
                <w:color w:val="000000"/>
              </w:rPr>
            </w:pPr>
            <w:r>
              <w:rPr>
                <w:b/>
                <w:color w:val="000000"/>
              </w:rPr>
              <w:t>0.799</w:t>
            </w:r>
          </w:p>
        </w:tc>
        <w:tc>
          <w:tcPr>
            <w:tcW w:w="1560" w:type="dxa"/>
            <w:tcBorders>
              <w:top w:val="single" w:sz="4" w:space="0" w:color="auto"/>
              <w:left w:val="single" w:sz="4" w:space="0" w:color="auto"/>
              <w:bottom w:val="single" w:sz="4" w:space="0" w:color="auto"/>
              <w:right w:val="single" w:sz="4" w:space="0" w:color="auto"/>
            </w:tcBorders>
            <w:vAlign w:val="bottom"/>
          </w:tcPr>
          <w:p w14:paraId="58839420" w14:textId="77777777" w:rsidR="00565EA1" w:rsidRDefault="00565EA1" w:rsidP="00150C7F">
            <w:pPr>
              <w:spacing w:before="120" w:after="120"/>
              <w:jc w:val="center"/>
              <w:rPr>
                <w:b/>
                <w:color w:val="000000"/>
              </w:rPr>
            </w:pPr>
            <w:r>
              <w:rPr>
                <w:color w:val="000000"/>
              </w:rPr>
              <w:t>0.326</w:t>
            </w:r>
          </w:p>
        </w:tc>
      </w:tr>
      <w:tr w:rsidR="00565EA1" w14:paraId="5F89FCA0"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22A67D38" w14:textId="77777777" w:rsidR="00565EA1" w:rsidRDefault="00565EA1" w:rsidP="00150C7F">
            <w:pPr>
              <w:spacing w:before="120" w:after="120"/>
              <w:jc w:val="center"/>
              <w:rPr>
                <w:b/>
                <w:color w:val="000000"/>
              </w:rPr>
            </w:pPr>
            <w:r>
              <w:rPr>
                <w:b/>
                <w:color w:val="000000"/>
              </w:rPr>
              <w:t>SDG8</w:t>
            </w:r>
          </w:p>
        </w:tc>
        <w:tc>
          <w:tcPr>
            <w:tcW w:w="1643" w:type="dxa"/>
            <w:tcBorders>
              <w:top w:val="single" w:sz="4" w:space="0" w:color="auto"/>
              <w:left w:val="single" w:sz="4" w:space="0" w:color="auto"/>
              <w:bottom w:val="single" w:sz="4" w:space="0" w:color="auto"/>
              <w:right w:val="single" w:sz="4" w:space="0" w:color="auto"/>
            </w:tcBorders>
            <w:vAlign w:val="bottom"/>
          </w:tcPr>
          <w:p w14:paraId="681E88D6" w14:textId="77777777" w:rsidR="00565EA1" w:rsidRDefault="00565EA1" w:rsidP="00150C7F">
            <w:pPr>
              <w:spacing w:before="120" w:after="120"/>
              <w:jc w:val="center"/>
              <w:rPr>
                <w:color w:val="000000"/>
              </w:rPr>
            </w:pPr>
            <w:r>
              <w:rPr>
                <w:color w:val="000000"/>
              </w:rPr>
              <w:t>0.787</w:t>
            </w:r>
          </w:p>
        </w:tc>
        <w:tc>
          <w:tcPr>
            <w:tcW w:w="1640" w:type="dxa"/>
            <w:tcBorders>
              <w:top w:val="single" w:sz="4" w:space="0" w:color="auto"/>
              <w:left w:val="single" w:sz="4" w:space="0" w:color="auto"/>
              <w:bottom w:val="single" w:sz="4" w:space="0" w:color="auto"/>
              <w:right w:val="single" w:sz="4" w:space="0" w:color="auto"/>
            </w:tcBorders>
            <w:vAlign w:val="bottom"/>
          </w:tcPr>
          <w:p w14:paraId="76745C1F" w14:textId="77777777" w:rsidR="00565EA1" w:rsidRDefault="00565EA1" w:rsidP="00150C7F">
            <w:pPr>
              <w:spacing w:before="120" w:after="120"/>
              <w:jc w:val="center"/>
              <w:rPr>
                <w:color w:val="000000"/>
              </w:rPr>
            </w:pPr>
            <w:r>
              <w:rPr>
                <w:color w:val="000000"/>
              </w:rPr>
              <w:t>0.700</w:t>
            </w:r>
          </w:p>
        </w:tc>
        <w:tc>
          <w:tcPr>
            <w:tcW w:w="1763" w:type="dxa"/>
            <w:tcBorders>
              <w:top w:val="single" w:sz="4" w:space="0" w:color="auto"/>
              <w:left w:val="single" w:sz="4" w:space="0" w:color="auto"/>
              <w:bottom w:val="single" w:sz="4" w:space="0" w:color="auto"/>
              <w:right w:val="single" w:sz="4" w:space="0" w:color="auto"/>
            </w:tcBorders>
            <w:vAlign w:val="bottom"/>
          </w:tcPr>
          <w:p w14:paraId="68FEFE0E" w14:textId="77777777" w:rsidR="00565EA1" w:rsidRDefault="00565EA1" w:rsidP="00150C7F">
            <w:pPr>
              <w:spacing w:before="120" w:after="120"/>
              <w:jc w:val="center"/>
              <w:rPr>
                <w:b/>
                <w:color w:val="000000"/>
              </w:rPr>
            </w:pPr>
            <w:r>
              <w:rPr>
                <w:b/>
                <w:color w:val="000000"/>
              </w:rPr>
              <w:t>0.948</w:t>
            </w:r>
          </w:p>
        </w:tc>
        <w:tc>
          <w:tcPr>
            <w:tcW w:w="1560" w:type="dxa"/>
            <w:tcBorders>
              <w:top w:val="single" w:sz="4" w:space="0" w:color="auto"/>
              <w:left w:val="single" w:sz="4" w:space="0" w:color="auto"/>
              <w:bottom w:val="single" w:sz="4" w:space="0" w:color="auto"/>
              <w:right w:val="single" w:sz="4" w:space="0" w:color="auto"/>
            </w:tcBorders>
            <w:vAlign w:val="bottom"/>
          </w:tcPr>
          <w:p w14:paraId="19655566" w14:textId="77777777" w:rsidR="00565EA1" w:rsidRDefault="00565EA1" w:rsidP="00150C7F">
            <w:pPr>
              <w:spacing w:before="120" w:after="120"/>
              <w:jc w:val="center"/>
              <w:rPr>
                <w:b/>
                <w:color w:val="000000"/>
              </w:rPr>
            </w:pPr>
            <w:r>
              <w:rPr>
                <w:color w:val="000000"/>
              </w:rPr>
              <w:t>0.388</w:t>
            </w:r>
          </w:p>
        </w:tc>
      </w:tr>
      <w:tr w:rsidR="00565EA1" w14:paraId="0293AAA1"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4BAD6668" w14:textId="77777777" w:rsidR="00565EA1" w:rsidRDefault="00565EA1" w:rsidP="00150C7F">
            <w:pPr>
              <w:spacing w:before="120" w:after="120"/>
              <w:jc w:val="center"/>
              <w:rPr>
                <w:b/>
                <w:color w:val="000000"/>
              </w:rPr>
            </w:pPr>
            <w:r>
              <w:rPr>
                <w:b/>
                <w:color w:val="000000"/>
              </w:rPr>
              <w:t>SDG9</w:t>
            </w:r>
          </w:p>
        </w:tc>
        <w:tc>
          <w:tcPr>
            <w:tcW w:w="1643" w:type="dxa"/>
            <w:tcBorders>
              <w:top w:val="single" w:sz="4" w:space="0" w:color="auto"/>
              <w:left w:val="single" w:sz="4" w:space="0" w:color="auto"/>
              <w:bottom w:val="single" w:sz="4" w:space="0" w:color="auto"/>
              <w:right w:val="single" w:sz="4" w:space="0" w:color="auto"/>
            </w:tcBorders>
            <w:vAlign w:val="bottom"/>
          </w:tcPr>
          <w:p w14:paraId="563E8D47" w14:textId="77777777" w:rsidR="00565EA1" w:rsidRDefault="00565EA1" w:rsidP="00150C7F">
            <w:pPr>
              <w:spacing w:before="120" w:after="120"/>
              <w:jc w:val="center"/>
              <w:rPr>
                <w:color w:val="000000"/>
              </w:rPr>
            </w:pPr>
            <w:r>
              <w:rPr>
                <w:color w:val="000000"/>
              </w:rPr>
              <w:t>0.720</w:t>
            </w:r>
          </w:p>
        </w:tc>
        <w:tc>
          <w:tcPr>
            <w:tcW w:w="1640" w:type="dxa"/>
            <w:tcBorders>
              <w:top w:val="single" w:sz="4" w:space="0" w:color="auto"/>
              <w:left w:val="single" w:sz="4" w:space="0" w:color="auto"/>
              <w:bottom w:val="single" w:sz="4" w:space="0" w:color="auto"/>
              <w:right w:val="single" w:sz="4" w:space="0" w:color="auto"/>
            </w:tcBorders>
            <w:vAlign w:val="bottom"/>
          </w:tcPr>
          <w:p w14:paraId="38BED368" w14:textId="77777777" w:rsidR="00565EA1" w:rsidRDefault="00565EA1" w:rsidP="00150C7F">
            <w:pPr>
              <w:spacing w:before="120" w:after="120"/>
              <w:jc w:val="center"/>
              <w:rPr>
                <w:color w:val="000000"/>
              </w:rPr>
            </w:pPr>
            <w:r>
              <w:rPr>
                <w:color w:val="000000"/>
              </w:rPr>
              <w:t>0.647</w:t>
            </w:r>
          </w:p>
        </w:tc>
        <w:tc>
          <w:tcPr>
            <w:tcW w:w="1763" w:type="dxa"/>
            <w:tcBorders>
              <w:top w:val="single" w:sz="4" w:space="0" w:color="auto"/>
              <w:left w:val="single" w:sz="4" w:space="0" w:color="auto"/>
              <w:bottom w:val="single" w:sz="4" w:space="0" w:color="auto"/>
              <w:right w:val="single" w:sz="4" w:space="0" w:color="auto"/>
            </w:tcBorders>
            <w:vAlign w:val="bottom"/>
          </w:tcPr>
          <w:p w14:paraId="0BC104DE" w14:textId="77777777" w:rsidR="00565EA1" w:rsidRDefault="00565EA1" w:rsidP="00150C7F">
            <w:pPr>
              <w:spacing w:before="120" w:after="120"/>
              <w:jc w:val="center"/>
              <w:rPr>
                <w:b/>
                <w:color w:val="000000"/>
              </w:rPr>
            </w:pPr>
            <w:r>
              <w:rPr>
                <w:b/>
                <w:color w:val="000000"/>
              </w:rPr>
              <w:t>0.893</w:t>
            </w:r>
          </w:p>
        </w:tc>
        <w:tc>
          <w:tcPr>
            <w:tcW w:w="1560" w:type="dxa"/>
            <w:tcBorders>
              <w:top w:val="single" w:sz="4" w:space="0" w:color="auto"/>
              <w:left w:val="single" w:sz="4" w:space="0" w:color="auto"/>
              <w:bottom w:val="single" w:sz="4" w:space="0" w:color="auto"/>
              <w:right w:val="single" w:sz="4" w:space="0" w:color="auto"/>
            </w:tcBorders>
            <w:vAlign w:val="bottom"/>
          </w:tcPr>
          <w:p w14:paraId="06E46216" w14:textId="77777777" w:rsidR="00565EA1" w:rsidRDefault="00565EA1" w:rsidP="00150C7F">
            <w:pPr>
              <w:spacing w:before="120" w:after="120"/>
              <w:jc w:val="center"/>
              <w:rPr>
                <w:b/>
                <w:color w:val="000000"/>
              </w:rPr>
            </w:pPr>
            <w:r>
              <w:rPr>
                <w:color w:val="000000"/>
              </w:rPr>
              <w:t>0.466</w:t>
            </w:r>
          </w:p>
        </w:tc>
      </w:tr>
      <w:tr w:rsidR="00565EA1" w14:paraId="3F0E4662"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7605A4A6" w14:textId="77777777" w:rsidR="00565EA1" w:rsidRDefault="00565EA1" w:rsidP="00150C7F">
            <w:pPr>
              <w:spacing w:before="120" w:after="120"/>
              <w:jc w:val="center"/>
              <w:rPr>
                <w:b/>
                <w:color w:val="000000"/>
              </w:rPr>
            </w:pPr>
            <w:r>
              <w:rPr>
                <w:b/>
                <w:color w:val="000000"/>
              </w:rPr>
              <w:t>SP1</w:t>
            </w:r>
          </w:p>
        </w:tc>
        <w:tc>
          <w:tcPr>
            <w:tcW w:w="1643" w:type="dxa"/>
            <w:tcBorders>
              <w:top w:val="single" w:sz="4" w:space="0" w:color="auto"/>
              <w:left w:val="single" w:sz="4" w:space="0" w:color="auto"/>
              <w:bottom w:val="single" w:sz="4" w:space="0" w:color="auto"/>
              <w:right w:val="single" w:sz="4" w:space="0" w:color="auto"/>
            </w:tcBorders>
            <w:vAlign w:val="bottom"/>
          </w:tcPr>
          <w:p w14:paraId="518A5D0E" w14:textId="77777777" w:rsidR="00565EA1" w:rsidRDefault="00565EA1" w:rsidP="00150C7F">
            <w:pPr>
              <w:spacing w:before="120" w:after="120"/>
              <w:jc w:val="center"/>
              <w:rPr>
                <w:color w:val="000000"/>
              </w:rPr>
            </w:pPr>
            <w:r>
              <w:rPr>
                <w:color w:val="000000"/>
              </w:rPr>
              <w:t>0.471</w:t>
            </w:r>
          </w:p>
        </w:tc>
        <w:tc>
          <w:tcPr>
            <w:tcW w:w="1640" w:type="dxa"/>
            <w:tcBorders>
              <w:top w:val="single" w:sz="4" w:space="0" w:color="auto"/>
              <w:left w:val="single" w:sz="4" w:space="0" w:color="auto"/>
              <w:bottom w:val="single" w:sz="4" w:space="0" w:color="auto"/>
              <w:right w:val="single" w:sz="4" w:space="0" w:color="auto"/>
            </w:tcBorders>
            <w:vAlign w:val="bottom"/>
          </w:tcPr>
          <w:p w14:paraId="4420D04E" w14:textId="77777777" w:rsidR="00565EA1" w:rsidRDefault="00565EA1" w:rsidP="00150C7F">
            <w:pPr>
              <w:spacing w:before="120" w:after="120"/>
              <w:jc w:val="center"/>
              <w:rPr>
                <w:color w:val="000000"/>
              </w:rPr>
            </w:pPr>
            <w:r>
              <w:rPr>
                <w:color w:val="000000"/>
              </w:rPr>
              <w:t>0.246</w:t>
            </w:r>
          </w:p>
        </w:tc>
        <w:tc>
          <w:tcPr>
            <w:tcW w:w="1763" w:type="dxa"/>
            <w:tcBorders>
              <w:top w:val="single" w:sz="4" w:space="0" w:color="auto"/>
              <w:left w:val="single" w:sz="4" w:space="0" w:color="auto"/>
              <w:bottom w:val="single" w:sz="4" w:space="0" w:color="auto"/>
              <w:right w:val="single" w:sz="4" w:space="0" w:color="auto"/>
            </w:tcBorders>
            <w:vAlign w:val="bottom"/>
          </w:tcPr>
          <w:p w14:paraId="39E42198" w14:textId="77777777" w:rsidR="00565EA1" w:rsidRDefault="00565EA1" w:rsidP="00150C7F">
            <w:pPr>
              <w:spacing w:before="120" w:after="120"/>
              <w:jc w:val="center"/>
              <w:rPr>
                <w:color w:val="000000"/>
              </w:rPr>
            </w:pPr>
            <w:r>
              <w:rPr>
                <w:color w:val="000000"/>
              </w:rPr>
              <w:t>0.401</w:t>
            </w:r>
          </w:p>
        </w:tc>
        <w:tc>
          <w:tcPr>
            <w:tcW w:w="1560" w:type="dxa"/>
            <w:tcBorders>
              <w:top w:val="single" w:sz="4" w:space="0" w:color="auto"/>
              <w:left w:val="single" w:sz="4" w:space="0" w:color="auto"/>
              <w:bottom w:val="single" w:sz="4" w:space="0" w:color="auto"/>
              <w:right w:val="single" w:sz="4" w:space="0" w:color="auto"/>
            </w:tcBorders>
            <w:vAlign w:val="bottom"/>
          </w:tcPr>
          <w:p w14:paraId="7FE99536" w14:textId="77777777" w:rsidR="00565EA1" w:rsidRDefault="00565EA1" w:rsidP="00150C7F">
            <w:pPr>
              <w:spacing w:before="120" w:after="120"/>
              <w:jc w:val="center"/>
              <w:rPr>
                <w:b/>
                <w:color w:val="000000"/>
              </w:rPr>
            </w:pPr>
            <w:r>
              <w:rPr>
                <w:b/>
                <w:color w:val="000000"/>
              </w:rPr>
              <w:t>0.880</w:t>
            </w:r>
          </w:p>
        </w:tc>
      </w:tr>
      <w:tr w:rsidR="00565EA1" w14:paraId="452710B6"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21AEEA8E" w14:textId="77777777" w:rsidR="00565EA1" w:rsidRDefault="00565EA1" w:rsidP="00150C7F">
            <w:pPr>
              <w:spacing w:before="120" w:after="120"/>
              <w:jc w:val="center"/>
              <w:rPr>
                <w:b/>
                <w:color w:val="000000"/>
              </w:rPr>
            </w:pPr>
            <w:r>
              <w:rPr>
                <w:b/>
                <w:color w:val="000000"/>
              </w:rPr>
              <w:t>SP2</w:t>
            </w:r>
          </w:p>
        </w:tc>
        <w:tc>
          <w:tcPr>
            <w:tcW w:w="1643" w:type="dxa"/>
            <w:tcBorders>
              <w:top w:val="single" w:sz="4" w:space="0" w:color="auto"/>
              <w:left w:val="single" w:sz="4" w:space="0" w:color="auto"/>
              <w:bottom w:val="single" w:sz="4" w:space="0" w:color="auto"/>
              <w:right w:val="single" w:sz="4" w:space="0" w:color="auto"/>
            </w:tcBorders>
            <w:vAlign w:val="bottom"/>
          </w:tcPr>
          <w:p w14:paraId="4E6911F7" w14:textId="77777777" w:rsidR="00565EA1" w:rsidRDefault="00565EA1" w:rsidP="00150C7F">
            <w:pPr>
              <w:spacing w:before="120" w:after="120"/>
              <w:jc w:val="center"/>
              <w:rPr>
                <w:color w:val="000000"/>
              </w:rPr>
            </w:pPr>
            <w:r>
              <w:rPr>
                <w:color w:val="000000"/>
              </w:rPr>
              <w:t>0.370</w:t>
            </w:r>
          </w:p>
        </w:tc>
        <w:tc>
          <w:tcPr>
            <w:tcW w:w="1640" w:type="dxa"/>
            <w:tcBorders>
              <w:top w:val="single" w:sz="4" w:space="0" w:color="auto"/>
              <w:left w:val="single" w:sz="4" w:space="0" w:color="auto"/>
              <w:bottom w:val="single" w:sz="4" w:space="0" w:color="auto"/>
              <w:right w:val="single" w:sz="4" w:space="0" w:color="auto"/>
            </w:tcBorders>
            <w:vAlign w:val="bottom"/>
          </w:tcPr>
          <w:p w14:paraId="2FE31C67" w14:textId="77777777" w:rsidR="00565EA1" w:rsidRDefault="00565EA1" w:rsidP="00150C7F">
            <w:pPr>
              <w:spacing w:before="120" w:after="120"/>
              <w:jc w:val="center"/>
              <w:rPr>
                <w:color w:val="000000"/>
              </w:rPr>
            </w:pPr>
            <w:r>
              <w:rPr>
                <w:color w:val="000000"/>
              </w:rPr>
              <w:t>0.318</w:t>
            </w:r>
          </w:p>
        </w:tc>
        <w:tc>
          <w:tcPr>
            <w:tcW w:w="1763" w:type="dxa"/>
            <w:tcBorders>
              <w:top w:val="single" w:sz="4" w:space="0" w:color="auto"/>
              <w:left w:val="single" w:sz="4" w:space="0" w:color="auto"/>
              <w:bottom w:val="single" w:sz="4" w:space="0" w:color="auto"/>
              <w:right w:val="single" w:sz="4" w:space="0" w:color="auto"/>
            </w:tcBorders>
            <w:vAlign w:val="bottom"/>
          </w:tcPr>
          <w:p w14:paraId="36C575EF" w14:textId="77777777" w:rsidR="00565EA1" w:rsidRDefault="00565EA1" w:rsidP="00150C7F">
            <w:pPr>
              <w:spacing w:before="120" w:after="120"/>
              <w:jc w:val="center"/>
              <w:rPr>
                <w:color w:val="000000"/>
              </w:rPr>
            </w:pPr>
            <w:r>
              <w:rPr>
                <w:color w:val="000000"/>
              </w:rPr>
              <w:t>0.446</w:t>
            </w:r>
          </w:p>
        </w:tc>
        <w:tc>
          <w:tcPr>
            <w:tcW w:w="1560" w:type="dxa"/>
            <w:tcBorders>
              <w:top w:val="single" w:sz="4" w:space="0" w:color="auto"/>
              <w:left w:val="single" w:sz="4" w:space="0" w:color="auto"/>
              <w:bottom w:val="single" w:sz="4" w:space="0" w:color="auto"/>
              <w:right w:val="single" w:sz="4" w:space="0" w:color="auto"/>
            </w:tcBorders>
            <w:vAlign w:val="bottom"/>
          </w:tcPr>
          <w:p w14:paraId="504A157C" w14:textId="77777777" w:rsidR="00565EA1" w:rsidRDefault="00565EA1" w:rsidP="00150C7F">
            <w:pPr>
              <w:spacing w:before="120" w:after="120"/>
              <w:jc w:val="center"/>
              <w:rPr>
                <w:b/>
                <w:color w:val="000000"/>
              </w:rPr>
            </w:pPr>
            <w:r>
              <w:rPr>
                <w:b/>
                <w:color w:val="000000"/>
              </w:rPr>
              <w:t>0.859</w:t>
            </w:r>
          </w:p>
        </w:tc>
      </w:tr>
      <w:tr w:rsidR="00565EA1" w14:paraId="06A5B102" w14:textId="77777777" w:rsidTr="00565EA1">
        <w:trPr>
          <w:trHeight w:val="288"/>
        </w:trPr>
        <w:tc>
          <w:tcPr>
            <w:tcW w:w="2420" w:type="dxa"/>
            <w:tcBorders>
              <w:top w:val="single" w:sz="4" w:space="0" w:color="auto"/>
              <w:left w:val="single" w:sz="4" w:space="0" w:color="auto"/>
              <w:bottom w:val="single" w:sz="4" w:space="0" w:color="auto"/>
              <w:right w:val="single" w:sz="4" w:space="0" w:color="auto"/>
            </w:tcBorders>
            <w:vAlign w:val="bottom"/>
          </w:tcPr>
          <w:p w14:paraId="06B8E7B8" w14:textId="77777777" w:rsidR="00565EA1" w:rsidRDefault="00565EA1" w:rsidP="00150C7F">
            <w:pPr>
              <w:spacing w:before="120" w:after="120"/>
              <w:jc w:val="center"/>
              <w:rPr>
                <w:b/>
                <w:color w:val="000000"/>
              </w:rPr>
            </w:pPr>
            <w:r>
              <w:rPr>
                <w:b/>
                <w:color w:val="000000"/>
              </w:rPr>
              <w:t>SP3</w:t>
            </w:r>
          </w:p>
        </w:tc>
        <w:tc>
          <w:tcPr>
            <w:tcW w:w="1643" w:type="dxa"/>
            <w:tcBorders>
              <w:top w:val="single" w:sz="4" w:space="0" w:color="auto"/>
              <w:left w:val="single" w:sz="4" w:space="0" w:color="auto"/>
              <w:bottom w:val="single" w:sz="4" w:space="0" w:color="auto"/>
              <w:right w:val="single" w:sz="4" w:space="0" w:color="auto"/>
            </w:tcBorders>
            <w:vAlign w:val="bottom"/>
          </w:tcPr>
          <w:p w14:paraId="7E9E29E6" w14:textId="77777777" w:rsidR="00565EA1" w:rsidRDefault="00565EA1" w:rsidP="00150C7F">
            <w:pPr>
              <w:spacing w:before="120" w:after="120"/>
              <w:jc w:val="center"/>
              <w:rPr>
                <w:color w:val="000000"/>
              </w:rPr>
            </w:pPr>
            <w:r>
              <w:rPr>
                <w:color w:val="000000"/>
              </w:rPr>
              <w:t>0.252</w:t>
            </w:r>
          </w:p>
        </w:tc>
        <w:tc>
          <w:tcPr>
            <w:tcW w:w="1640" w:type="dxa"/>
            <w:tcBorders>
              <w:top w:val="single" w:sz="4" w:space="0" w:color="auto"/>
              <w:left w:val="single" w:sz="4" w:space="0" w:color="auto"/>
              <w:bottom w:val="single" w:sz="4" w:space="0" w:color="auto"/>
              <w:right w:val="single" w:sz="4" w:space="0" w:color="auto"/>
            </w:tcBorders>
            <w:vAlign w:val="bottom"/>
          </w:tcPr>
          <w:p w14:paraId="14BA5544" w14:textId="77777777" w:rsidR="00565EA1" w:rsidRDefault="00565EA1" w:rsidP="00150C7F">
            <w:pPr>
              <w:spacing w:before="120" w:after="120"/>
              <w:jc w:val="center"/>
              <w:rPr>
                <w:color w:val="000000"/>
              </w:rPr>
            </w:pPr>
            <w:r>
              <w:rPr>
                <w:color w:val="000000"/>
              </w:rPr>
              <w:t>0.147</w:t>
            </w:r>
          </w:p>
        </w:tc>
        <w:tc>
          <w:tcPr>
            <w:tcW w:w="1763" w:type="dxa"/>
            <w:tcBorders>
              <w:top w:val="single" w:sz="4" w:space="0" w:color="auto"/>
              <w:left w:val="single" w:sz="4" w:space="0" w:color="auto"/>
              <w:bottom w:val="single" w:sz="4" w:space="0" w:color="auto"/>
              <w:right w:val="single" w:sz="4" w:space="0" w:color="auto"/>
            </w:tcBorders>
            <w:vAlign w:val="bottom"/>
          </w:tcPr>
          <w:p w14:paraId="4B65DD28" w14:textId="77777777" w:rsidR="00565EA1" w:rsidRDefault="00565EA1" w:rsidP="00150C7F">
            <w:pPr>
              <w:spacing w:before="120" w:after="120"/>
              <w:jc w:val="center"/>
              <w:rPr>
                <w:color w:val="000000"/>
              </w:rPr>
            </w:pPr>
            <w:r>
              <w:rPr>
                <w:color w:val="000000"/>
              </w:rPr>
              <w:t>0.152</w:t>
            </w:r>
          </w:p>
        </w:tc>
        <w:tc>
          <w:tcPr>
            <w:tcW w:w="1560" w:type="dxa"/>
            <w:tcBorders>
              <w:top w:val="single" w:sz="4" w:space="0" w:color="auto"/>
              <w:left w:val="single" w:sz="4" w:space="0" w:color="auto"/>
              <w:bottom w:val="single" w:sz="4" w:space="0" w:color="auto"/>
              <w:right w:val="single" w:sz="4" w:space="0" w:color="auto"/>
            </w:tcBorders>
            <w:vAlign w:val="bottom"/>
          </w:tcPr>
          <w:p w14:paraId="1DE21E00" w14:textId="77777777" w:rsidR="00565EA1" w:rsidRDefault="00565EA1" w:rsidP="00150C7F">
            <w:pPr>
              <w:spacing w:before="120" w:after="120"/>
              <w:jc w:val="center"/>
              <w:rPr>
                <w:b/>
                <w:color w:val="000000"/>
              </w:rPr>
            </w:pPr>
            <w:r>
              <w:rPr>
                <w:b/>
                <w:color w:val="000000"/>
              </w:rPr>
              <w:t>0.653</w:t>
            </w:r>
          </w:p>
        </w:tc>
      </w:tr>
    </w:tbl>
    <w:p w14:paraId="00000072" w14:textId="77777777" w:rsidR="00E07592" w:rsidRDefault="00E07592">
      <w:pPr>
        <w:rPr>
          <w:b/>
        </w:rPr>
      </w:pPr>
    </w:p>
    <w:p w14:paraId="00000076" w14:textId="77777777" w:rsidR="00E07592" w:rsidRDefault="00C67442">
      <w:pPr>
        <w:spacing w:before="120" w:after="120" w:line="360" w:lineRule="auto"/>
        <w:jc w:val="both"/>
        <w:rPr>
          <w:b/>
        </w:rPr>
      </w:pPr>
      <w:r>
        <w:rPr>
          <w:b/>
        </w:rPr>
        <w:t>4.3. Hypothesis Testing</w:t>
      </w:r>
    </w:p>
    <w:p w14:paraId="00000077" w14:textId="7D409DDD" w:rsidR="00E07592" w:rsidRDefault="00C67442">
      <w:pPr>
        <w:spacing w:before="120" w:after="120" w:line="360" w:lineRule="auto"/>
        <w:jc w:val="both"/>
      </w:pPr>
      <w:r>
        <w:t xml:space="preserve">Given that the conceptual model includes mediation and moderation, we tested the structural model for hypothesized direct </w:t>
      </w:r>
      <w:r w:rsidR="00565EA1">
        <w:t xml:space="preserve">(Fig. 2a) </w:t>
      </w:r>
      <w:r>
        <w:t>and indirect effects</w:t>
      </w:r>
      <w:r w:rsidR="00565EA1">
        <w:t xml:space="preserve"> (Fig. 2b)</w:t>
      </w:r>
      <w:r>
        <w:t xml:space="preserve">. Results are summarized in </w:t>
      </w:r>
      <w:r w:rsidRPr="00565EA1">
        <w:rPr>
          <w:u w:val="single"/>
        </w:rPr>
        <w:t xml:space="preserve">Table </w:t>
      </w:r>
      <w:r w:rsidR="00565EA1" w:rsidRPr="00565EA1">
        <w:rPr>
          <w:u w:val="single"/>
        </w:rPr>
        <w:t>7</w:t>
      </w:r>
      <w:r>
        <w:t>. The findings confirm that EP negatively influence SP (H1: β= -0.237; P= 0.003&lt;0.01; f²= 0.023). EP positively influences EMP (β= 0.771; P= 0.000&lt;0.01; f²= 1.464), and EMP positively impacts SP (β= 0.346; P= 0.034&lt;0.05; f²= 0.081). The indirect effect of EP on SP via EMP is significant (H2: β= 0.276; P= 0.038&lt;0.05), supporting EMP’s mediating role.</w:t>
      </w:r>
    </w:p>
    <w:p w14:paraId="00000078" w14:textId="5FA86A2F" w:rsidR="00E07592" w:rsidRDefault="00C67442">
      <w:pPr>
        <w:spacing w:before="120" w:after="120" w:line="360" w:lineRule="auto"/>
        <w:ind w:firstLine="720"/>
        <w:jc w:val="both"/>
      </w:pPr>
      <w:r>
        <w:lastRenderedPageBreak/>
        <w:t>EP positively influences SDG adoption (β= 0.248; P= 0.001&lt;0.01; f²= 0.063), but SDG adoption negatively influences SP (β= -0.377; P= 0.001&lt;0.01; f²= 0.033). The indirect effect of EP on SP via SDG adoption is significant and negative (H3: β= -0.093; P= 0.017&lt;0.05). EMP positively impacts SDG adoption (β= 0.570; P= 0.000&lt;0.01; f²= 0.332), and the indirect effect of EMP on SP through SDG adoption is also negative and significant (H4: β= -0.214; P= 0.003&lt;0.01). Moderation analysis indicates that SDG adoption s</w:t>
      </w:r>
      <w:r>
        <w:t>ignificantly strengthens the positive impact of EP on SP (H5: β = 0.324; P = 0.000 &lt; 0.01). However, the moderating effect of SDG adoption on the relationship between EMP and SP is non-significant (H6: β= 0.057; P= 0.399&gt;0.1). Finally, the control variables have distinct effects on SP. Firm size (measured by revenue) positively influences SP (β= 0.106; P= 0.008&lt;0.01), whereas the level of economic development (proxied by GN</w:t>
      </w:r>
      <w:r w:rsidR="00365E3A">
        <w:t>I</w:t>
      </w:r>
      <w:r>
        <w:t xml:space="preserve"> per capita) negatively affects SP (β= -0.106; P= 0.000&lt;0.01).</w:t>
      </w:r>
    </w:p>
    <w:p w14:paraId="1EC5C639" w14:textId="63EFB927" w:rsidR="00C806BF" w:rsidRDefault="00C806BF" w:rsidP="00C806BF">
      <w:pPr>
        <w:spacing w:before="120" w:after="120" w:line="360" w:lineRule="auto"/>
        <w:jc w:val="center"/>
      </w:pPr>
      <w:r w:rsidRPr="00C806BF">
        <w:rPr>
          <w:noProof/>
        </w:rPr>
        <w:drawing>
          <wp:inline distT="0" distB="0" distL="0" distR="0" wp14:anchorId="7E9F020D" wp14:editId="351EBAB6">
            <wp:extent cx="5943448" cy="4851133"/>
            <wp:effectExtent l="0" t="0" r="635" b="635"/>
            <wp:docPr id="1602319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96145" name=""/>
                    <pic:cNvPicPr/>
                  </pic:nvPicPr>
                  <pic:blipFill rotWithShape="1">
                    <a:blip r:embed="rId12"/>
                    <a:srcRect t="4225" b="7054"/>
                    <a:stretch/>
                  </pic:blipFill>
                  <pic:spPr bwMode="auto">
                    <a:xfrm>
                      <a:off x="0" y="0"/>
                      <a:ext cx="5943600" cy="4851257"/>
                    </a:xfrm>
                    <a:prstGeom prst="rect">
                      <a:avLst/>
                    </a:prstGeom>
                    <a:ln>
                      <a:noFill/>
                    </a:ln>
                    <a:extLst>
                      <a:ext uri="{53640926-AAD7-44D8-BBD7-CCE9431645EC}">
                        <a14:shadowObscured xmlns:a14="http://schemas.microsoft.com/office/drawing/2010/main"/>
                      </a:ext>
                    </a:extLst>
                  </pic:spPr>
                </pic:pic>
              </a:graphicData>
            </a:graphic>
          </wp:inline>
        </w:drawing>
      </w:r>
    </w:p>
    <w:p w14:paraId="2EC16856" w14:textId="5472D3BC" w:rsidR="00C806BF" w:rsidRPr="00C806BF" w:rsidRDefault="00C806BF" w:rsidP="00C806BF">
      <w:pPr>
        <w:spacing w:before="120" w:after="120" w:line="360" w:lineRule="auto"/>
        <w:ind w:firstLine="720"/>
        <w:jc w:val="center"/>
        <w:rPr>
          <w:i/>
          <w:iCs/>
        </w:rPr>
      </w:pPr>
      <w:r w:rsidRPr="00C806BF">
        <w:rPr>
          <w:i/>
          <w:iCs/>
        </w:rPr>
        <w:t>Figure 2a. Structural model – Direct effect.</w:t>
      </w:r>
    </w:p>
    <w:p w14:paraId="544E2939" w14:textId="2117F291" w:rsidR="00565EA1" w:rsidRDefault="00565EA1" w:rsidP="00565EA1">
      <w:pPr>
        <w:rPr>
          <w:i/>
        </w:rPr>
      </w:pPr>
      <w:r>
        <w:rPr>
          <w:b/>
        </w:rPr>
        <w:lastRenderedPageBreak/>
        <w:t xml:space="preserve">Table 7. </w:t>
      </w:r>
      <w:r>
        <w:rPr>
          <w:i/>
        </w:rPr>
        <w:t xml:space="preserve">Summary of </w:t>
      </w:r>
      <w:sdt>
        <w:sdtPr>
          <w:tag w:val="goog_rdk_247"/>
          <w:id w:val="-1216343957"/>
        </w:sdtPr>
        <w:sdtEndPr/>
        <w:sdtContent>
          <w:r>
            <w:rPr>
              <w:i/>
            </w:rPr>
            <w:t>Hypothesis</w:t>
          </w:r>
        </w:sdtContent>
      </w:sdt>
      <w:r>
        <w:rPr>
          <w:i/>
        </w:rPr>
        <w:t xml:space="preserve"> Testing</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3"/>
        <w:gridCol w:w="991"/>
        <w:gridCol w:w="1131"/>
        <w:gridCol w:w="1131"/>
        <w:gridCol w:w="1034"/>
      </w:tblGrid>
      <w:tr w:rsidR="00565EA1" w14:paraId="7CEDCC34" w14:textId="77777777" w:rsidTr="00565EA1">
        <w:trPr>
          <w:trHeight w:val="389"/>
        </w:trPr>
        <w:tc>
          <w:tcPr>
            <w:tcW w:w="5073" w:type="dxa"/>
            <w:tcBorders>
              <w:top w:val="single" w:sz="12" w:space="0" w:color="000000"/>
              <w:left w:val="single" w:sz="4" w:space="0" w:color="auto"/>
              <w:bottom w:val="single" w:sz="12" w:space="0" w:color="000000"/>
              <w:right w:val="single" w:sz="4" w:space="0" w:color="FFFFFF"/>
            </w:tcBorders>
            <w:vAlign w:val="center"/>
          </w:tcPr>
          <w:p w14:paraId="559061E6" w14:textId="77777777" w:rsidR="00565EA1" w:rsidRDefault="00565EA1" w:rsidP="00150C7F">
            <w:pPr>
              <w:jc w:val="center"/>
              <w:rPr>
                <w:b/>
                <w:i/>
              </w:rPr>
            </w:pPr>
            <w:bookmarkStart w:id="4" w:name="_heading=h.phw5unvlqoo" w:colFirst="0" w:colLast="0"/>
            <w:bookmarkEnd w:id="4"/>
            <w:r>
              <w:rPr>
                <w:b/>
                <w:i/>
              </w:rPr>
              <w:t>Path</w:t>
            </w:r>
          </w:p>
        </w:tc>
        <w:tc>
          <w:tcPr>
            <w:tcW w:w="991" w:type="dxa"/>
            <w:tcBorders>
              <w:top w:val="single" w:sz="12" w:space="0" w:color="000000"/>
              <w:left w:val="single" w:sz="4" w:space="0" w:color="FFFFFF"/>
              <w:bottom w:val="single" w:sz="12" w:space="0" w:color="000000"/>
              <w:right w:val="single" w:sz="4" w:space="0" w:color="FFFFFF"/>
            </w:tcBorders>
            <w:vAlign w:val="center"/>
          </w:tcPr>
          <w:p w14:paraId="1F088781" w14:textId="77777777" w:rsidR="00565EA1" w:rsidRDefault="00565EA1" w:rsidP="00150C7F">
            <w:pPr>
              <w:jc w:val="center"/>
              <w:rPr>
                <w:b/>
                <w:i/>
              </w:rPr>
            </w:pPr>
            <w:r>
              <w:rPr>
                <w:b/>
                <w:i/>
              </w:rPr>
              <w:t>β</w:t>
            </w:r>
          </w:p>
        </w:tc>
        <w:tc>
          <w:tcPr>
            <w:tcW w:w="1131" w:type="dxa"/>
            <w:tcBorders>
              <w:top w:val="single" w:sz="12" w:space="0" w:color="000000"/>
              <w:left w:val="single" w:sz="4" w:space="0" w:color="FFFFFF"/>
              <w:bottom w:val="single" w:sz="12" w:space="0" w:color="000000"/>
              <w:right w:val="single" w:sz="4" w:space="0" w:color="FFFFFF"/>
            </w:tcBorders>
            <w:vAlign w:val="center"/>
          </w:tcPr>
          <w:p w14:paraId="25431643" w14:textId="77777777" w:rsidR="00565EA1" w:rsidRDefault="00565EA1" w:rsidP="00150C7F">
            <w:pPr>
              <w:jc w:val="center"/>
              <w:rPr>
                <w:b/>
                <w:i/>
              </w:rPr>
            </w:pPr>
            <w:r>
              <w:rPr>
                <w:b/>
                <w:i/>
              </w:rPr>
              <w:t>SD</w:t>
            </w:r>
          </w:p>
        </w:tc>
        <w:tc>
          <w:tcPr>
            <w:tcW w:w="1131" w:type="dxa"/>
            <w:tcBorders>
              <w:top w:val="single" w:sz="12" w:space="0" w:color="000000"/>
              <w:left w:val="single" w:sz="4" w:space="0" w:color="FFFFFF"/>
              <w:bottom w:val="single" w:sz="12" w:space="0" w:color="000000"/>
              <w:right w:val="single" w:sz="4" w:space="0" w:color="FFFFFF"/>
            </w:tcBorders>
            <w:vAlign w:val="center"/>
          </w:tcPr>
          <w:p w14:paraId="19B9DD3C" w14:textId="77777777" w:rsidR="00565EA1" w:rsidRDefault="00565EA1" w:rsidP="00150C7F">
            <w:pPr>
              <w:jc w:val="center"/>
              <w:rPr>
                <w:b/>
                <w:i/>
              </w:rPr>
            </w:pPr>
            <w:r>
              <w:rPr>
                <w:b/>
                <w:i/>
              </w:rPr>
              <w:t>P-value</w:t>
            </w:r>
          </w:p>
        </w:tc>
        <w:tc>
          <w:tcPr>
            <w:tcW w:w="1034" w:type="dxa"/>
            <w:tcBorders>
              <w:top w:val="single" w:sz="12" w:space="0" w:color="000000"/>
              <w:left w:val="single" w:sz="4" w:space="0" w:color="FFFFFF"/>
              <w:bottom w:val="single" w:sz="12" w:space="0" w:color="000000"/>
              <w:right w:val="single" w:sz="4" w:space="0" w:color="auto"/>
            </w:tcBorders>
            <w:vAlign w:val="center"/>
          </w:tcPr>
          <w:p w14:paraId="0A6918EC" w14:textId="77777777" w:rsidR="00565EA1" w:rsidRDefault="00565EA1" w:rsidP="00150C7F">
            <w:pPr>
              <w:jc w:val="center"/>
              <w:rPr>
                <w:b/>
                <w:i/>
              </w:rPr>
            </w:pPr>
            <w:r>
              <w:rPr>
                <w:b/>
                <w:i/>
              </w:rPr>
              <w:t>f</w:t>
            </w:r>
            <w:r>
              <w:rPr>
                <w:b/>
                <w:i/>
                <w:vertAlign w:val="superscript"/>
              </w:rPr>
              <w:t>2</w:t>
            </w:r>
          </w:p>
        </w:tc>
      </w:tr>
      <w:tr w:rsidR="00565EA1" w14:paraId="6F72E1C3" w14:textId="77777777" w:rsidTr="00565EA1">
        <w:trPr>
          <w:trHeight w:val="461"/>
        </w:trPr>
        <w:tc>
          <w:tcPr>
            <w:tcW w:w="5073" w:type="dxa"/>
            <w:tcBorders>
              <w:top w:val="single" w:sz="12" w:space="0" w:color="000000"/>
              <w:left w:val="single" w:sz="4" w:space="0" w:color="auto"/>
              <w:right w:val="single" w:sz="4" w:space="0" w:color="FFFFFF"/>
            </w:tcBorders>
            <w:vAlign w:val="center"/>
          </w:tcPr>
          <w:p w14:paraId="49BFE91E" w14:textId="77777777" w:rsidR="00565EA1" w:rsidRDefault="00565EA1" w:rsidP="00150C7F">
            <w:pPr>
              <w:jc w:val="center"/>
              <w:rPr>
                <w:b/>
                <w:i/>
              </w:rPr>
            </w:pPr>
            <w:r>
              <w:rPr>
                <w:b/>
                <w:i/>
              </w:rPr>
              <w:t>Linking EP, EMP, and SP</w:t>
            </w:r>
          </w:p>
        </w:tc>
        <w:tc>
          <w:tcPr>
            <w:tcW w:w="4287" w:type="dxa"/>
            <w:gridSpan w:val="4"/>
            <w:tcBorders>
              <w:top w:val="single" w:sz="12" w:space="0" w:color="000000"/>
              <w:left w:val="single" w:sz="4" w:space="0" w:color="FFFFFF"/>
              <w:bottom w:val="single" w:sz="4" w:space="0" w:color="000000"/>
              <w:right w:val="single" w:sz="4" w:space="0" w:color="auto"/>
            </w:tcBorders>
            <w:vAlign w:val="center"/>
          </w:tcPr>
          <w:p w14:paraId="625EF1E6" w14:textId="77777777" w:rsidR="00565EA1" w:rsidRDefault="00565EA1" w:rsidP="00150C7F">
            <w:pPr>
              <w:rPr>
                <w:i/>
              </w:rPr>
            </w:pPr>
          </w:p>
        </w:tc>
      </w:tr>
      <w:tr w:rsidR="00565EA1" w14:paraId="127C6E6E" w14:textId="77777777" w:rsidTr="00565EA1">
        <w:trPr>
          <w:trHeight w:val="412"/>
        </w:trPr>
        <w:tc>
          <w:tcPr>
            <w:tcW w:w="5073" w:type="dxa"/>
            <w:tcBorders>
              <w:left w:val="single" w:sz="4" w:space="0" w:color="auto"/>
              <w:right w:val="single" w:sz="4" w:space="0" w:color="FFFFFF"/>
            </w:tcBorders>
            <w:vAlign w:val="center"/>
          </w:tcPr>
          <w:p w14:paraId="254BF48C" w14:textId="77777777" w:rsidR="00565EA1" w:rsidRDefault="00565EA1" w:rsidP="00150C7F">
            <w:pPr>
              <w:rPr>
                <w:b/>
                <w:sz w:val="20"/>
                <w:szCs w:val="20"/>
              </w:rPr>
            </w:pPr>
            <w:r>
              <w:rPr>
                <w:b/>
                <w:sz w:val="20"/>
                <w:szCs w:val="20"/>
              </w:rPr>
              <w:t>Hypothesis 1</w:t>
            </w:r>
          </w:p>
        </w:tc>
        <w:tc>
          <w:tcPr>
            <w:tcW w:w="991" w:type="dxa"/>
            <w:tcBorders>
              <w:top w:val="single" w:sz="4" w:space="0" w:color="000000"/>
              <w:left w:val="single" w:sz="4" w:space="0" w:color="FFFFFF"/>
              <w:bottom w:val="nil"/>
              <w:right w:val="nil"/>
            </w:tcBorders>
            <w:vAlign w:val="center"/>
          </w:tcPr>
          <w:p w14:paraId="6DF15854" w14:textId="77777777" w:rsidR="00565EA1" w:rsidRDefault="00565EA1" w:rsidP="00150C7F">
            <w:pPr>
              <w:jc w:val="center"/>
              <w:rPr>
                <w:i/>
                <w:sz w:val="20"/>
                <w:szCs w:val="20"/>
              </w:rPr>
            </w:pPr>
          </w:p>
        </w:tc>
        <w:tc>
          <w:tcPr>
            <w:tcW w:w="1131" w:type="dxa"/>
            <w:tcBorders>
              <w:top w:val="single" w:sz="4" w:space="0" w:color="000000"/>
              <w:left w:val="nil"/>
              <w:bottom w:val="nil"/>
              <w:right w:val="nil"/>
            </w:tcBorders>
            <w:vAlign w:val="center"/>
          </w:tcPr>
          <w:p w14:paraId="5ED67491" w14:textId="77777777" w:rsidR="00565EA1" w:rsidRDefault="00565EA1" w:rsidP="00150C7F">
            <w:pPr>
              <w:jc w:val="center"/>
              <w:rPr>
                <w:i/>
                <w:sz w:val="20"/>
                <w:szCs w:val="20"/>
              </w:rPr>
            </w:pPr>
          </w:p>
        </w:tc>
        <w:tc>
          <w:tcPr>
            <w:tcW w:w="1131" w:type="dxa"/>
            <w:tcBorders>
              <w:top w:val="single" w:sz="4" w:space="0" w:color="000000"/>
              <w:left w:val="nil"/>
              <w:bottom w:val="nil"/>
              <w:right w:val="nil"/>
            </w:tcBorders>
            <w:vAlign w:val="center"/>
          </w:tcPr>
          <w:p w14:paraId="6442C7A6" w14:textId="77777777" w:rsidR="00565EA1" w:rsidRDefault="00565EA1" w:rsidP="00150C7F">
            <w:pPr>
              <w:jc w:val="center"/>
              <w:rPr>
                <w:i/>
                <w:sz w:val="20"/>
                <w:szCs w:val="20"/>
              </w:rPr>
            </w:pPr>
          </w:p>
        </w:tc>
        <w:tc>
          <w:tcPr>
            <w:tcW w:w="1034" w:type="dxa"/>
            <w:tcBorders>
              <w:top w:val="single" w:sz="4" w:space="0" w:color="000000"/>
              <w:left w:val="nil"/>
              <w:bottom w:val="nil"/>
              <w:right w:val="single" w:sz="4" w:space="0" w:color="auto"/>
            </w:tcBorders>
            <w:vAlign w:val="center"/>
          </w:tcPr>
          <w:p w14:paraId="70F21780" w14:textId="77777777" w:rsidR="00565EA1" w:rsidRDefault="00565EA1" w:rsidP="00150C7F">
            <w:pPr>
              <w:jc w:val="center"/>
              <w:rPr>
                <w:i/>
                <w:sz w:val="20"/>
                <w:szCs w:val="20"/>
              </w:rPr>
            </w:pPr>
          </w:p>
        </w:tc>
      </w:tr>
      <w:tr w:rsidR="00565EA1" w14:paraId="6B47C581" w14:textId="77777777" w:rsidTr="00565EA1">
        <w:trPr>
          <w:trHeight w:val="412"/>
        </w:trPr>
        <w:tc>
          <w:tcPr>
            <w:tcW w:w="5073" w:type="dxa"/>
            <w:tcBorders>
              <w:left w:val="single" w:sz="4" w:space="0" w:color="auto"/>
              <w:right w:val="single" w:sz="4" w:space="0" w:color="FFFFFF"/>
            </w:tcBorders>
            <w:vAlign w:val="center"/>
          </w:tcPr>
          <w:p w14:paraId="4AA53F36" w14:textId="77777777" w:rsidR="00565EA1" w:rsidRDefault="00565EA1" w:rsidP="00150C7F">
            <w:pPr>
              <w:rPr>
                <w:sz w:val="20"/>
                <w:szCs w:val="20"/>
              </w:rPr>
            </w:pPr>
            <w:r>
              <w:rPr>
                <w:sz w:val="20"/>
                <w:szCs w:val="20"/>
              </w:rPr>
              <w:t xml:space="preserve">EP </w:t>
            </w:r>
            <w:r>
              <w:rPr>
                <w:sz w:val="18"/>
                <w:szCs w:val="18"/>
              </w:rPr>
              <w:sym w:font="Symbol" w:char="F0AE"/>
            </w:r>
            <w:r>
              <w:rPr>
                <w:sz w:val="20"/>
                <w:szCs w:val="20"/>
              </w:rPr>
              <w:t xml:space="preserve"> SP</w:t>
            </w:r>
          </w:p>
        </w:tc>
        <w:tc>
          <w:tcPr>
            <w:tcW w:w="991" w:type="dxa"/>
            <w:tcBorders>
              <w:top w:val="single" w:sz="4" w:space="0" w:color="000000"/>
              <w:left w:val="single" w:sz="4" w:space="0" w:color="FFFFFF"/>
              <w:bottom w:val="nil"/>
              <w:right w:val="nil"/>
            </w:tcBorders>
            <w:vAlign w:val="center"/>
          </w:tcPr>
          <w:p w14:paraId="4076DEDF" w14:textId="77777777" w:rsidR="00565EA1" w:rsidRDefault="00565EA1" w:rsidP="00150C7F">
            <w:pPr>
              <w:jc w:val="center"/>
              <w:rPr>
                <w:b/>
                <w:color w:val="000000"/>
                <w:sz w:val="20"/>
                <w:szCs w:val="20"/>
              </w:rPr>
            </w:pPr>
            <w:r>
              <w:rPr>
                <w:b/>
                <w:color w:val="000000"/>
                <w:sz w:val="20"/>
                <w:szCs w:val="20"/>
              </w:rPr>
              <w:t>-0.237</w:t>
            </w:r>
          </w:p>
        </w:tc>
        <w:tc>
          <w:tcPr>
            <w:tcW w:w="1131" w:type="dxa"/>
            <w:tcBorders>
              <w:top w:val="single" w:sz="4" w:space="0" w:color="000000"/>
              <w:left w:val="nil"/>
              <w:bottom w:val="nil"/>
              <w:right w:val="nil"/>
            </w:tcBorders>
            <w:vAlign w:val="center"/>
          </w:tcPr>
          <w:p w14:paraId="2B50EC33" w14:textId="77777777" w:rsidR="00565EA1" w:rsidRDefault="00565EA1" w:rsidP="00150C7F">
            <w:pPr>
              <w:jc w:val="center"/>
              <w:rPr>
                <w:color w:val="000000"/>
                <w:sz w:val="20"/>
                <w:szCs w:val="20"/>
              </w:rPr>
            </w:pPr>
            <w:r>
              <w:rPr>
                <w:color w:val="000000"/>
                <w:sz w:val="20"/>
                <w:szCs w:val="20"/>
              </w:rPr>
              <w:t>0.079</w:t>
            </w:r>
          </w:p>
        </w:tc>
        <w:tc>
          <w:tcPr>
            <w:tcW w:w="1131" w:type="dxa"/>
            <w:tcBorders>
              <w:top w:val="single" w:sz="4" w:space="0" w:color="000000"/>
              <w:left w:val="nil"/>
              <w:bottom w:val="nil"/>
              <w:right w:val="nil"/>
            </w:tcBorders>
            <w:vAlign w:val="center"/>
          </w:tcPr>
          <w:p w14:paraId="5A823C8A" w14:textId="77777777" w:rsidR="00565EA1" w:rsidRDefault="00565EA1" w:rsidP="00150C7F">
            <w:pPr>
              <w:jc w:val="center"/>
              <w:rPr>
                <w:b/>
                <w:color w:val="00B050"/>
                <w:sz w:val="20"/>
                <w:szCs w:val="20"/>
              </w:rPr>
            </w:pPr>
            <w:r>
              <w:rPr>
                <w:b/>
                <w:color w:val="00B050"/>
                <w:sz w:val="20"/>
                <w:szCs w:val="20"/>
              </w:rPr>
              <w:t>0.003</w:t>
            </w:r>
          </w:p>
        </w:tc>
        <w:tc>
          <w:tcPr>
            <w:tcW w:w="1034" w:type="dxa"/>
            <w:tcBorders>
              <w:top w:val="single" w:sz="4" w:space="0" w:color="000000"/>
              <w:left w:val="nil"/>
              <w:bottom w:val="nil"/>
              <w:right w:val="single" w:sz="4" w:space="0" w:color="auto"/>
            </w:tcBorders>
            <w:vAlign w:val="center"/>
          </w:tcPr>
          <w:p w14:paraId="51595612" w14:textId="77777777" w:rsidR="00565EA1" w:rsidRDefault="00565EA1" w:rsidP="00150C7F">
            <w:pPr>
              <w:jc w:val="center"/>
              <w:rPr>
                <w:color w:val="000000"/>
                <w:sz w:val="20"/>
                <w:szCs w:val="20"/>
              </w:rPr>
            </w:pPr>
            <w:r>
              <w:rPr>
                <w:color w:val="000000"/>
                <w:sz w:val="20"/>
                <w:szCs w:val="20"/>
              </w:rPr>
              <w:t>0.023</w:t>
            </w:r>
          </w:p>
        </w:tc>
      </w:tr>
      <w:tr w:rsidR="00565EA1" w14:paraId="3105A90C" w14:textId="77777777" w:rsidTr="00565EA1">
        <w:trPr>
          <w:trHeight w:val="412"/>
        </w:trPr>
        <w:tc>
          <w:tcPr>
            <w:tcW w:w="5073" w:type="dxa"/>
            <w:tcBorders>
              <w:left w:val="single" w:sz="4" w:space="0" w:color="auto"/>
              <w:right w:val="single" w:sz="4" w:space="0" w:color="FFFFFF"/>
            </w:tcBorders>
            <w:vAlign w:val="center"/>
          </w:tcPr>
          <w:p w14:paraId="3B70E551" w14:textId="77777777" w:rsidR="00565EA1" w:rsidRDefault="00565EA1" w:rsidP="00150C7F">
            <w:pPr>
              <w:rPr>
                <w:b/>
                <w:sz w:val="20"/>
                <w:szCs w:val="20"/>
              </w:rPr>
            </w:pPr>
            <w:r>
              <w:rPr>
                <w:b/>
                <w:sz w:val="20"/>
                <w:szCs w:val="20"/>
              </w:rPr>
              <w:t>Hypothesis 2</w:t>
            </w:r>
          </w:p>
        </w:tc>
        <w:tc>
          <w:tcPr>
            <w:tcW w:w="991" w:type="dxa"/>
            <w:tcBorders>
              <w:top w:val="single" w:sz="4" w:space="0" w:color="000000"/>
              <w:left w:val="single" w:sz="4" w:space="0" w:color="FFFFFF"/>
              <w:bottom w:val="nil"/>
              <w:right w:val="nil"/>
            </w:tcBorders>
            <w:vAlign w:val="center"/>
          </w:tcPr>
          <w:p w14:paraId="751A2D37" w14:textId="77777777" w:rsidR="00565EA1" w:rsidRDefault="00565EA1" w:rsidP="00150C7F">
            <w:pPr>
              <w:jc w:val="center"/>
              <w:rPr>
                <w:b/>
                <w:color w:val="000000"/>
                <w:sz w:val="20"/>
                <w:szCs w:val="20"/>
              </w:rPr>
            </w:pPr>
          </w:p>
        </w:tc>
        <w:tc>
          <w:tcPr>
            <w:tcW w:w="1131" w:type="dxa"/>
            <w:tcBorders>
              <w:top w:val="single" w:sz="4" w:space="0" w:color="000000"/>
              <w:left w:val="nil"/>
              <w:bottom w:val="nil"/>
              <w:right w:val="nil"/>
            </w:tcBorders>
            <w:vAlign w:val="center"/>
          </w:tcPr>
          <w:p w14:paraId="08457A30" w14:textId="77777777" w:rsidR="00565EA1" w:rsidRDefault="00565EA1" w:rsidP="00150C7F">
            <w:pPr>
              <w:jc w:val="center"/>
              <w:rPr>
                <w:color w:val="000000"/>
                <w:sz w:val="20"/>
                <w:szCs w:val="20"/>
              </w:rPr>
            </w:pPr>
          </w:p>
        </w:tc>
        <w:tc>
          <w:tcPr>
            <w:tcW w:w="1131" w:type="dxa"/>
            <w:tcBorders>
              <w:top w:val="single" w:sz="4" w:space="0" w:color="000000"/>
              <w:left w:val="nil"/>
              <w:bottom w:val="nil"/>
              <w:right w:val="nil"/>
            </w:tcBorders>
            <w:vAlign w:val="center"/>
          </w:tcPr>
          <w:p w14:paraId="6C6D49CB" w14:textId="77777777" w:rsidR="00565EA1" w:rsidRDefault="00565EA1" w:rsidP="00150C7F">
            <w:pPr>
              <w:jc w:val="center"/>
              <w:rPr>
                <w:b/>
                <w:color w:val="00B050"/>
                <w:sz w:val="20"/>
                <w:szCs w:val="20"/>
              </w:rPr>
            </w:pPr>
          </w:p>
        </w:tc>
        <w:tc>
          <w:tcPr>
            <w:tcW w:w="1034" w:type="dxa"/>
            <w:tcBorders>
              <w:top w:val="single" w:sz="4" w:space="0" w:color="000000"/>
              <w:left w:val="nil"/>
              <w:bottom w:val="nil"/>
              <w:right w:val="single" w:sz="4" w:space="0" w:color="auto"/>
            </w:tcBorders>
            <w:vAlign w:val="center"/>
          </w:tcPr>
          <w:p w14:paraId="37B4E017" w14:textId="77777777" w:rsidR="00565EA1" w:rsidRDefault="00565EA1" w:rsidP="00150C7F">
            <w:pPr>
              <w:jc w:val="center"/>
              <w:rPr>
                <w:color w:val="000000"/>
                <w:sz w:val="20"/>
                <w:szCs w:val="20"/>
              </w:rPr>
            </w:pPr>
          </w:p>
        </w:tc>
      </w:tr>
      <w:tr w:rsidR="00565EA1" w14:paraId="2DDED283" w14:textId="77777777" w:rsidTr="00565EA1">
        <w:trPr>
          <w:trHeight w:val="559"/>
        </w:trPr>
        <w:tc>
          <w:tcPr>
            <w:tcW w:w="5073" w:type="dxa"/>
            <w:tcBorders>
              <w:left w:val="single" w:sz="4" w:space="0" w:color="auto"/>
              <w:right w:val="single" w:sz="4" w:space="0" w:color="FFFFFF"/>
            </w:tcBorders>
            <w:vAlign w:val="center"/>
          </w:tcPr>
          <w:p w14:paraId="41331145" w14:textId="77777777" w:rsidR="00565EA1" w:rsidRDefault="00565EA1" w:rsidP="00150C7F">
            <w:pPr>
              <w:rPr>
                <w:i/>
                <w:sz w:val="20"/>
                <w:szCs w:val="20"/>
              </w:rPr>
            </w:pPr>
            <w:r>
              <w:rPr>
                <w:sz w:val="20"/>
                <w:szCs w:val="20"/>
              </w:rPr>
              <w:t>EP</w:t>
            </w:r>
            <w:r>
              <w:rPr>
                <w:i/>
                <w:sz w:val="20"/>
                <w:szCs w:val="20"/>
              </w:rPr>
              <w:t xml:space="preserve"> </w:t>
            </w:r>
            <w:r>
              <w:rPr>
                <w:sz w:val="18"/>
                <w:szCs w:val="18"/>
              </w:rPr>
              <w:sym w:font="Symbol" w:char="F0AE"/>
            </w:r>
            <w:r>
              <w:rPr>
                <w:sz w:val="20"/>
                <w:szCs w:val="20"/>
              </w:rPr>
              <w:t xml:space="preserve"> EMP</w:t>
            </w:r>
          </w:p>
        </w:tc>
        <w:tc>
          <w:tcPr>
            <w:tcW w:w="991" w:type="dxa"/>
            <w:tcBorders>
              <w:top w:val="nil"/>
              <w:left w:val="single" w:sz="4" w:space="0" w:color="FFFFFF"/>
              <w:bottom w:val="nil"/>
              <w:right w:val="nil"/>
            </w:tcBorders>
            <w:vAlign w:val="center"/>
          </w:tcPr>
          <w:p w14:paraId="5F2A4AB9" w14:textId="77777777" w:rsidR="00565EA1" w:rsidRDefault="00565EA1" w:rsidP="00150C7F">
            <w:pPr>
              <w:jc w:val="center"/>
              <w:rPr>
                <w:i/>
                <w:sz w:val="20"/>
                <w:szCs w:val="20"/>
              </w:rPr>
            </w:pPr>
            <w:r>
              <w:rPr>
                <w:b/>
                <w:color w:val="000000"/>
                <w:sz w:val="20"/>
                <w:szCs w:val="20"/>
              </w:rPr>
              <w:t>0.771</w:t>
            </w:r>
          </w:p>
        </w:tc>
        <w:tc>
          <w:tcPr>
            <w:tcW w:w="1131" w:type="dxa"/>
            <w:tcBorders>
              <w:top w:val="nil"/>
              <w:left w:val="nil"/>
              <w:bottom w:val="nil"/>
              <w:right w:val="nil"/>
            </w:tcBorders>
            <w:vAlign w:val="center"/>
          </w:tcPr>
          <w:p w14:paraId="7481800F" w14:textId="77777777" w:rsidR="00565EA1" w:rsidRDefault="00565EA1" w:rsidP="00150C7F">
            <w:pPr>
              <w:jc w:val="center"/>
              <w:rPr>
                <w:i/>
                <w:sz w:val="20"/>
                <w:szCs w:val="20"/>
              </w:rPr>
            </w:pPr>
            <w:r>
              <w:rPr>
                <w:color w:val="000000"/>
                <w:sz w:val="20"/>
                <w:szCs w:val="20"/>
              </w:rPr>
              <w:t>0.034</w:t>
            </w:r>
          </w:p>
        </w:tc>
        <w:tc>
          <w:tcPr>
            <w:tcW w:w="1131" w:type="dxa"/>
            <w:tcBorders>
              <w:top w:val="nil"/>
              <w:left w:val="nil"/>
              <w:bottom w:val="nil"/>
              <w:right w:val="nil"/>
            </w:tcBorders>
            <w:vAlign w:val="center"/>
          </w:tcPr>
          <w:p w14:paraId="271AAC06" w14:textId="77777777" w:rsidR="00565EA1" w:rsidRDefault="00565EA1" w:rsidP="00150C7F">
            <w:pPr>
              <w:jc w:val="center"/>
              <w:rPr>
                <w:i/>
                <w:sz w:val="20"/>
                <w:szCs w:val="20"/>
              </w:rPr>
            </w:pPr>
            <w:r>
              <w:rPr>
                <w:b/>
                <w:color w:val="00B050"/>
                <w:sz w:val="20"/>
                <w:szCs w:val="20"/>
              </w:rPr>
              <w:t>0.000</w:t>
            </w:r>
          </w:p>
        </w:tc>
        <w:tc>
          <w:tcPr>
            <w:tcW w:w="1034" w:type="dxa"/>
            <w:tcBorders>
              <w:top w:val="nil"/>
              <w:left w:val="nil"/>
              <w:bottom w:val="nil"/>
              <w:right w:val="single" w:sz="4" w:space="0" w:color="auto"/>
            </w:tcBorders>
            <w:vAlign w:val="center"/>
          </w:tcPr>
          <w:p w14:paraId="45461D4C" w14:textId="77777777" w:rsidR="00565EA1" w:rsidRDefault="00565EA1" w:rsidP="00150C7F">
            <w:pPr>
              <w:jc w:val="center"/>
              <w:rPr>
                <w:i/>
                <w:sz w:val="20"/>
                <w:szCs w:val="20"/>
              </w:rPr>
            </w:pPr>
            <w:r>
              <w:rPr>
                <w:color w:val="000000"/>
                <w:sz w:val="20"/>
                <w:szCs w:val="20"/>
              </w:rPr>
              <w:t>1.464</w:t>
            </w:r>
          </w:p>
        </w:tc>
      </w:tr>
      <w:tr w:rsidR="00565EA1" w14:paraId="3BE41C3C" w14:textId="77777777" w:rsidTr="00565EA1">
        <w:trPr>
          <w:trHeight w:val="553"/>
        </w:trPr>
        <w:tc>
          <w:tcPr>
            <w:tcW w:w="5073" w:type="dxa"/>
            <w:tcBorders>
              <w:left w:val="single" w:sz="4" w:space="0" w:color="auto"/>
              <w:right w:val="single" w:sz="4" w:space="0" w:color="FFFFFF"/>
            </w:tcBorders>
            <w:vAlign w:val="center"/>
          </w:tcPr>
          <w:p w14:paraId="583EC6A0" w14:textId="77777777" w:rsidR="00565EA1" w:rsidRDefault="00565EA1" w:rsidP="00150C7F">
            <w:pPr>
              <w:rPr>
                <w:sz w:val="20"/>
                <w:szCs w:val="20"/>
              </w:rPr>
            </w:pPr>
            <w:r>
              <w:rPr>
                <w:sz w:val="20"/>
                <w:szCs w:val="20"/>
              </w:rPr>
              <w:t xml:space="preserve">EMP </w:t>
            </w:r>
            <w:r>
              <w:rPr>
                <w:sz w:val="18"/>
                <w:szCs w:val="18"/>
              </w:rPr>
              <w:sym w:font="Symbol" w:char="F0AE"/>
            </w:r>
            <w:r>
              <w:rPr>
                <w:sz w:val="20"/>
                <w:szCs w:val="20"/>
              </w:rPr>
              <w:t xml:space="preserve"> SP</w:t>
            </w:r>
          </w:p>
        </w:tc>
        <w:tc>
          <w:tcPr>
            <w:tcW w:w="991" w:type="dxa"/>
            <w:tcBorders>
              <w:top w:val="nil"/>
              <w:left w:val="single" w:sz="4" w:space="0" w:color="FFFFFF"/>
              <w:bottom w:val="nil"/>
              <w:right w:val="nil"/>
            </w:tcBorders>
            <w:vAlign w:val="center"/>
          </w:tcPr>
          <w:p w14:paraId="7B56DC8F" w14:textId="77777777" w:rsidR="00565EA1" w:rsidRDefault="00565EA1" w:rsidP="00150C7F">
            <w:pPr>
              <w:jc w:val="center"/>
              <w:rPr>
                <w:i/>
                <w:sz w:val="20"/>
                <w:szCs w:val="20"/>
              </w:rPr>
            </w:pPr>
            <w:r>
              <w:rPr>
                <w:b/>
                <w:color w:val="000000"/>
                <w:sz w:val="20"/>
                <w:szCs w:val="20"/>
              </w:rPr>
              <w:t>0.346</w:t>
            </w:r>
          </w:p>
        </w:tc>
        <w:tc>
          <w:tcPr>
            <w:tcW w:w="1131" w:type="dxa"/>
            <w:tcBorders>
              <w:top w:val="nil"/>
              <w:left w:val="nil"/>
              <w:bottom w:val="nil"/>
              <w:right w:val="nil"/>
            </w:tcBorders>
            <w:vAlign w:val="center"/>
          </w:tcPr>
          <w:p w14:paraId="4E58647E" w14:textId="77777777" w:rsidR="00565EA1" w:rsidRDefault="00565EA1" w:rsidP="00150C7F">
            <w:pPr>
              <w:jc w:val="center"/>
              <w:rPr>
                <w:i/>
                <w:sz w:val="20"/>
                <w:szCs w:val="20"/>
              </w:rPr>
            </w:pPr>
            <w:r>
              <w:rPr>
                <w:color w:val="000000"/>
                <w:sz w:val="20"/>
                <w:szCs w:val="20"/>
              </w:rPr>
              <w:t>0.163</w:t>
            </w:r>
          </w:p>
        </w:tc>
        <w:tc>
          <w:tcPr>
            <w:tcW w:w="1131" w:type="dxa"/>
            <w:tcBorders>
              <w:top w:val="nil"/>
              <w:left w:val="nil"/>
              <w:bottom w:val="nil"/>
              <w:right w:val="nil"/>
            </w:tcBorders>
            <w:vAlign w:val="center"/>
          </w:tcPr>
          <w:p w14:paraId="30140A12" w14:textId="77777777" w:rsidR="00565EA1" w:rsidRDefault="00565EA1" w:rsidP="00150C7F">
            <w:pPr>
              <w:jc w:val="center"/>
              <w:rPr>
                <w:i/>
                <w:sz w:val="20"/>
                <w:szCs w:val="20"/>
              </w:rPr>
            </w:pPr>
            <w:r>
              <w:rPr>
                <w:b/>
                <w:color w:val="00B050"/>
                <w:sz w:val="20"/>
                <w:szCs w:val="20"/>
              </w:rPr>
              <w:t>0.034</w:t>
            </w:r>
          </w:p>
        </w:tc>
        <w:tc>
          <w:tcPr>
            <w:tcW w:w="1034" w:type="dxa"/>
            <w:tcBorders>
              <w:top w:val="nil"/>
              <w:left w:val="nil"/>
              <w:bottom w:val="nil"/>
              <w:right w:val="single" w:sz="4" w:space="0" w:color="auto"/>
            </w:tcBorders>
            <w:vAlign w:val="center"/>
          </w:tcPr>
          <w:p w14:paraId="0BD31548" w14:textId="77777777" w:rsidR="00565EA1" w:rsidRDefault="00565EA1" w:rsidP="00150C7F">
            <w:pPr>
              <w:jc w:val="center"/>
              <w:rPr>
                <w:i/>
                <w:sz w:val="20"/>
                <w:szCs w:val="20"/>
              </w:rPr>
            </w:pPr>
            <w:r>
              <w:rPr>
                <w:color w:val="000000"/>
                <w:sz w:val="20"/>
                <w:szCs w:val="20"/>
              </w:rPr>
              <w:t>0.081</w:t>
            </w:r>
          </w:p>
        </w:tc>
      </w:tr>
      <w:tr w:rsidR="00565EA1" w14:paraId="0102196D" w14:textId="77777777" w:rsidTr="00565EA1">
        <w:trPr>
          <w:trHeight w:val="553"/>
        </w:trPr>
        <w:tc>
          <w:tcPr>
            <w:tcW w:w="5073" w:type="dxa"/>
            <w:tcBorders>
              <w:left w:val="single" w:sz="4" w:space="0" w:color="auto"/>
              <w:bottom w:val="single" w:sz="12" w:space="0" w:color="000000"/>
              <w:right w:val="single" w:sz="4" w:space="0" w:color="FFFFFF"/>
            </w:tcBorders>
            <w:vAlign w:val="center"/>
          </w:tcPr>
          <w:p w14:paraId="391C02AA" w14:textId="77777777" w:rsidR="00565EA1" w:rsidRDefault="00565EA1" w:rsidP="00150C7F">
            <w:pPr>
              <w:rPr>
                <w:sz w:val="20"/>
                <w:szCs w:val="20"/>
              </w:rPr>
            </w:pPr>
            <w:r>
              <w:rPr>
                <w:sz w:val="20"/>
                <w:szCs w:val="20"/>
              </w:rPr>
              <w:t xml:space="preserve">EP </w:t>
            </w:r>
            <w:r>
              <w:rPr>
                <w:sz w:val="18"/>
                <w:szCs w:val="18"/>
              </w:rPr>
              <w:sym w:font="Symbol" w:char="F0AE"/>
            </w:r>
            <w:r>
              <w:rPr>
                <w:sz w:val="18"/>
                <w:szCs w:val="18"/>
              </w:rPr>
              <w:t xml:space="preserve"> </w:t>
            </w:r>
            <w:r>
              <w:rPr>
                <w:sz w:val="20"/>
                <w:szCs w:val="20"/>
              </w:rPr>
              <w:t>EMP</w:t>
            </w:r>
            <w:r>
              <w:rPr>
                <w:sz w:val="18"/>
                <w:szCs w:val="18"/>
              </w:rPr>
              <w:t xml:space="preserve"> </w:t>
            </w:r>
            <w:r>
              <w:rPr>
                <w:sz w:val="18"/>
                <w:szCs w:val="18"/>
              </w:rPr>
              <w:sym w:font="Symbol" w:char="F0AE"/>
            </w:r>
            <w:r>
              <w:rPr>
                <w:sz w:val="18"/>
                <w:szCs w:val="18"/>
              </w:rPr>
              <w:t xml:space="preserve"> </w:t>
            </w:r>
            <w:r>
              <w:rPr>
                <w:sz w:val="20"/>
                <w:szCs w:val="20"/>
              </w:rPr>
              <w:t>SP</w:t>
            </w:r>
          </w:p>
        </w:tc>
        <w:tc>
          <w:tcPr>
            <w:tcW w:w="991" w:type="dxa"/>
            <w:tcBorders>
              <w:top w:val="nil"/>
              <w:left w:val="single" w:sz="4" w:space="0" w:color="FFFFFF"/>
              <w:bottom w:val="single" w:sz="12" w:space="0" w:color="000000"/>
              <w:right w:val="nil"/>
            </w:tcBorders>
            <w:vAlign w:val="center"/>
          </w:tcPr>
          <w:p w14:paraId="029EF792" w14:textId="77777777" w:rsidR="00565EA1" w:rsidRDefault="00565EA1" w:rsidP="00150C7F">
            <w:pPr>
              <w:jc w:val="center"/>
              <w:rPr>
                <w:b/>
                <w:color w:val="000000"/>
                <w:sz w:val="20"/>
                <w:szCs w:val="20"/>
              </w:rPr>
            </w:pPr>
            <w:r>
              <w:rPr>
                <w:b/>
                <w:color w:val="000000"/>
                <w:sz w:val="20"/>
                <w:szCs w:val="20"/>
              </w:rPr>
              <w:t>0.267</w:t>
            </w:r>
          </w:p>
        </w:tc>
        <w:tc>
          <w:tcPr>
            <w:tcW w:w="1131" w:type="dxa"/>
            <w:tcBorders>
              <w:top w:val="nil"/>
              <w:left w:val="nil"/>
              <w:bottom w:val="single" w:sz="12" w:space="0" w:color="000000"/>
              <w:right w:val="nil"/>
            </w:tcBorders>
            <w:vAlign w:val="center"/>
          </w:tcPr>
          <w:p w14:paraId="278C5E47" w14:textId="77777777" w:rsidR="00565EA1" w:rsidRDefault="00565EA1" w:rsidP="00150C7F">
            <w:pPr>
              <w:jc w:val="center"/>
              <w:rPr>
                <w:color w:val="000000"/>
                <w:sz w:val="20"/>
                <w:szCs w:val="20"/>
              </w:rPr>
            </w:pPr>
            <w:r>
              <w:rPr>
                <w:color w:val="000000"/>
                <w:sz w:val="20"/>
                <w:szCs w:val="20"/>
              </w:rPr>
              <w:t>0.129</w:t>
            </w:r>
          </w:p>
        </w:tc>
        <w:tc>
          <w:tcPr>
            <w:tcW w:w="1131" w:type="dxa"/>
            <w:tcBorders>
              <w:top w:val="nil"/>
              <w:left w:val="nil"/>
              <w:bottom w:val="single" w:sz="12" w:space="0" w:color="000000"/>
              <w:right w:val="nil"/>
            </w:tcBorders>
            <w:vAlign w:val="center"/>
          </w:tcPr>
          <w:p w14:paraId="4F099326" w14:textId="77777777" w:rsidR="00565EA1" w:rsidRDefault="00565EA1" w:rsidP="00150C7F">
            <w:pPr>
              <w:jc w:val="center"/>
              <w:rPr>
                <w:b/>
                <w:color w:val="00B050"/>
                <w:sz w:val="20"/>
                <w:szCs w:val="20"/>
              </w:rPr>
            </w:pPr>
            <w:r>
              <w:rPr>
                <w:b/>
                <w:color w:val="00B050"/>
                <w:sz w:val="20"/>
                <w:szCs w:val="20"/>
              </w:rPr>
              <w:t>0.038</w:t>
            </w:r>
          </w:p>
        </w:tc>
        <w:tc>
          <w:tcPr>
            <w:tcW w:w="1034" w:type="dxa"/>
            <w:tcBorders>
              <w:top w:val="nil"/>
              <w:left w:val="nil"/>
              <w:bottom w:val="single" w:sz="12" w:space="0" w:color="000000"/>
              <w:right w:val="single" w:sz="4" w:space="0" w:color="auto"/>
            </w:tcBorders>
            <w:vAlign w:val="center"/>
          </w:tcPr>
          <w:p w14:paraId="3D5F02FB" w14:textId="77777777" w:rsidR="00565EA1" w:rsidRDefault="00565EA1" w:rsidP="00150C7F">
            <w:pPr>
              <w:jc w:val="center"/>
              <w:rPr>
                <w:color w:val="000000"/>
                <w:sz w:val="20"/>
                <w:szCs w:val="20"/>
              </w:rPr>
            </w:pPr>
          </w:p>
        </w:tc>
      </w:tr>
      <w:tr w:rsidR="00565EA1" w14:paraId="32903C50" w14:textId="77777777" w:rsidTr="00565EA1">
        <w:trPr>
          <w:trHeight w:val="440"/>
        </w:trPr>
        <w:tc>
          <w:tcPr>
            <w:tcW w:w="5073" w:type="dxa"/>
            <w:tcBorders>
              <w:top w:val="single" w:sz="12" w:space="0" w:color="000000"/>
              <w:left w:val="single" w:sz="4" w:space="0" w:color="auto"/>
              <w:bottom w:val="single" w:sz="4" w:space="0" w:color="000000"/>
              <w:right w:val="single" w:sz="4" w:space="0" w:color="FFFFFF"/>
            </w:tcBorders>
            <w:vAlign w:val="center"/>
          </w:tcPr>
          <w:p w14:paraId="48960D97" w14:textId="77777777" w:rsidR="00565EA1" w:rsidRDefault="00565EA1" w:rsidP="00150C7F">
            <w:pPr>
              <w:jc w:val="center"/>
              <w:rPr>
                <w:b/>
                <w:i/>
              </w:rPr>
            </w:pPr>
            <w:r>
              <w:rPr>
                <w:b/>
                <w:i/>
              </w:rPr>
              <w:t>The Role of SDGs Adoption</w:t>
            </w:r>
          </w:p>
        </w:tc>
        <w:tc>
          <w:tcPr>
            <w:tcW w:w="4287" w:type="dxa"/>
            <w:gridSpan w:val="4"/>
            <w:tcBorders>
              <w:top w:val="single" w:sz="12" w:space="0" w:color="000000"/>
              <w:left w:val="single" w:sz="4" w:space="0" w:color="FFFFFF"/>
              <w:bottom w:val="single" w:sz="4" w:space="0" w:color="000000"/>
              <w:right w:val="single" w:sz="4" w:space="0" w:color="auto"/>
            </w:tcBorders>
            <w:vAlign w:val="center"/>
          </w:tcPr>
          <w:p w14:paraId="3F942D07" w14:textId="77777777" w:rsidR="00565EA1" w:rsidRDefault="00565EA1" w:rsidP="00150C7F">
            <w:pPr>
              <w:jc w:val="center"/>
              <w:rPr>
                <w:i/>
                <w:sz w:val="20"/>
                <w:szCs w:val="20"/>
              </w:rPr>
            </w:pPr>
          </w:p>
        </w:tc>
      </w:tr>
      <w:tr w:rsidR="00565EA1" w14:paraId="53103033" w14:textId="77777777" w:rsidTr="00565EA1">
        <w:trPr>
          <w:trHeight w:val="440"/>
        </w:trPr>
        <w:tc>
          <w:tcPr>
            <w:tcW w:w="5073" w:type="dxa"/>
            <w:tcBorders>
              <w:top w:val="single" w:sz="12" w:space="0" w:color="000000"/>
              <w:left w:val="single" w:sz="4" w:space="0" w:color="auto"/>
              <w:bottom w:val="single" w:sz="4" w:space="0" w:color="000000"/>
              <w:right w:val="single" w:sz="4" w:space="0" w:color="FFFFFF"/>
            </w:tcBorders>
            <w:vAlign w:val="center"/>
          </w:tcPr>
          <w:p w14:paraId="62668993" w14:textId="77777777" w:rsidR="00565EA1" w:rsidRDefault="00565EA1" w:rsidP="00150C7F">
            <w:pPr>
              <w:rPr>
                <w:b/>
              </w:rPr>
            </w:pPr>
            <w:r w:rsidRPr="002F51FE">
              <w:rPr>
                <w:b/>
                <w:sz w:val="21"/>
                <w:szCs w:val="21"/>
              </w:rPr>
              <w:t>Hypothesis 3</w:t>
            </w:r>
          </w:p>
        </w:tc>
        <w:tc>
          <w:tcPr>
            <w:tcW w:w="4287" w:type="dxa"/>
            <w:gridSpan w:val="4"/>
            <w:tcBorders>
              <w:top w:val="single" w:sz="12" w:space="0" w:color="000000"/>
              <w:left w:val="single" w:sz="4" w:space="0" w:color="FFFFFF"/>
              <w:bottom w:val="single" w:sz="4" w:space="0" w:color="000000"/>
              <w:right w:val="single" w:sz="4" w:space="0" w:color="auto"/>
            </w:tcBorders>
            <w:vAlign w:val="center"/>
          </w:tcPr>
          <w:p w14:paraId="12B8B54E" w14:textId="77777777" w:rsidR="00565EA1" w:rsidRDefault="00565EA1" w:rsidP="00150C7F">
            <w:pPr>
              <w:jc w:val="center"/>
              <w:rPr>
                <w:i/>
                <w:sz w:val="20"/>
                <w:szCs w:val="20"/>
              </w:rPr>
            </w:pPr>
          </w:p>
        </w:tc>
      </w:tr>
      <w:tr w:rsidR="00565EA1" w14:paraId="5AB1B809" w14:textId="77777777" w:rsidTr="00565EA1">
        <w:trPr>
          <w:trHeight w:val="532"/>
        </w:trPr>
        <w:tc>
          <w:tcPr>
            <w:tcW w:w="5073" w:type="dxa"/>
            <w:tcBorders>
              <w:top w:val="single" w:sz="4" w:space="0" w:color="000000"/>
              <w:left w:val="single" w:sz="4" w:space="0" w:color="auto"/>
              <w:right w:val="nil"/>
            </w:tcBorders>
            <w:vAlign w:val="center"/>
          </w:tcPr>
          <w:p w14:paraId="2F15FD94" w14:textId="77777777" w:rsidR="00565EA1" w:rsidRDefault="00565EA1" w:rsidP="00150C7F">
            <w:r>
              <w:rPr>
                <w:sz w:val="20"/>
                <w:szCs w:val="20"/>
              </w:rPr>
              <w:t>EP</w:t>
            </w:r>
            <w:r>
              <w:rPr>
                <w:sz w:val="18"/>
                <w:szCs w:val="18"/>
              </w:rPr>
              <w:t xml:space="preserve"> </w:t>
            </w:r>
            <w:r>
              <w:rPr>
                <w:sz w:val="18"/>
                <w:szCs w:val="18"/>
              </w:rPr>
              <w:sym w:font="Symbol" w:char="F0AE"/>
            </w:r>
            <w:r>
              <w:rPr>
                <w:sz w:val="20"/>
                <w:szCs w:val="20"/>
              </w:rPr>
              <w:t xml:space="preserve"> SDGs Adoption</w:t>
            </w:r>
          </w:p>
        </w:tc>
        <w:tc>
          <w:tcPr>
            <w:tcW w:w="991" w:type="dxa"/>
            <w:tcBorders>
              <w:top w:val="single" w:sz="4" w:space="0" w:color="000000"/>
              <w:left w:val="nil"/>
              <w:bottom w:val="nil"/>
              <w:right w:val="nil"/>
            </w:tcBorders>
            <w:vAlign w:val="center"/>
          </w:tcPr>
          <w:p w14:paraId="79ADE390" w14:textId="77777777" w:rsidR="00565EA1" w:rsidRDefault="00565EA1" w:rsidP="00150C7F">
            <w:pPr>
              <w:jc w:val="center"/>
              <w:rPr>
                <w:b/>
                <w:color w:val="000000"/>
                <w:sz w:val="20"/>
                <w:szCs w:val="20"/>
              </w:rPr>
            </w:pPr>
            <w:r>
              <w:rPr>
                <w:b/>
                <w:color w:val="000000"/>
                <w:sz w:val="20"/>
                <w:szCs w:val="20"/>
              </w:rPr>
              <w:t>0.248</w:t>
            </w:r>
          </w:p>
        </w:tc>
        <w:tc>
          <w:tcPr>
            <w:tcW w:w="1131" w:type="dxa"/>
            <w:tcBorders>
              <w:top w:val="single" w:sz="4" w:space="0" w:color="000000"/>
              <w:left w:val="nil"/>
              <w:bottom w:val="nil"/>
              <w:right w:val="nil"/>
            </w:tcBorders>
            <w:vAlign w:val="center"/>
          </w:tcPr>
          <w:p w14:paraId="1F00127C" w14:textId="77777777" w:rsidR="00565EA1" w:rsidRDefault="00565EA1" w:rsidP="00150C7F">
            <w:pPr>
              <w:jc w:val="center"/>
              <w:rPr>
                <w:i/>
                <w:sz w:val="20"/>
                <w:szCs w:val="20"/>
              </w:rPr>
            </w:pPr>
            <w:r>
              <w:rPr>
                <w:color w:val="000000"/>
                <w:sz w:val="20"/>
                <w:szCs w:val="20"/>
              </w:rPr>
              <w:t>0.076</w:t>
            </w:r>
          </w:p>
        </w:tc>
        <w:tc>
          <w:tcPr>
            <w:tcW w:w="1131" w:type="dxa"/>
            <w:tcBorders>
              <w:top w:val="single" w:sz="4" w:space="0" w:color="000000"/>
              <w:left w:val="nil"/>
              <w:bottom w:val="nil"/>
              <w:right w:val="nil"/>
            </w:tcBorders>
            <w:vAlign w:val="center"/>
          </w:tcPr>
          <w:p w14:paraId="60D1EC99" w14:textId="77777777" w:rsidR="00565EA1" w:rsidRDefault="00565EA1" w:rsidP="00150C7F">
            <w:pPr>
              <w:jc w:val="center"/>
              <w:rPr>
                <w:i/>
                <w:sz w:val="20"/>
                <w:szCs w:val="20"/>
              </w:rPr>
            </w:pPr>
            <w:r>
              <w:rPr>
                <w:b/>
                <w:color w:val="00B050"/>
                <w:sz w:val="20"/>
                <w:szCs w:val="20"/>
              </w:rPr>
              <w:t>0.001</w:t>
            </w:r>
          </w:p>
        </w:tc>
        <w:tc>
          <w:tcPr>
            <w:tcW w:w="1034" w:type="dxa"/>
            <w:tcBorders>
              <w:top w:val="single" w:sz="4" w:space="0" w:color="000000"/>
              <w:left w:val="nil"/>
              <w:bottom w:val="nil"/>
              <w:right w:val="single" w:sz="4" w:space="0" w:color="auto"/>
            </w:tcBorders>
            <w:vAlign w:val="center"/>
          </w:tcPr>
          <w:p w14:paraId="706E8358" w14:textId="77777777" w:rsidR="00565EA1" w:rsidRDefault="00565EA1" w:rsidP="00150C7F">
            <w:pPr>
              <w:jc w:val="center"/>
              <w:rPr>
                <w:i/>
                <w:sz w:val="20"/>
                <w:szCs w:val="20"/>
              </w:rPr>
            </w:pPr>
            <w:r>
              <w:rPr>
                <w:color w:val="000000"/>
                <w:sz w:val="20"/>
                <w:szCs w:val="20"/>
              </w:rPr>
              <w:t>0.063</w:t>
            </w:r>
          </w:p>
        </w:tc>
      </w:tr>
      <w:tr w:rsidR="00565EA1" w14:paraId="2CE5DF40" w14:textId="77777777" w:rsidTr="00565EA1">
        <w:trPr>
          <w:trHeight w:val="532"/>
        </w:trPr>
        <w:tc>
          <w:tcPr>
            <w:tcW w:w="5073" w:type="dxa"/>
            <w:tcBorders>
              <w:top w:val="single" w:sz="4" w:space="0" w:color="000000"/>
              <w:left w:val="single" w:sz="4" w:space="0" w:color="auto"/>
              <w:right w:val="nil"/>
            </w:tcBorders>
            <w:vAlign w:val="center"/>
          </w:tcPr>
          <w:p w14:paraId="6EEE0EDA" w14:textId="77777777" w:rsidR="00565EA1" w:rsidRDefault="00565EA1" w:rsidP="00150C7F">
            <w:pPr>
              <w:rPr>
                <w:sz w:val="20"/>
                <w:szCs w:val="20"/>
              </w:rPr>
            </w:pPr>
            <w:r>
              <w:rPr>
                <w:sz w:val="20"/>
                <w:szCs w:val="20"/>
              </w:rPr>
              <w:t xml:space="preserve">SDGs Adoption </w:t>
            </w:r>
            <w:r>
              <w:rPr>
                <w:sz w:val="18"/>
                <w:szCs w:val="18"/>
              </w:rPr>
              <w:sym w:font="Symbol" w:char="F0AE"/>
            </w:r>
            <w:r>
              <w:rPr>
                <w:sz w:val="20"/>
                <w:szCs w:val="20"/>
              </w:rPr>
              <w:t xml:space="preserve"> SP</w:t>
            </w:r>
          </w:p>
        </w:tc>
        <w:tc>
          <w:tcPr>
            <w:tcW w:w="991" w:type="dxa"/>
            <w:tcBorders>
              <w:top w:val="nil"/>
              <w:left w:val="nil"/>
              <w:bottom w:val="nil"/>
              <w:right w:val="nil"/>
            </w:tcBorders>
            <w:vAlign w:val="center"/>
          </w:tcPr>
          <w:p w14:paraId="3DBCBC61" w14:textId="77777777" w:rsidR="00565EA1" w:rsidRDefault="00565EA1" w:rsidP="00150C7F">
            <w:pPr>
              <w:jc w:val="center"/>
              <w:rPr>
                <w:b/>
                <w:color w:val="000000"/>
                <w:sz w:val="20"/>
                <w:szCs w:val="20"/>
              </w:rPr>
            </w:pPr>
            <w:r>
              <w:rPr>
                <w:b/>
                <w:color w:val="000000"/>
                <w:sz w:val="20"/>
                <w:szCs w:val="20"/>
              </w:rPr>
              <w:t>-0.377</w:t>
            </w:r>
          </w:p>
        </w:tc>
        <w:tc>
          <w:tcPr>
            <w:tcW w:w="1131" w:type="dxa"/>
            <w:tcBorders>
              <w:top w:val="nil"/>
              <w:left w:val="nil"/>
              <w:bottom w:val="nil"/>
              <w:right w:val="nil"/>
            </w:tcBorders>
            <w:vAlign w:val="center"/>
          </w:tcPr>
          <w:p w14:paraId="0C93A065" w14:textId="77777777" w:rsidR="00565EA1" w:rsidRDefault="00565EA1" w:rsidP="00150C7F">
            <w:pPr>
              <w:jc w:val="center"/>
              <w:rPr>
                <w:color w:val="000000"/>
                <w:sz w:val="20"/>
                <w:szCs w:val="20"/>
              </w:rPr>
            </w:pPr>
            <w:r>
              <w:rPr>
                <w:color w:val="000000"/>
                <w:sz w:val="20"/>
                <w:szCs w:val="20"/>
              </w:rPr>
              <w:t>0.133</w:t>
            </w:r>
          </w:p>
        </w:tc>
        <w:tc>
          <w:tcPr>
            <w:tcW w:w="1131" w:type="dxa"/>
            <w:tcBorders>
              <w:top w:val="nil"/>
              <w:left w:val="nil"/>
              <w:bottom w:val="nil"/>
              <w:right w:val="nil"/>
            </w:tcBorders>
            <w:vAlign w:val="center"/>
          </w:tcPr>
          <w:p w14:paraId="167CFD4A" w14:textId="77777777" w:rsidR="00565EA1" w:rsidRDefault="00565EA1" w:rsidP="00150C7F">
            <w:pPr>
              <w:jc w:val="center"/>
              <w:rPr>
                <w:b/>
                <w:color w:val="00B050"/>
                <w:sz w:val="20"/>
                <w:szCs w:val="20"/>
              </w:rPr>
            </w:pPr>
            <w:r>
              <w:rPr>
                <w:b/>
                <w:color w:val="00B050"/>
                <w:sz w:val="20"/>
                <w:szCs w:val="20"/>
              </w:rPr>
              <w:t>0.001</w:t>
            </w:r>
          </w:p>
        </w:tc>
        <w:tc>
          <w:tcPr>
            <w:tcW w:w="1034" w:type="dxa"/>
            <w:tcBorders>
              <w:top w:val="nil"/>
              <w:left w:val="nil"/>
              <w:bottom w:val="nil"/>
              <w:right w:val="single" w:sz="4" w:space="0" w:color="auto"/>
            </w:tcBorders>
            <w:vAlign w:val="center"/>
          </w:tcPr>
          <w:p w14:paraId="540DB502" w14:textId="77777777" w:rsidR="00565EA1" w:rsidRDefault="00565EA1" w:rsidP="00150C7F">
            <w:pPr>
              <w:jc w:val="center"/>
              <w:rPr>
                <w:color w:val="000000"/>
                <w:sz w:val="20"/>
                <w:szCs w:val="20"/>
              </w:rPr>
            </w:pPr>
            <w:r>
              <w:rPr>
                <w:color w:val="000000"/>
                <w:sz w:val="20"/>
                <w:szCs w:val="20"/>
              </w:rPr>
              <w:t>0.033</w:t>
            </w:r>
          </w:p>
        </w:tc>
      </w:tr>
      <w:tr w:rsidR="00565EA1" w14:paraId="56C22443" w14:textId="77777777" w:rsidTr="00565EA1">
        <w:trPr>
          <w:trHeight w:val="532"/>
        </w:trPr>
        <w:tc>
          <w:tcPr>
            <w:tcW w:w="5073" w:type="dxa"/>
            <w:tcBorders>
              <w:left w:val="single" w:sz="4" w:space="0" w:color="auto"/>
              <w:right w:val="nil"/>
            </w:tcBorders>
            <w:vAlign w:val="center"/>
          </w:tcPr>
          <w:p w14:paraId="09B265B5" w14:textId="77777777" w:rsidR="00565EA1" w:rsidRDefault="00565EA1" w:rsidP="00150C7F">
            <w:pPr>
              <w:rPr>
                <w:sz w:val="20"/>
                <w:szCs w:val="20"/>
              </w:rPr>
            </w:pPr>
            <w:r>
              <w:rPr>
                <w:sz w:val="20"/>
                <w:szCs w:val="20"/>
              </w:rPr>
              <w:t xml:space="preserve">EP </w:t>
            </w:r>
            <w:r>
              <w:rPr>
                <w:sz w:val="18"/>
                <w:szCs w:val="18"/>
              </w:rPr>
              <w:sym w:font="Symbol" w:char="F0AE"/>
            </w:r>
            <w:r>
              <w:rPr>
                <w:sz w:val="20"/>
                <w:szCs w:val="20"/>
              </w:rPr>
              <w:t xml:space="preserve"> SDGs Adoption </w:t>
            </w:r>
            <w:r>
              <w:rPr>
                <w:sz w:val="18"/>
                <w:szCs w:val="18"/>
              </w:rPr>
              <w:sym w:font="Symbol" w:char="F0AE"/>
            </w:r>
            <w:r>
              <w:rPr>
                <w:sz w:val="20"/>
                <w:szCs w:val="20"/>
              </w:rPr>
              <w:t xml:space="preserve"> SP</w:t>
            </w:r>
          </w:p>
        </w:tc>
        <w:tc>
          <w:tcPr>
            <w:tcW w:w="991" w:type="dxa"/>
            <w:tcBorders>
              <w:top w:val="nil"/>
              <w:left w:val="nil"/>
              <w:bottom w:val="nil"/>
              <w:right w:val="nil"/>
            </w:tcBorders>
            <w:vAlign w:val="center"/>
          </w:tcPr>
          <w:p w14:paraId="1BF480DC" w14:textId="77777777" w:rsidR="00565EA1" w:rsidRDefault="00565EA1" w:rsidP="00150C7F">
            <w:pPr>
              <w:jc w:val="center"/>
              <w:rPr>
                <w:b/>
                <w:color w:val="000000"/>
                <w:sz w:val="20"/>
                <w:szCs w:val="20"/>
              </w:rPr>
            </w:pPr>
            <w:r>
              <w:rPr>
                <w:b/>
                <w:color w:val="000000"/>
                <w:sz w:val="20"/>
                <w:szCs w:val="20"/>
              </w:rPr>
              <w:t>-0.093</w:t>
            </w:r>
          </w:p>
        </w:tc>
        <w:tc>
          <w:tcPr>
            <w:tcW w:w="1131" w:type="dxa"/>
            <w:tcBorders>
              <w:top w:val="nil"/>
              <w:left w:val="nil"/>
              <w:bottom w:val="nil"/>
              <w:right w:val="nil"/>
            </w:tcBorders>
            <w:vAlign w:val="center"/>
          </w:tcPr>
          <w:p w14:paraId="0E0042EE" w14:textId="77777777" w:rsidR="00565EA1" w:rsidRDefault="00565EA1" w:rsidP="00150C7F">
            <w:pPr>
              <w:jc w:val="center"/>
              <w:rPr>
                <w:color w:val="000000"/>
                <w:sz w:val="20"/>
                <w:szCs w:val="20"/>
              </w:rPr>
            </w:pPr>
            <w:r>
              <w:rPr>
                <w:color w:val="000000"/>
                <w:sz w:val="20"/>
                <w:szCs w:val="20"/>
              </w:rPr>
              <w:t>0.039</w:t>
            </w:r>
          </w:p>
        </w:tc>
        <w:tc>
          <w:tcPr>
            <w:tcW w:w="1131" w:type="dxa"/>
            <w:tcBorders>
              <w:top w:val="nil"/>
              <w:left w:val="nil"/>
              <w:bottom w:val="nil"/>
              <w:right w:val="nil"/>
            </w:tcBorders>
            <w:vAlign w:val="center"/>
          </w:tcPr>
          <w:p w14:paraId="3B14511E" w14:textId="77777777" w:rsidR="00565EA1" w:rsidRDefault="00565EA1" w:rsidP="00150C7F">
            <w:pPr>
              <w:jc w:val="center"/>
              <w:rPr>
                <w:b/>
                <w:color w:val="00B050"/>
                <w:sz w:val="20"/>
                <w:szCs w:val="20"/>
              </w:rPr>
            </w:pPr>
            <w:r>
              <w:rPr>
                <w:b/>
                <w:color w:val="00B050"/>
                <w:sz w:val="20"/>
                <w:szCs w:val="20"/>
              </w:rPr>
              <w:t>0.017</w:t>
            </w:r>
          </w:p>
        </w:tc>
        <w:tc>
          <w:tcPr>
            <w:tcW w:w="1034" w:type="dxa"/>
            <w:tcBorders>
              <w:top w:val="nil"/>
              <w:left w:val="nil"/>
              <w:bottom w:val="nil"/>
              <w:right w:val="single" w:sz="4" w:space="0" w:color="auto"/>
            </w:tcBorders>
            <w:vAlign w:val="center"/>
          </w:tcPr>
          <w:p w14:paraId="1578CFA2" w14:textId="77777777" w:rsidR="00565EA1" w:rsidRDefault="00565EA1" w:rsidP="00150C7F">
            <w:pPr>
              <w:jc w:val="center"/>
              <w:rPr>
                <w:i/>
                <w:sz w:val="20"/>
                <w:szCs w:val="20"/>
              </w:rPr>
            </w:pPr>
          </w:p>
        </w:tc>
      </w:tr>
      <w:tr w:rsidR="00565EA1" w14:paraId="3972E2C3" w14:textId="77777777" w:rsidTr="00565EA1">
        <w:trPr>
          <w:trHeight w:val="532"/>
        </w:trPr>
        <w:tc>
          <w:tcPr>
            <w:tcW w:w="5073" w:type="dxa"/>
            <w:tcBorders>
              <w:left w:val="single" w:sz="4" w:space="0" w:color="auto"/>
              <w:right w:val="nil"/>
            </w:tcBorders>
            <w:vAlign w:val="center"/>
          </w:tcPr>
          <w:p w14:paraId="70F5F0D5" w14:textId="77777777" w:rsidR="00565EA1" w:rsidRDefault="00565EA1" w:rsidP="00150C7F">
            <w:pPr>
              <w:rPr>
                <w:b/>
                <w:sz w:val="20"/>
                <w:szCs w:val="20"/>
              </w:rPr>
            </w:pPr>
            <w:r>
              <w:rPr>
                <w:b/>
                <w:sz w:val="20"/>
                <w:szCs w:val="20"/>
              </w:rPr>
              <w:t>Hypothesis 4</w:t>
            </w:r>
          </w:p>
        </w:tc>
        <w:tc>
          <w:tcPr>
            <w:tcW w:w="991" w:type="dxa"/>
            <w:tcBorders>
              <w:top w:val="nil"/>
              <w:left w:val="nil"/>
              <w:bottom w:val="nil"/>
              <w:right w:val="nil"/>
            </w:tcBorders>
            <w:vAlign w:val="center"/>
          </w:tcPr>
          <w:p w14:paraId="26251B0F" w14:textId="77777777" w:rsidR="00565EA1" w:rsidRDefault="00565EA1" w:rsidP="00150C7F">
            <w:pPr>
              <w:jc w:val="center"/>
              <w:rPr>
                <w:b/>
                <w:color w:val="000000"/>
                <w:sz w:val="20"/>
                <w:szCs w:val="20"/>
              </w:rPr>
            </w:pPr>
          </w:p>
        </w:tc>
        <w:tc>
          <w:tcPr>
            <w:tcW w:w="1131" w:type="dxa"/>
            <w:tcBorders>
              <w:top w:val="nil"/>
              <w:left w:val="nil"/>
              <w:bottom w:val="nil"/>
              <w:right w:val="nil"/>
            </w:tcBorders>
            <w:vAlign w:val="center"/>
          </w:tcPr>
          <w:p w14:paraId="788BD5B4" w14:textId="77777777" w:rsidR="00565EA1" w:rsidRDefault="00565EA1" w:rsidP="00150C7F">
            <w:pPr>
              <w:jc w:val="center"/>
              <w:rPr>
                <w:color w:val="000000"/>
                <w:sz w:val="20"/>
                <w:szCs w:val="20"/>
              </w:rPr>
            </w:pPr>
          </w:p>
        </w:tc>
        <w:tc>
          <w:tcPr>
            <w:tcW w:w="1131" w:type="dxa"/>
            <w:tcBorders>
              <w:top w:val="nil"/>
              <w:left w:val="nil"/>
              <w:bottom w:val="nil"/>
              <w:right w:val="nil"/>
            </w:tcBorders>
            <w:vAlign w:val="center"/>
          </w:tcPr>
          <w:p w14:paraId="279250A1" w14:textId="77777777" w:rsidR="00565EA1" w:rsidRDefault="00565EA1" w:rsidP="00150C7F">
            <w:pPr>
              <w:jc w:val="center"/>
              <w:rPr>
                <w:b/>
                <w:color w:val="00B050"/>
                <w:sz w:val="20"/>
                <w:szCs w:val="20"/>
              </w:rPr>
            </w:pPr>
          </w:p>
        </w:tc>
        <w:tc>
          <w:tcPr>
            <w:tcW w:w="1034" w:type="dxa"/>
            <w:tcBorders>
              <w:top w:val="nil"/>
              <w:left w:val="nil"/>
              <w:bottom w:val="nil"/>
              <w:right w:val="single" w:sz="4" w:space="0" w:color="auto"/>
            </w:tcBorders>
            <w:vAlign w:val="center"/>
          </w:tcPr>
          <w:p w14:paraId="332BFC18" w14:textId="77777777" w:rsidR="00565EA1" w:rsidRDefault="00565EA1" w:rsidP="00150C7F">
            <w:pPr>
              <w:jc w:val="center"/>
              <w:rPr>
                <w:i/>
                <w:sz w:val="20"/>
                <w:szCs w:val="20"/>
              </w:rPr>
            </w:pPr>
          </w:p>
        </w:tc>
      </w:tr>
      <w:tr w:rsidR="00565EA1" w14:paraId="0C1A9AE9" w14:textId="77777777" w:rsidTr="00565EA1">
        <w:trPr>
          <w:trHeight w:val="532"/>
        </w:trPr>
        <w:tc>
          <w:tcPr>
            <w:tcW w:w="5073" w:type="dxa"/>
            <w:tcBorders>
              <w:left w:val="single" w:sz="4" w:space="0" w:color="auto"/>
              <w:right w:val="nil"/>
            </w:tcBorders>
            <w:vAlign w:val="center"/>
          </w:tcPr>
          <w:p w14:paraId="0772159B" w14:textId="77777777" w:rsidR="00565EA1" w:rsidRDefault="00565EA1" w:rsidP="00150C7F">
            <w:pPr>
              <w:rPr>
                <w:sz w:val="20"/>
                <w:szCs w:val="20"/>
              </w:rPr>
            </w:pPr>
            <w:r>
              <w:rPr>
                <w:sz w:val="20"/>
                <w:szCs w:val="20"/>
              </w:rPr>
              <w:t>EMP</w:t>
            </w:r>
            <w:r>
              <w:rPr>
                <w:sz w:val="18"/>
                <w:szCs w:val="18"/>
              </w:rPr>
              <w:t xml:space="preserve"> </w:t>
            </w:r>
            <w:r>
              <w:rPr>
                <w:sz w:val="18"/>
                <w:szCs w:val="18"/>
              </w:rPr>
              <w:sym w:font="Symbol" w:char="F0AE"/>
            </w:r>
            <w:r>
              <w:rPr>
                <w:sz w:val="20"/>
                <w:szCs w:val="20"/>
              </w:rPr>
              <w:t xml:space="preserve"> SDGs Adoption</w:t>
            </w:r>
          </w:p>
        </w:tc>
        <w:tc>
          <w:tcPr>
            <w:tcW w:w="991" w:type="dxa"/>
            <w:tcBorders>
              <w:top w:val="nil"/>
              <w:left w:val="nil"/>
              <w:bottom w:val="nil"/>
              <w:right w:val="nil"/>
            </w:tcBorders>
            <w:vAlign w:val="center"/>
          </w:tcPr>
          <w:p w14:paraId="3EB388B7" w14:textId="77777777" w:rsidR="00565EA1" w:rsidRDefault="00565EA1" w:rsidP="00150C7F">
            <w:pPr>
              <w:jc w:val="center"/>
              <w:rPr>
                <w:b/>
                <w:color w:val="000000"/>
                <w:sz w:val="20"/>
                <w:szCs w:val="20"/>
              </w:rPr>
            </w:pPr>
            <w:r>
              <w:rPr>
                <w:b/>
                <w:color w:val="000000"/>
                <w:sz w:val="20"/>
                <w:szCs w:val="20"/>
              </w:rPr>
              <w:t>0.570</w:t>
            </w:r>
          </w:p>
        </w:tc>
        <w:tc>
          <w:tcPr>
            <w:tcW w:w="1131" w:type="dxa"/>
            <w:tcBorders>
              <w:top w:val="nil"/>
              <w:left w:val="nil"/>
              <w:bottom w:val="nil"/>
              <w:right w:val="nil"/>
            </w:tcBorders>
            <w:vAlign w:val="center"/>
          </w:tcPr>
          <w:p w14:paraId="0890B12C" w14:textId="77777777" w:rsidR="00565EA1" w:rsidRDefault="00565EA1" w:rsidP="00150C7F">
            <w:pPr>
              <w:jc w:val="center"/>
              <w:rPr>
                <w:color w:val="000000"/>
                <w:sz w:val="20"/>
                <w:szCs w:val="20"/>
              </w:rPr>
            </w:pPr>
            <w:r>
              <w:rPr>
                <w:color w:val="000000"/>
                <w:sz w:val="20"/>
                <w:szCs w:val="20"/>
              </w:rPr>
              <w:t>0.079</w:t>
            </w:r>
          </w:p>
        </w:tc>
        <w:tc>
          <w:tcPr>
            <w:tcW w:w="1131" w:type="dxa"/>
            <w:tcBorders>
              <w:top w:val="nil"/>
              <w:left w:val="nil"/>
              <w:bottom w:val="nil"/>
              <w:right w:val="nil"/>
            </w:tcBorders>
            <w:vAlign w:val="center"/>
          </w:tcPr>
          <w:p w14:paraId="31E98C8C" w14:textId="77777777" w:rsidR="00565EA1" w:rsidRDefault="00565EA1" w:rsidP="00150C7F">
            <w:pPr>
              <w:jc w:val="center"/>
              <w:rPr>
                <w:b/>
                <w:color w:val="00B050"/>
                <w:sz w:val="20"/>
                <w:szCs w:val="20"/>
              </w:rPr>
            </w:pPr>
            <w:r>
              <w:rPr>
                <w:b/>
                <w:color w:val="00B050"/>
                <w:sz w:val="20"/>
                <w:szCs w:val="20"/>
              </w:rPr>
              <w:t>0.000</w:t>
            </w:r>
          </w:p>
        </w:tc>
        <w:tc>
          <w:tcPr>
            <w:tcW w:w="1034" w:type="dxa"/>
            <w:tcBorders>
              <w:top w:val="nil"/>
              <w:left w:val="nil"/>
              <w:bottom w:val="nil"/>
              <w:right w:val="single" w:sz="4" w:space="0" w:color="auto"/>
            </w:tcBorders>
            <w:vAlign w:val="center"/>
          </w:tcPr>
          <w:p w14:paraId="67C1AD1A" w14:textId="77777777" w:rsidR="00565EA1" w:rsidRDefault="00565EA1" w:rsidP="00150C7F">
            <w:pPr>
              <w:jc w:val="center"/>
              <w:rPr>
                <w:sz w:val="20"/>
                <w:szCs w:val="20"/>
              </w:rPr>
            </w:pPr>
            <w:r>
              <w:rPr>
                <w:sz w:val="20"/>
                <w:szCs w:val="20"/>
              </w:rPr>
              <w:t>0.332</w:t>
            </w:r>
          </w:p>
        </w:tc>
      </w:tr>
      <w:tr w:rsidR="00565EA1" w14:paraId="13EA7CC9" w14:textId="77777777" w:rsidTr="00565EA1">
        <w:trPr>
          <w:trHeight w:val="532"/>
        </w:trPr>
        <w:tc>
          <w:tcPr>
            <w:tcW w:w="5073" w:type="dxa"/>
            <w:tcBorders>
              <w:left w:val="single" w:sz="4" w:space="0" w:color="auto"/>
              <w:right w:val="nil"/>
            </w:tcBorders>
            <w:vAlign w:val="center"/>
          </w:tcPr>
          <w:p w14:paraId="73B595AA" w14:textId="77777777" w:rsidR="00565EA1" w:rsidRDefault="00565EA1" w:rsidP="00150C7F">
            <w:pPr>
              <w:rPr>
                <w:sz w:val="20"/>
                <w:szCs w:val="20"/>
              </w:rPr>
            </w:pPr>
            <w:r>
              <w:rPr>
                <w:sz w:val="20"/>
                <w:szCs w:val="20"/>
              </w:rPr>
              <w:t xml:space="preserve">EMP </w:t>
            </w:r>
            <w:r>
              <w:rPr>
                <w:sz w:val="18"/>
                <w:szCs w:val="18"/>
              </w:rPr>
              <w:sym w:font="Symbol" w:char="F0AE"/>
            </w:r>
            <w:r>
              <w:rPr>
                <w:sz w:val="20"/>
                <w:szCs w:val="20"/>
              </w:rPr>
              <w:t xml:space="preserve"> SDGs Adoption </w:t>
            </w:r>
            <w:r>
              <w:rPr>
                <w:sz w:val="18"/>
                <w:szCs w:val="18"/>
              </w:rPr>
              <w:sym w:font="Symbol" w:char="F0AE"/>
            </w:r>
            <w:r>
              <w:rPr>
                <w:sz w:val="20"/>
                <w:szCs w:val="20"/>
              </w:rPr>
              <w:t xml:space="preserve"> SP</w:t>
            </w:r>
          </w:p>
        </w:tc>
        <w:tc>
          <w:tcPr>
            <w:tcW w:w="991" w:type="dxa"/>
            <w:tcBorders>
              <w:top w:val="nil"/>
              <w:left w:val="nil"/>
              <w:bottom w:val="nil"/>
              <w:right w:val="nil"/>
            </w:tcBorders>
            <w:vAlign w:val="center"/>
          </w:tcPr>
          <w:p w14:paraId="183B7D5E" w14:textId="77777777" w:rsidR="00565EA1" w:rsidRDefault="00565EA1" w:rsidP="00150C7F">
            <w:pPr>
              <w:jc w:val="center"/>
              <w:rPr>
                <w:b/>
                <w:color w:val="000000"/>
                <w:sz w:val="20"/>
                <w:szCs w:val="20"/>
              </w:rPr>
            </w:pPr>
            <w:r>
              <w:rPr>
                <w:b/>
                <w:color w:val="000000"/>
                <w:sz w:val="20"/>
                <w:szCs w:val="20"/>
              </w:rPr>
              <w:t>-0.214</w:t>
            </w:r>
          </w:p>
        </w:tc>
        <w:tc>
          <w:tcPr>
            <w:tcW w:w="1131" w:type="dxa"/>
            <w:tcBorders>
              <w:top w:val="nil"/>
              <w:left w:val="nil"/>
              <w:bottom w:val="nil"/>
              <w:right w:val="nil"/>
            </w:tcBorders>
            <w:vAlign w:val="center"/>
          </w:tcPr>
          <w:p w14:paraId="3D453420" w14:textId="77777777" w:rsidR="00565EA1" w:rsidRDefault="00565EA1" w:rsidP="00150C7F">
            <w:pPr>
              <w:jc w:val="center"/>
              <w:rPr>
                <w:color w:val="000000"/>
                <w:sz w:val="20"/>
                <w:szCs w:val="20"/>
              </w:rPr>
            </w:pPr>
            <w:r>
              <w:rPr>
                <w:color w:val="000000"/>
                <w:sz w:val="20"/>
                <w:szCs w:val="20"/>
              </w:rPr>
              <w:t>0.071</w:t>
            </w:r>
          </w:p>
        </w:tc>
        <w:tc>
          <w:tcPr>
            <w:tcW w:w="1131" w:type="dxa"/>
            <w:tcBorders>
              <w:top w:val="nil"/>
              <w:left w:val="nil"/>
              <w:bottom w:val="nil"/>
              <w:right w:val="nil"/>
            </w:tcBorders>
            <w:vAlign w:val="center"/>
          </w:tcPr>
          <w:p w14:paraId="22ED7336" w14:textId="77777777" w:rsidR="00565EA1" w:rsidRDefault="00565EA1" w:rsidP="00150C7F">
            <w:pPr>
              <w:jc w:val="center"/>
              <w:rPr>
                <w:b/>
                <w:color w:val="00B050"/>
                <w:sz w:val="20"/>
                <w:szCs w:val="20"/>
              </w:rPr>
            </w:pPr>
            <w:r>
              <w:rPr>
                <w:b/>
                <w:color w:val="00B050"/>
                <w:sz w:val="20"/>
                <w:szCs w:val="20"/>
              </w:rPr>
              <w:t>0.003</w:t>
            </w:r>
          </w:p>
        </w:tc>
        <w:tc>
          <w:tcPr>
            <w:tcW w:w="1034" w:type="dxa"/>
            <w:tcBorders>
              <w:top w:val="nil"/>
              <w:left w:val="nil"/>
              <w:bottom w:val="nil"/>
              <w:right w:val="single" w:sz="4" w:space="0" w:color="auto"/>
            </w:tcBorders>
            <w:vAlign w:val="center"/>
          </w:tcPr>
          <w:p w14:paraId="0A69B251" w14:textId="77777777" w:rsidR="00565EA1" w:rsidRDefault="00565EA1" w:rsidP="00150C7F">
            <w:pPr>
              <w:jc w:val="center"/>
              <w:rPr>
                <w:i/>
                <w:sz w:val="20"/>
                <w:szCs w:val="20"/>
              </w:rPr>
            </w:pPr>
          </w:p>
        </w:tc>
      </w:tr>
      <w:tr w:rsidR="00565EA1" w14:paraId="4103064F" w14:textId="77777777" w:rsidTr="00565EA1">
        <w:trPr>
          <w:trHeight w:val="532"/>
        </w:trPr>
        <w:tc>
          <w:tcPr>
            <w:tcW w:w="5073" w:type="dxa"/>
            <w:tcBorders>
              <w:left w:val="single" w:sz="4" w:space="0" w:color="auto"/>
              <w:right w:val="nil"/>
            </w:tcBorders>
            <w:vAlign w:val="center"/>
          </w:tcPr>
          <w:p w14:paraId="25C1D6B4" w14:textId="77777777" w:rsidR="00565EA1" w:rsidRDefault="00565EA1" w:rsidP="00150C7F">
            <w:pPr>
              <w:rPr>
                <w:b/>
                <w:sz w:val="20"/>
                <w:szCs w:val="20"/>
              </w:rPr>
            </w:pPr>
            <w:r>
              <w:rPr>
                <w:b/>
                <w:sz w:val="20"/>
                <w:szCs w:val="20"/>
              </w:rPr>
              <w:t>Hypothesis 5</w:t>
            </w:r>
          </w:p>
        </w:tc>
        <w:tc>
          <w:tcPr>
            <w:tcW w:w="991" w:type="dxa"/>
            <w:tcBorders>
              <w:top w:val="nil"/>
              <w:left w:val="nil"/>
              <w:bottom w:val="nil"/>
              <w:right w:val="nil"/>
            </w:tcBorders>
            <w:vAlign w:val="center"/>
          </w:tcPr>
          <w:p w14:paraId="18568D43" w14:textId="77777777" w:rsidR="00565EA1" w:rsidRDefault="00565EA1" w:rsidP="00150C7F">
            <w:pPr>
              <w:jc w:val="center"/>
              <w:rPr>
                <w:b/>
                <w:color w:val="000000"/>
                <w:sz w:val="20"/>
                <w:szCs w:val="20"/>
              </w:rPr>
            </w:pPr>
          </w:p>
        </w:tc>
        <w:tc>
          <w:tcPr>
            <w:tcW w:w="1131" w:type="dxa"/>
            <w:tcBorders>
              <w:top w:val="nil"/>
              <w:left w:val="nil"/>
              <w:bottom w:val="nil"/>
              <w:right w:val="nil"/>
            </w:tcBorders>
            <w:vAlign w:val="center"/>
          </w:tcPr>
          <w:p w14:paraId="4B75FCF6" w14:textId="77777777" w:rsidR="00565EA1" w:rsidRDefault="00565EA1" w:rsidP="00150C7F">
            <w:pPr>
              <w:jc w:val="center"/>
              <w:rPr>
                <w:color w:val="000000"/>
                <w:sz w:val="20"/>
                <w:szCs w:val="20"/>
              </w:rPr>
            </w:pPr>
          </w:p>
        </w:tc>
        <w:tc>
          <w:tcPr>
            <w:tcW w:w="1131" w:type="dxa"/>
            <w:tcBorders>
              <w:top w:val="nil"/>
              <w:left w:val="nil"/>
              <w:bottom w:val="nil"/>
              <w:right w:val="nil"/>
            </w:tcBorders>
            <w:vAlign w:val="center"/>
          </w:tcPr>
          <w:p w14:paraId="087636FF" w14:textId="77777777" w:rsidR="00565EA1" w:rsidRDefault="00565EA1" w:rsidP="00150C7F">
            <w:pPr>
              <w:jc w:val="center"/>
              <w:rPr>
                <w:b/>
                <w:color w:val="00B050"/>
                <w:sz w:val="20"/>
                <w:szCs w:val="20"/>
              </w:rPr>
            </w:pPr>
          </w:p>
        </w:tc>
        <w:tc>
          <w:tcPr>
            <w:tcW w:w="1034" w:type="dxa"/>
            <w:tcBorders>
              <w:top w:val="nil"/>
              <w:left w:val="nil"/>
              <w:bottom w:val="nil"/>
              <w:right w:val="single" w:sz="4" w:space="0" w:color="auto"/>
            </w:tcBorders>
            <w:vAlign w:val="center"/>
          </w:tcPr>
          <w:p w14:paraId="3A288F02" w14:textId="77777777" w:rsidR="00565EA1" w:rsidRDefault="00565EA1" w:rsidP="00150C7F">
            <w:pPr>
              <w:jc w:val="center"/>
              <w:rPr>
                <w:i/>
                <w:sz w:val="20"/>
                <w:szCs w:val="20"/>
              </w:rPr>
            </w:pPr>
          </w:p>
        </w:tc>
      </w:tr>
      <w:tr w:rsidR="00565EA1" w14:paraId="4E666FB6" w14:textId="77777777" w:rsidTr="00565EA1">
        <w:trPr>
          <w:trHeight w:val="322"/>
        </w:trPr>
        <w:tc>
          <w:tcPr>
            <w:tcW w:w="5073" w:type="dxa"/>
            <w:tcBorders>
              <w:left w:val="single" w:sz="4" w:space="0" w:color="auto"/>
              <w:right w:val="nil"/>
            </w:tcBorders>
            <w:vAlign w:val="center"/>
          </w:tcPr>
          <w:p w14:paraId="2C15E296" w14:textId="77777777" w:rsidR="00565EA1" w:rsidRDefault="00565EA1" w:rsidP="00150C7F">
            <w:pPr>
              <w:rPr>
                <w:color w:val="000000"/>
                <w:sz w:val="20"/>
                <w:szCs w:val="20"/>
              </w:rPr>
            </w:pPr>
            <w:proofErr w:type="spellStart"/>
            <w:r>
              <w:rPr>
                <w:color w:val="000000"/>
                <w:sz w:val="20"/>
                <w:szCs w:val="20"/>
              </w:rPr>
              <w:t>Mod_SDGs_EP</w:t>
            </w:r>
            <w:proofErr w:type="spellEnd"/>
            <w:r>
              <w:rPr>
                <w:color w:val="000000"/>
                <w:sz w:val="20"/>
                <w:szCs w:val="20"/>
              </w:rPr>
              <w:t xml:space="preserve"> </w:t>
            </w:r>
            <w:r>
              <w:rPr>
                <w:sz w:val="18"/>
                <w:szCs w:val="18"/>
              </w:rPr>
              <w:sym w:font="Symbol" w:char="F0AE"/>
            </w:r>
            <w:r>
              <w:rPr>
                <w:sz w:val="20"/>
                <w:szCs w:val="20"/>
              </w:rPr>
              <w:t xml:space="preserve"> </w:t>
            </w:r>
            <w:r>
              <w:rPr>
                <w:color w:val="000000"/>
                <w:sz w:val="20"/>
                <w:szCs w:val="20"/>
              </w:rPr>
              <w:t>SP</w:t>
            </w:r>
          </w:p>
        </w:tc>
        <w:tc>
          <w:tcPr>
            <w:tcW w:w="991" w:type="dxa"/>
            <w:tcBorders>
              <w:top w:val="nil"/>
              <w:left w:val="nil"/>
              <w:bottom w:val="nil"/>
              <w:right w:val="nil"/>
            </w:tcBorders>
            <w:vAlign w:val="center"/>
          </w:tcPr>
          <w:p w14:paraId="5EA25ED2" w14:textId="77777777" w:rsidR="00565EA1" w:rsidRDefault="00565EA1" w:rsidP="00150C7F">
            <w:pPr>
              <w:jc w:val="center"/>
              <w:rPr>
                <w:i/>
                <w:sz w:val="20"/>
                <w:szCs w:val="20"/>
              </w:rPr>
            </w:pPr>
            <w:r>
              <w:rPr>
                <w:b/>
                <w:color w:val="000000"/>
                <w:sz w:val="20"/>
                <w:szCs w:val="20"/>
              </w:rPr>
              <w:t>0.324</w:t>
            </w:r>
          </w:p>
        </w:tc>
        <w:tc>
          <w:tcPr>
            <w:tcW w:w="1131" w:type="dxa"/>
            <w:tcBorders>
              <w:top w:val="nil"/>
              <w:left w:val="nil"/>
              <w:bottom w:val="nil"/>
              <w:right w:val="nil"/>
            </w:tcBorders>
            <w:vAlign w:val="center"/>
          </w:tcPr>
          <w:p w14:paraId="161C7F53" w14:textId="77777777" w:rsidR="00565EA1" w:rsidRDefault="00565EA1" w:rsidP="00150C7F">
            <w:pPr>
              <w:jc w:val="center"/>
              <w:rPr>
                <w:i/>
                <w:sz w:val="20"/>
                <w:szCs w:val="20"/>
              </w:rPr>
            </w:pPr>
            <w:r>
              <w:rPr>
                <w:color w:val="000000"/>
                <w:sz w:val="20"/>
                <w:szCs w:val="20"/>
              </w:rPr>
              <w:t>0.069</w:t>
            </w:r>
          </w:p>
        </w:tc>
        <w:tc>
          <w:tcPr>
            <w:tcW w:w="1131" w:type="dxa"/>
            <w:tcBorders>
              <w:top w:val="nil"/>
              <w:left w:val="nil"/>
              <w:bottom w:val="nil"/>
              <w:right w:val="nil"/>
            </w:tcBorders>
            <w:vAlign w:val="center"/>
          </w:tcPr>
          <w:p w14:paraId="5E4D4F3E" w14:textId="77777777" w:rsidR="00565EA1" w:rsidRDefault="00565EA1" w:rsidP="00150C7F">
            <w:pPr>
              <w:jc w:val="center"/>
              <w:rPr>
                <w:i/>
                <w:sz w:val="20"/>
                <w:szCs w:val="20"/>
              </w:rPr>
            </w:pPr>
            <w:r>
              <w:rPr>
                <w:b/>
                <w:color w:val="00B050"/>
                <w:sz w:val="20"/>
                <w:szCs w:val="20"/>
              </w:rPr>
              <w:t>0.000</w:t>
            </w:r>
          </w:p>
        </w:tc>
        <w:tc>
          <w:tcPr>
            <w:tcW w:w="1034" w:type="dxa"/>
            <w:tcBorders>
              <w:top w:val="nil"/>
              <w:left w:val="nil"/>
              <w:bottom w:val="nil"/>
              <w:right w:val="single" w:sz="4" w:space="0" w:color="auto"/>
            </w:tcBorders>
            <w:vAlign w:val="center"/>
          </w:tcPr>
          <w:p w14:paraId="56E5F149" w14:textId="77777777" w:rsidR="00565EA1" w:rsidRDefault="00565EA1" w:rsidP="00150C7F">
            <w:pPr>
              <w:jc w:val="center"/>
              <w:rPr>
                <w:i/>
                <w:sz w:val="20"/>
                <w:szCs w:val="20"/>
              </w:rPr>
            </w:pPr>
          </w:p>
        </w:tc>
      </w:tr>
      <w:tr w:rsidR="00565EA1" w14:paraId="5D36AC51" w14:textId="77777777" w:rsidTr="00565EA1">
        <w:trPr>
          <w:trHeight w:val="322"/>
        </w:trPr>
        <w:tc>
          <w:tcPr>
            <w:tcW w:w="5073" w:type="dxa"/>
            <w:tcBorders>
              <w:left w:val="single" w:sz="4" w:space="0" w:color="auto"/>
              <w:right w:val="nil"/>
            </w:tcBorders>
            <w:vAlign w:val="center"/>
          </w:tcPr>
          <w:p w14:paraId="4AD86C10" w14:textId="77777777" w:rsidR="00565EA1" w:rsidRDefault="00565EA1" w:rsidP="00150C7F">
            <w:pPr>
              <w:rPr>
                <w:b/>
                <w:color w:val="000000"/>
                <w:sz w:val="20"/>
                <w:szCs w:val="20"/>
              </w:rPr>
            </w:pPr>
            <w:r>
              <w:rPr>
                <w:b/>
                <w:color w:val="000000"/>
                <w:sz w:val="20"/>
                <w:szCs w:val="20"/>
              </w:rPr>
              <w:t>Hypothesis 6</w:t>
            </w:r>
          </w:p>
        </w:tc>
        <w:tc>
          <w:tcPr>
            <w:tcW w:w="991" w:type="dxa"/>
            <w:tcBorders>
              <w:top w:val="nil"/>
              <w:left w:val="nil"/>
              <w:bottom w:val="nil"/>
              <w:right w:val="nil"/>
            </w:tcBorders>
            <w:vAlign w:val="center"/>
          </w:tcPr>
          <w:p w14:paraId="6BB67E92" w14:textId="77777777" w:rsidR="00565EA1" w:rsidRDefault="00565EA1" w:rsidP="00150C7F">
            <w:pPr>
              <w:jc w:val="center"/>
              <w:rPr>
                <w:b/>
                <w:color w:val="000000"/>
                <w:sz w:val="20"/>
                <w:szCs w:val="20"/>
              </w:rPr>
            </w:pPr>
          </w:p>
        </w:tc>
        <w:tc>
          <w:tcPr>
            <w:tcW w:w="1131" w:type="dxa"/>
            <w:tcBorders>
              <w:top w:val="nil"/>
              <w:left w:val="nil"/>
              <w:bottom w:val="nil"/>
              <w:right w:val="nil"/>
            </w:tcBorders>
            <w:vAlign w:val="center"/>
          </w:tcPr>
          <w:p w14:paraId="5322A24C" w14:textId="77777777" w:rsidR="00565EA1" w:rsidRDefault="00565EA1" w:rsidP="00150C7F">
            <w:pPr>
              <w:jc w:val="center"/>
              <w:rPr>
                <w:color w:val="000000"/>
                <w:sz w:val="20"/>
                <w:szCs w:val="20"/>
              </w:rPr>
            </w:pPr>
          </w:p>
        </w:tc>
        <w:tc>
          <w:tcPr>
            <w:tcW w:w="1131" w:type="dxa"/>
            <w:tcBorders>
              <w:top w:val="nil"/>
              <w:left w:val="nil"/>
              <w:bottom w:val="nil"/>
              <w:right w:val="nil"/>
            </w:tcBorders>
            <w:vAlign w:val="center"/>
          </w:tcPr>
          <w:p w14:paraId="72B90FCE" w14:textId="77777777" w:rsidR="00565EA1" w:rsidRDefault="00565EA1" w:rsidP="00150C7F">
            <w:pPr>
              <w:jc w:val="center"/>
              <w:rPr>
                <w:b/>
                <w:color w:val="00B050"/>
                <w:sz w:val="20"/>
                <w:szCs w:val="20"/>
              </w:rPr>
            </w:pPr>
          </w:p>
        </w:tc>
        <w:tc>
          <w:tcPr>
            <w:tcW w:w="1034" w:type="dxa"/>
            <w:tcBorders>
              <w:top w:val="nil"/>
              <w:left w:val="nil"/>
              <w:bottom w:val="nil"/>
              <w:right w:val="single" w:sz="4" w:space="0" w:color="auto"/>
            </w:tcBorders>
            <w:vAlign w:val="center"/>
          </w:tcPr>
          <w:p w14:paraId="40A035A4" w14:textId="77777777" w:rsidR="00565EA1" w:rsidRDefault="00565EA1" w:rsidP="00150C7F">
            <w:pPr>
              <w:jc w:val="center"/>
              <w:rPr>
                <w:i/>
                <w:sz w:val="20"/>
                <w:szCs w:val="20"/>
              </w:rPr>
            </w:pPr>
          </w:p>
        </w:tc>
      </w:tr>
      <w:tr w:rsidR="00565EA1" w14:paraId="1F32FC5F" w14:textId="77777777" w:rsidTr="00565EA1">
        <w:trPr>
          <w:trHeight w:val="412"/>
        </w:trPr>
        <w:tc>
          <w:tcPr>
            <w:tcW w:w="5073" w:type="dxa"/>
            <w:tcBorders>
              <w:top w:val="single" w:sz="4" w:space="0" w:color="FFFFFF"/>
              <w:left w:val="single" w:sz="4" w:space="0" w:color="auto"/>
              <w:bottom w:val="single" w:sz="12" w:space="0" w:color="000000"/>
              <w:right w:val="nil"/>
            </w:tcBorders>
            <w:vAlign w:val="center"/>
          </w:tcPr>
          <w:p w14:paraId="157D942B" w14:textId="77777777" w:rsidR="00565EA1" w:rsidRDefault="00565EA1" w:rsidP="00150C7F">
            <w:proofErr w:type="spellStart"/>
            <w:r>
              <w:rPr>
                <w:sz w:val="20"/>
                <w:szCs w:val="20"/>
              </w:rPr>
              <w:t>Mod_SDGs_EMP</w:t>
            </w:r>
            <w:proofErr w:type="spellEnd"/>
            <w:r>
              <w:rPr>
                <w:sz w:val="20"/>
                <w:szCs w:val="20"/>
              </w:rPr>
              <w:t xml:space="preserve"> </w:t>
            </w:r>
            <w:r>
              <w:rPr>
                <w:sz w:val="18"/>
                <w:szCs w:val="18"/>
              </w:rPr>
              <w:sym w:font="Symbol" w:char="F0AE"/>
            </w:r>
            <w:r>
              <w:rPr>
                <w:sz w:val="20"/>
                <w:szCs w:val="20"/>
              </w:rPr>
              <w:t xml:space="preserve"> SP</w:t>
            </w:r>
          </w:p>
        </w:tc>
        <w:tc>
          <w:tcPr>
            <w:tcW w:w="991" w:type="dxa"/>
            <w:tcBorders>
              <w:top w:val="nil"/>
              <w:left w:val="nil"/>
              <w:bottom w:val="single" w:sz="12" w:space="0" w:color="000000"/>
              <w:right w:val="nil"/>
            </w:tcBorders>
            <w:vAlign w:val="center"/>
          </w:tcPr>
          <w:p w14:paraId="0DA9E8F3" w14:textId="77777777" w:rsidR="00565EA1" w:rsidRDefault="00565EA1" w:rsidP="00150C7F">
            <w:pPr>
              <w:jc w:val="center"/>
              <w:rPr>
                <w:i/>
                <w:sz w:val="20"/>
                <w:szCs w:val="20"/>
              </w:rPr>
            </w:pPr>
            <w:r>
              <w:rPr>
                <w:b/>
                <w:color w:val="000000"/>
                <w:sz w:val="20"/>
                <w:szCs w:val="20"/>
              </w:rPr>
              <w:t>0.057</w:t>
            </w:r>
          </w:p>
        </w:tc>
        <w:tc>
          <w:tcPr>
            <w:tcW w:w="1131" w:type="dxa"/>
            <w:tcBorders>
              <w:top w:val="nil"/>
              <w:left w:val="nil"/>
              <w:bottom w:val="single" w:sz="12" w:space="0" w:color="000000"/>
              <w:right w:val="nil"/>
            </w:tcBorders>
            <w:vAlign w:val="center"/>
          </w:tcPr>
          <w:p w14:paraId="4A5A7603" w14:textId="77777777" w:rsidR="00565EA1" w:rsidRDefault="00565EA1" w:rsidP="00150C7F">
            <w:pPr>
              <w:jc w:val="center"/>
              <w:rPr>
                <w:i/>
                <w:sz w:val="20"/>
                <w:szCs w:val="20"/>
              </w:rPr>
            </w:pPr>
            <w:r>
              <w:rPr>
                <w:color w:val="000000"/>
                <w:sz w:val="20"/>
                <w:szCs w:val="20"/>
              </w:rPr>
              <w:t>0.067</w:t>
            </w:r>
          </w:p>
        </w:tc>
        <w:tc>
          <w:tcPr>
            <w:tcW w:w="1131" w:type="dxa"/>
            <w:tcBorders>
              <w:top w:val="nil"/>
              <w:left w:val="nil"/>
              <w:bottom w:val="single" w:sz="12" w:space="0" w:color="000000"/>
              <w:right w:val="nil"/>
            </w:tcBorders>
            <w:vAlign w:val="center"/>
          </w:tcPr>
          <w:p w14:paraId="0B6E32BA" w14:textId="77777777" w:rsidR="00565EA1" w:rsidRDefault="00565EA1" w:rsidP="00150C7F">
            <w:pPr>
              <w:jc w:val="center"/>
              <w:rPr>
                <w:i/>
                <w:sz w:val="20"/>
                <w:szCs w:val="20"/>
              </w:rPr>
            </w:pPr>
            <w:r>
              <w:rPr>
                <w:b/>
                <w:color w:val="FF0000"/>
                <w:sz w:val="20"/>
                <w:szCs w:val="20"/>
              </w:rPr>
              <w:t>0.399</w:t>
            </w:r>
          </w:p>
        </w:tc>
        <w:tc>
          <w:tcPr>
            <w:tcW w:w="1034" w:type="dxa"/>
            <w:tcBorders>
              <w:top w:val="nil"/>
              <w:left w:val="nil"/>
              <w:bottom w:val="single" w:sz="12" w:space="0" w:color="000000"/>
              <w:right w:val="single" w:sz="4" w:space="0" w:color="auto"/>
            </w:tcBorders>
            <w:vAlign w:val="center"/>
          </w:tcPr>
          <w:p w14:paraId="1D9CB0AF" w14:textId="77777777" w:rsidR="00565EA1" w:rsidRDefault="00565EA1" w:rsidP="00150C7F">
            <w:pPr>
              <w:jc w:val="center"/>
              <w:rPr>
                <w:i/>
                <w:sz w:val="20"/>
                <w:szCs w:val="20"/>
              </w:rPr>
            </w:pPr>
          </w:p>
        </w:tc>
      </w:tr>
      <w:tr w:rsidR="00565EA1" w14:paraId="5F2FA99C" w14:textId="77777777" w:rsidTr="00565EA1">
        <w:trPr>
          <w:trHeight w:val="424"/>
        </w:trPr>
        <w:tc>
          <w:tcPr>
            <w:tcW w:w="5073" w:type="dxa"/>
            <w:tcBorders>
              <w:top w:val="single" w:sz="12" w:space="0" w:color="000000"/>
              <w:left w:val="single" w:sz="4" w:space="0" w:color="auto"/>
              <w:right w:val="single" w:sz="4" w:space="0" w:color="FFFFFF"/>
            </w:tcBorders>
            <w:vAlign w:val="center"/>
          </w:tcPr>
          <w:p w14:paraId="02089757" w14:textId="77777777" w:rsidR="00565EA1" w:rsidRDefault="00565EA1" w:rsidP="00150C7F">
            <w:pPr>
              <w:jc w:val="center"/>
              <w:rPr>
                <w:b/>
                <w:i/>
              </w:rPr>
            </w:pPr>
            <w:r>
              <w:rPr>
                <w:b/>
                <w:i/>
              </w:rPr>
              <w:t>Control</w:t>
            </w:r>
          </w:p>
        </w:tc>
        <w:tc>
          <w:tcPr>
            <w:tcW w:w="4287" w:type="dxa"/>
            <w:gridSpan w:val="4"/>
            <w:tcBorders>
              <w:top w:val="single" w:sz="12" w:space="0" w:color="000000"/>
              <w:left w:val="single" w:sz="4" w:space="0" w:color="FFFFFF"/>
              <w:bottom w:val="nil"/>
              <w:right w:val="single" w:sz="4" w:space="0" w:color="auto"/>
            </w:tcBorders>
            <w:vAlign w:val="center"/>
          </w:tcPr>
          <w:p w14:paraId="1EA29B61" w14:textId="77777777" w:rsidR="00565EA1" w:rsidRDefault="00565EA1" w:rsidP="00150C7F">
            <w:pPr>
              <w:jc w:val="center"/>
              <w:rPr>
                <w:i/>
                <w:sz w:val="20"/>
                <w:szCs w:val="20"/>
              </w:rPr>
            </w:pPr>
          </w:p>
        </w:tc>
      </w:tr>
      <w:tr w:rsidR="00565EA1" w14:paraId="2B0BF6E5" w14:textId="77777777" w:rsidTr="00565EA1">
        <w:trPr>
          <w:trHeight w:val="411"/>
        </w:trPr>
        <w:tc>
          <w:tcPr>
            <w:tcW w:w="5073" w:type="dxa"/>
            <w:tcBorders>
              <w:top w:val="single" w:sz="4" w:space="0" w:color="000000"/>
              <w:left w:val="single" w:sz="4" w:space="0" w:color="auto"/>
              <w:right w:val="nil"/>
            </w:tcBorders>
            <w:vAlign w:val="center"/>
          </w:tcPr>
          <w:p w14:paraId="428AC08E" w14:textId="77777777" w:rsidR="00565EA1" w:rsidRDefault="00565EA1" w:rsidP="00150C7F">
            <w:pPr>
              <w:rPr>
                <w:sz w:val="20"/>
                <w:szCs w:val="20"/>
              </w:rPr>
            </w:pPr>
            <w:r>
              <w:rPr>
                <w:sz w:val="20"/>
                <w:szCs w:val="20"/>
              </w:rPr>
              <w:t xml:space="preserve">Size </w:t>
            </w:r>
            <w:r>
              <w:rPr>
                <w:sz w:val="18"/>
                <w:szCs w:val="18"/>
              </w:rPr>
              <w:sym w:font="Symbol" w:char="F0AE"/>
            </w:r>
            <w:r>
              <w:rPr>
                <w:sz w:val="20"/>
                <w:szCs w:val="20"/>
              </w:rPr>
              <w:t xml:space="preserve"> SP</w:t>
            </w:r>
          </w:p>
        </w:tc>
        <w:tc>
          <w:tcPr>
            <w:tcW w:w="991" w:type="dxa"/>
            <w:tcBorders>
              <w:top w:val="single" w:sz="4" w:space="0" w:color="000000"/>
              <w:left w:val="nil"/>
              <w:bottom w:val="nil"/>
              <w:right w:val="nil"/>
            </w:tcBorders>
            <w:vAlign w:val="center"/>
          </w:tcPr>
          <w:p w14:paraId="6009DD3A" w14:textId="77777777" w:rsidR="00565EA1" w:rsidRDefault="00565EA1" w:rsidP="00150C7F">
            <w:pPr>
              <w:jc w:val="center"/>
              <w:rPr>
                <w:i/>
                <w:sz w:val="20"/>
                <w:szCs w:val="20"/>
              </w:rPr>
            </w:pPr>
            <w:r>
              <w:rPr>
                <w:b/>
                <w:color w:val="000000"/>
                <w:sz w:val="20"/>
                <w:szCs w:val="20"/>
              </w:rPr>
              <w:t>0.106</w:t>
            </w:r>
          </w:p>
        </w:tc>
        <w:tc>
          <w:tcPr>
            <w:tcW w:w="1131" w:type="dxa"/>
            <w:tcBorders>
              <w:top w:val="single" w:sz="4" w:space="0" w:color="000000"/>
              <w:left w:val="nil"/>
              <w:bottom w:val="nil"/>
              <w:right w:val="nil"/>
            </w:tcBorders>
            <w:vAlign w:val="center"/>
          </w:tcPr>
          <w:p w14:paraId="7578EB82" w14:textId="77777777" w:rsidR="00565EA1" w:rsidRDefault="00565EA1" w:rsidP="00150C7F">
            <w:pPr>
              <w:jc w:val="center"/>
              <w:rPr>
                <w:i/>
                <w:sz w:val="20"/>
                <w:szCs w:val="20"/>
              </w:rPr>
            </w:pPr>
            <w:r>
              <w:rPr>
                <w:color w:val="000000"/>
                <w:sz w:val="20"/>
                <w:szCs w:val="20"/>
              </w:rPr>
              <w:t>0.040</w:t>
            </w:r>
          </w:p>
        </w:tc>
        <w:tc>
          <w:tcPr>
            <w:tcW w:w="1131" w:type="dxa"/>
            <w:tcBorders>
              <w:top w:val="single" w:sz="4" w:space="0" w:color="000000"/>
              <w:left w:val="nil"/>
              <w:bottom w:val="nil"/>
              <w:right w:val="nil"/>
            </w:tcBorders>
            <w:vAlign w:val="center"/>
          </w:tcPr>
          <w:p w14:paraId="3AEFDA94" w14:textId="77777777" w:rsidR="00565EA1" w:rsidRDefault="00565EA1" w:rsidP="00150C7F">
            <w:pPr>
              <w:jc w:val="center"/>
              <w:rPr>
                <w:i/>
                <w:sz w:val="20"/>
                <w:szCs w:val="20"/>
              </w:rPr>
            </w:pPr>
            <w:r>
              <w:rPr>
                <w:b/>
                <w:color w:val="00B050"/>
                <w:sz w:val="20"/>
                <w:szCs w:val="20"/>
              </w:rPr>
              <w:t>0.008</w:t>
            </w:r>
          </w:p>
        </w:tc>
        <w:tc>
          <w:tcPr>
            <w:tcW w:w="1034" w:type="dxa"/>
            <w:tcBorders>
              <w:top w:val="single" w:sz="4" w:space="0" w:color="000000"/>
              <w:left w:val="nil"/>
              <w:bottom w:val="nil"/>
              <w:right w:val="single" w:sz="4" w:space="0" w:color="auto"/>
            </w:tcBorders>
            <w:vAlign w:val="center"/>
          </w:tcPr>
          <w:p w14:paraId="1EA13F74" w14:textId="77777777" w:rsidR="00565EA1" w:rsidRDefault="00565EA1" w:rsidP="00150C7F">
            <w:pPr>
              <w:jc w:val="center"/>
              <w:rPr>
                <w:i/>
                <w:sz w:val="20"/>
                <w:szCs w:val="20"/>
              </w:rPr>
            </w:pPr>
          </w:p>
        </w:tc>
      </w:tr>
      <w:tr w:rsidR="00565EA1" w14:paraId="1D376C20" w14:textId="77777777" w:rsidTr="00565EA1">
        <w:trPr>
          <w:trHeight w:val="409"/>
        </w:trPr>
        <w:tc>
          <w:tcPr>
            <w:tcW w:w="5073" w:type="dxa"/>
            <w:tcBorders>
              <w:left w:val="single" w:sz="4" w:space="0" w:color="auto"/>
              <w:bottom w:val="single" w:sz="12" w:space="0" w:color="000000"/>
              <w:right w:val="nil"/>
            </w:tcBorders>
            <w:vAlign w:val="center"/>
          </w:tcPr>
          <w:p w14:paraId="050B7A0C" w14:textId="77777777" w:rsidR="00565EA1" w:rsidRDefault="00565EA1" w:rsidP="00150C7F">
            <w:pPr>
              <w:rPr>
                <w:sz w:val="20"/>
                <w:szCs w:val="20"/>
              </w:rPr>
            </w:pPr>
            <w:r>
              <w:rPr>
                <w:sz w:val="20"/>
                <w:szCs w:val="20"/>
              </w:rPr>
              <w:t xml:space="preserve">Level of Economic Development </w:t>
            </w:r>
            <w:r>
              <w:rPr>
                <w:sz w:val="18"/>
                <w:szCs w:val="18"/>
              </w:rPr>
              <w:sym w:font="Symbol" w:char="F0AE"/>
            </w:r>
            <w:r>
              <w:rPr>
                <w:sz w:val="20"/>
                <w:szCs w:val="20"/>
              </w:rPr>
              <w:t xml:space="preserve"> SP</w:t>
            </w:r>
          </w:p>
        </w:tc>
        <w:tc>
          <w:tcPr>
            <w:tcW w:w="991" w:type="dxa"/>
            <w:tcBorders>
              <w:top w:val="nil"/>
              <w:left w:val="nil"/>
              <w:bottom w:val="single" w:sz="12" w:space="0" w:color="000000"/>
              <w:right w:val="nil"/>
            </w:tcBorders>
            <w:vAlign w:val="center"/>
          </w:tcPr>
          <w:p w14:paraId="2455E372" w14:textId="77777777" w:rsidR="00565EA1" w:rsidRDefault="00565EA1" w:rsidP="00150C7F">
            <w:pPr>
              <w:jc w:val="center"/>
              <w:rPr>
                <w:i/>
                <w:sz w:val="20"/>
                <w:szCs w:val="20"/>
              </w:rPr>
            </w:pPr>
            <w:r>
              <w:rPr>
                <w:b/>
                <w:color w:val="000000"/>
                <w:sz w:val="20"/>
                <w:szCs w:val="20"/>
              </w:rPr>
              <w:t>-0.106</w:t>
            </w:r>
          </w:p>
        </w:tc>
        <w:tc>
          <w:tcPr>
            <w:tcW w:w="1131" w:type="dxa"/>
            <w:tcBorders>
              <w:top w:val="nil"/>
              <w:left w:val="nil"/>
              <w:bottom w:val="single" w:sz="12" w:space="0" w:color="000000"/>
              <w:right w:val="nil"/>
            </w:tcBorders>
            <w:vAlign w:val="center"/>
          </w:tcPr>
          <w:p w14:paraId="0E035207" w14:textId="77777777" w:rsidR="00565EA1" w:rsidRDefault="00565EA1" w:rsidP="00150C7F">
            <w:pPr>
              <w:jc w:val="center"/>
              <w:rPr>
                <w:i/>
                <w:sz w:val="20"/>
                <w:szCs w:val="20"/>
              </w:rPr>
            </w:pPr>
            <w:r>
              <w:rPr>
                <w:color w:val="000000"/>
                <w:sz w:val="20"/>
                <w:szCs w:val="20"/>
              </w:rPr>
              <w:t>0.027</w:t>
            </w:r>
          </w:p>
        </w:tc>
        <w:tc>
          <w:tcPr>
            <w:tcW w:w="1131" w:type="dxa"/>
            <w:tcBorders>
              <w:top w:val="nil"/>
              <w:left w:val="nil"/>
              <w:bottom w:val="single" w:sz="12" w:space="0" w:color="000000"/>
              <w:right w:val="nil"/>
            </w:tcBorders>
            <w:vAlign w:val="center"/>
          </w:tcPr>
          <w:p w14:paraId="306E8034" w14:textId="77777777" w:rsidR="00565EA1" w:rsidRDefault="00565EA1" w:rsidP="00150C7F">
            <w:pPr>
              <w:jc w:val="center"/>
              <w:rPr>
                <w:i/>
                <w:sz w:val="20"/>
                <w:szCs w:val="20"/>
              </w:rPr>
            </w:pPr>
            <w:r>
              <w:rPr>
                <w:b/>
                <w:color w:val="00B050"/>
                <w:sz w:val="20"/>
                <w:szCs w:val="20"/>
              </w:rPr>
              <w:t>0.000</w:t>
            </w:r>
          </w:p>
        </w:tc>
        <w:tc>
          <w:tcPr>
            <w:tcW w:w="1034" w:type="dxa"/>
            <w:tcBorders>
              <w:top w:val="nil"/>
              <w:left w:val="nil"/>
              <w:bottom w:val="single" w:sz="12" w:space="0" w:color="000000"/>
              <w:right w:val="single" w:sz="4" w:space="0" w:color="auto"/>
            </w:tcBorders>
            <w:vAlign w:val="center"/>
          </w:tcPr>
          <w:p w14:paraId="1A39246F" w14:textId="77777777" w:rsidR="00565EA1" w:rsidRDefault="00565EA1" w:rsidP="00150C7F">
            <w:pPr>
              <w:rPr>
                <w:i/>
              </w:rPr>
            </w:pPr>
          </w:p>
        </w:tc>
      </w:tr>
    </w:tbl>
    <w:p w14:paraId="723BCB22" w14:textId="77777777" w:rsidR="00565EA1" w:rsidRDefault="00565EA1" w:rsidP="00565EA1"/>
    <w:p w14:paraId="0000007C" w14:textId="77777777" w:rsidR="00E07592" w:rsidRDefault="00E07592">
      <w:pPr>
        <w:spacing w:line="276" w:lineRule="auto"/>
        <w:jc w:val="center"/>
      </w:pPr>
    </w:p>
    <w:p w14:paraId="00000080" w14:textId="77777777" w:rsidR="00E07592" w:rsidRDefault="00E07592">
      <w:pPr>
        <w:spacing w:line="276" w:lineRule="auto"/>
        <w:jc w:val="center"/>
      </w:pPr>
    </w:p>
    <w:p w14:paraId="168103EC" w14:textId="77777777" w:rsidR="00C806BF" w:rsidRDefault="00C806BF">
      <w:pPr>
        <w:spacing w:line="276" w:lineRule="auto"/>
        <w:jc w:val="center"/>
      </w:pPr>
    </w:p>
    <w:p w14:paraId="47903A66" w14:textId="77777777" w:rsidR="00C806BF" w:rsidRDefault="00C806BF">
      <w:pPr>
        <w:spacing w:line="276" w:lineRule="auto"/>
        <w:jc w:val="center"/>
      </w:pPr>
    </w:p>
    <w:p w14:paraId="1260886B" w14:textId="1322B672" w:rsidR="00C806BF" w:rsidRDefault="00C806BF">
      <w:pPr>
        <w:spacing w:line="276" w:lineRule="auto"/>
        <w:jc w:val="center"/>
      </w:pPr>
      <w:r w:rsidRPr="00C806BF">
        <w:rPr>
          <w:noProof/>
        </w:rPr>
        <w:lastRenderedPageBreak/>
        <w:drawing>
          <wp:inline distT="0" distB="0" distL="0" distR="0" wp14:anchorId="35BDDFD9" wp14:editId="5836BBC6">
            <wp:extent cx="5943457" cy="5062888"/>
            <wp:effectExtent l="0" t="0" r="635" b="4445"/>
            <wp:docPr id="530727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27242" name=""/>
                    <pic:cNvPicPr/>
                  </pic:nvPicPr>
                  <pic:blipFill rotWithShape="1">
                    <a:blip r:embed="rId13"/>
                    <a:srcRect t="3993" b="8485"/>
                    <a:stretch/>
                  </pic:blipFill>
                  <pic:spPr bwMode="auto">
                    <a:xfrm>
                      <a:off x="0" y="0"/>
                      <a:ext cx="5943600" cy="5063010"/>
                    </a:xfrm>
                    <a:prstGeom prst="rect">
                      <a:avLst/>
                    </a:prstGeom>
                    <a:ln>
                      <a:noFill/>
                    </a:ln>
                    <a:extLst>
                      <a:ext uri="{53640926-AAD7-44D8-BBD7-CCE9431645EC}">
                        <a14:shadowObscured xmlns:a14="http://schemas.microsoft.com/office/drawing/2010/main"/>
                      </a:ext>
                    </a:extLst>
                  </pic:spPr>
                </pic:pic>
              </a:graphicData>
            </a:graphic>
          </wp:inline>
        </w:drawing>
      </w:r>
    </w:p>
    <w:p w14:paraId="7B708391" w14:textId="743B37DA" w:rsidR="00C806BF" w:rsidRPr="00C806BF" w:rsidRDefault="00C806BF" w:rsidP="00C806BF">
      <w:pPr>
        <w:spacing w:before="120" w:after="120" w:line="360" w:lineRule="auto"/>
        <w:jc w:val="center"/>
        <w:rPr>
          <w:bCs/>
          <w:i/>
          <w:iCs/>
        </w:rPr>
      </w:pPr>
      <w:r w:rsidRPr="00C806BF">
        <w:rPr>
          <w:bCs/>
          <w:i/>
          <w:iCs/>
        </w:rPr>
        <w:t>Figure 2b. Structural Model – Indirect effects.</w:t>
      </w:r>
    </w:p>
    <w:p w14:paraId="00000081" w14:textId="46CE827B" w:rsidR="00E07592" w:rsidRDefault="00C67442">
      <w:pPr>
        <w:spacing w:before="120" w:after="120" w:line="360" w:lineRule="auto"/>
        <w:jc w:val="both"/>
        <w:rPr>
          <w:b/>
        </w:rPr>
      </w:pPr>
      <w:r>
        <w:rPr>
          <w:b/>
        </w:rPr>
        <w:t>5. Discussion</w:t>
      </w:r>
    </w:p>
    <w:p w14:paraId="00000082" w14:textId="77777777" w:rsidR="00E07592" w:rsidRDefault="00C67442">
      <w:pPr>
        <w:spacing w:before="120" w:after="120" w:line="360" w:lineRule="auto"/>
        <w:jc w:val="both"/>
        <w:rPr>
          <w:b/>
        </w:rPr>
      </w:pPr>
      <w:r>
        <w:rPr>
          <w:b/>
        </w:rPr>
        <w:t>5.1 Interpretation of Results</w:t>
      </w:r>
    </w:p>
    <w:p w14:paraId="28D6A36C" w14:textId="77777777" w:rsidR="00365E3A" w:rsidRPr="004A1274" w:rsidRDefault="00365E3A" w:rsidP="00365E3A">
      <w:pPr>
        <w:spacing w:before="120" w:after="120" w:line="360" w:lineRule="auto"/>
        <w:jc w:val="both"/>
      </w:pPr>
      <w:r w:rsidRPr="004A1274">
        <w:t xml:space="preserve">This study uses stakeholder theory to explore how MNEs operationalize ethical and environmental responsibilities into concrete sustainability outcomes, particularly through the adoption of the SDGs. This interpretation is situated in the MENA context, where governance, stability, civic space, resource dependence, and income levels vary widely (Table 2), shaping how ethical aspirations translate into outcomes. Our findings highlight relationships among ethical practices, environmental management practices, SDG adoption, sustainability performance for MNEs in the MENA region. Contrary to the normative expectations of stakeholder theory (e.g., NST), which emphasize the intrinsic value of ethical commitments regardless of their financial or strategic </w:t>
      </w:r>
      <w:r w:rsidRPr="004A1274">
        <w:lastRenderedPageBreak/>
        <w:t>implications (Jones &amp; Felps, 2013; Valentinov &amp; Hajdu, 2021), our findings suggest that EP—measured through improvement tools, ethics policies, and diversity initiatives—negatively influence sustainability performance (SP) (H1).</w:t>
      </w:r>
    </w:p>
    <w:p w14:paraId="4D4820D4" w14:textId="77777777" w:rsidR="00365E3A" w:rsidRPr="004A1274" w:rsidRDefault="00365E3A" w:rsidP="00365E3A">
      <w:pPr>
        <w:spacing w:before="120" w:after="120" w:line="360" w:lineRule="auto"/>
        <w:ind w:firstLine="720"/>
        <w:jc w:val="both"/>
      </w:pPr>
      <w:r w:rsidRPr="004A1274">
        <w:t>This finding aligns with Kaptein’s (2023) notion of the ethical paradox, suggesting that while ethical standards reflect commendable goals, they may introduce operational complexity or inefficiencies in resource allocation. Consistent with this, recent evidence shows that third-party environmental disclosure improves performance only under enabling conditions (e.g., organizational/relational capacity), while digital and green transitions can exhibit rebound or non-linear efficiency patterns without supportive governance and policy complements (</w:t>
      </w:r>
      <w:proofErr w:type="spellStart"/>
      <w:r w:rsidRPr="004A1274">
        <w:t>Alnafrah</w:t>
      </w:r>
      <w:proofErr w:type="spellEnd"/>
      <w:r>
        <w:t xml:space="preserve"> et al.</w:t>
      </w:r>
      <w:r w:rsidRPr="004A1274">
        <w:t xml:space="preserve">, 2024; </w:t>
      </w:r>
      <w:proofErr w:type="spellStart"/>
      <w:r w:rsidRPr="004A1274">
        <w:t>Alnafrah</w:t>
      </w:r>
      <w:proofErr w:type="spellEnd"/>
      <w:r w:rsidRPr="004A1274">
        <w:t xml:space="preserve">, 2025a; </w:t>
      </w:r>
      <w:proofErr w:type="spellStart"/>
      <w:r w:rsidRPr="004A1274">
        <w:t>Alnafrah</w:t>
      </w:r>
      <w:proofErr w:type="spellEnd"/>
      <w:r w:rsidRPr="004A1274">
        <w:t xml:space="preserve">, 2025b). From a systems-theoretic perspective, NST reflects the moral obligation of firms to act in the interest of stakeholders, even when such actions are not economically advantageous. However, as Valentinov and Hajdu (2021) argue, these commitments may exceed the firm's codification capacity, especially under turbulent institutional conditions, such as those in emerging markets. In these settings, firms may struggle to align abstract ethical commitments with locally relevant stakeholder expectations (Danso et al., 2020; </w:t>
      </w:r>
      <w:proofErr w:type="spellStart"/>
      <w:r w:rsidRPr="004A1274">
        <w:t>Lashitew</w:t>
      </w:r>
      <w:proofErr w:type="spellEnd"/>
      <w:r w:rsidRPr="004A1274">
        <w:t>, 2021), leading to diluted outcomes or reputational risks without meaningful sustainability gains.</w:t>
      </w:r>
    </w:p>
    <w:p w14:paraId="63204080" w14:textId="77777777" w:rsidR="00365E3A" w:rsidRPr="004A1274" w:rsidRDefault="00365E3A" w:rsidP="00365E3A">
      <w:pPr>
        <w:spacing w:before="120" w:after="120" w:line="360" w:lineRule="auto"/>
        <w:ind w:firstLine="720"/>
        <w:jc w:val="both"/>
      </w:pPr>
      <w:r w:rsidRPr="004A1274">
        <w:t>Our findings support that when firms translate ethical intent into structured environmental actions—specifically through environmental supply chain management, waste reduction, and renewable energy adoption—positive sustainability outcomes are more likely (H2). These results align with IST, which holds that stakeholder engagement can support long-term profitability by reducing risks, improving reputation, and fostering innovation (Freeman et al., 2010; Jones et al., 2018). IST remains viable when firms adapt to environmental turbulence without relinquishing their goal of economic performance (Valentinov &amp; Hajdu, 2021). The deployment of EMP mechanisms can be interpreted as a firm-level response to complexity—one that enables the organization to meet both stakeholder expectations and operational goals without resorting to trade-offs (Russo &amp; Fouts, 1997</w:t>
      </w:r>
      <w:r>
        <w:t>;</w:t>
      </w:r>
      <w:r w:rsidRPr="004A1274">
        <w:t xml:space="preserve"> Lucas, 2010</w:t>
      </w:r>
      <w:r>
        <w:t xml:space="preserve">; </w:t>
      </w:r>
      <w:r w:rsidRPr="004A1274">
        <w:t>Longoni et al., 2018</w:t>
      </w:r>
      <w:r>
        <w:t xml:space="preserve">; </w:t>
      </w:r>
      <w:r w:rsidRPr="004A1274">
        <w:t>Colvin et al., 2020). We find this especially relevant in MENA, where firms must navigate institutional voids by implementing codifiable practices that can yield demonstrable sustainability outcomes.</w:t>
      </w:r>
    </w:p>
    <w:p w14:paraId="67576662" w14:textId="77777777" w:rsidR="00365E3A" w:rsidRPr="004A1274" w:rsidRDefault="00365E3A" w:rsidP="00365E3A">
      <w:pPr>
        <w:spacing w:before="120" w:after="120" w:line="360" w:lineRule="auto"/>
        <w:ind w:firstLine="720"/>
        <w:jc w:val="both"/>
      </w:pPr>
      <w:r w:rsidRPr="004A1274">
        <w:t xml:space="preserve">Regarding SDG adoption, our findings illustrate more nuanced relationships. EP positively drives SDG adoption, consistent with the expectation that firms demonstrating strong ethical </w:t>
      </w:r>
      <w:r w:rsidRPr="004A1274">
        <w:lastRenderedPageBreak/>
        <w:t xml:space="preserve">policies (e.g., anti-corruption measures, diversity policies) align more explicitly with global sustainability frameworks (van </w:t>
      </w:r>
      <w:proofErr w:type="spellStart"/>
      <w:r w:rsidRPr="004A1274">
        <w:t>Tulder</w:t>
      </w:r>
      <w:proofErr w:type="spellEnd"/>
      <w:r w:rsidRPr="004A1274">
        <w:t xml:space="preserve"> et al., 2021). However, in contexts marked by lower governance/stability and constrained civic space, SDG portfolios can disperse managerial attention and add coordination overhead. However, SDG adoption negatively mediates the EP–SP relationship (H3), suggesting potential operational inefficiencies in translating broad global objectives (e.g., SDG1–No Poverty, SDG13–Climate Action) into local contexts. This aligns with prior insights indicating that translating global sustainability initiatives into regionally specific actions is challenging, especially in emerging markets (Liou &amp; Rao-Nicholson, 2021; Nonet et al., 2022; OECD, 2020). This helps explain the negative mediating role we observe: broad SDG mapping may interpose process and reporting demands that temporarily dilute the direct contribution of EP to SP, especially where capacity and enforcement are uneven (</w:t>
      </w:r>
      <w:proofErr w:type="spellStart"/>
      <w:r w:rsidRPr="004A1274">
        <w:t>Alnafrah</w:t>
      </w:r>
      <w:proofErr w:type="spellEnd"/>
      <w:r w:rsidRPr="004A1274">
        <w:t xml:space="preserve">, 2025a; </w:t>
      </w:r>
      <w:proofErr w:type="spellStart"/>
      <w:r w:rsidRPr="004A1274">
        <w:t>Alnafrah</w:t>
      </w:r>
      <w:proofErr w:type="spellEnd"/>
      <w:r w:rsidRPr="004A1274">
        <w:t>, 2025b). Such difficulties likely stem from resource constraints, unclear local relevance, and complex stakeholder interactions in regions such as MENA, underscoring the importance of more precisely aligning SDG objectives with local conditions (Alexander et al., 2022).</w:t>
      </w:r>
    </w:p>
    <w:p w14:paraId="1EFFAF6C" w14:textId="77777777" w:rsidR="00365E3A" w:rsidRPr="004A1274" w:rsidRDefault="00365E3A" w:rsidP="00365E3A">
      <w:pPr>
        <w:spacing w:before="120" w:after="120" w:line="360" w:lineRule="auto"/>
        <w:ind w:firstLine="720"/>
        <w:jc w:val="both"/>
      </w:pPr>
      <w:r w:rsidRPr="004A1274">
        <w:t xml:space="preserve">While SDG adoption negatively mediated the EP–SP relationship, it also positively moderated it (H5). This moderation effect, identified through firms' explicit commitments to global sustainability goals, suggests that when SDGs are explicitly integrated into strategic planning and governance (e.g., sustainability committees and clear reporting structures), ethical policies are more effectively linked to sustainability outcomes. The positive moderation further emphasizes that EP can enhance firm-level SP when explicitly aligned with specific SDGs. This finding supports the literature suggesting SDGs effectively promote sustainability when embedded within corporate governance structures (van Zanten &amp; van </w:t>
      </w:r>
      <w:proofErr w:type="spellStart"/>
      <w:r w:rsidRPr="004A1274">
        <w:t>Tulder</w:t>
      </w:r>
      <w:proofErr w:type="spellEnd"/>
      <w:r w:rsidRPr="004A1274">
        <w:t>, 2018; Zampone et al., 2024). In other words, embedding SDGs in governance (committees, decision rights, KPIs) can re-concentrate managerial attention on a smaller set of actionable priorities, offsetting dispersion effects and strengthening the EP–SP linkage.</w:t>
      </w:r>
    </w:p>
    <w:p w14:paraId="2C5609FA" w14:textId="77DF55C6" w:rsidR="000851C0" w:rsidRPr="004A1274" w:rsidRDefault="000851C0" w:rsidP="000851C0">
      <w:pPr>
        <w:spacing w:before="120" w:after="120" w:line="360" w:lineRule="auto"/>
        <w:ind w:firstLine="720"/>
        <w:jc w:val="both"/>
      </w:pPr>
      <w:r>
        <w:t>Our analysis of the EMP–SDG–SP relationships (H4, H6) also reveals complex managerial dynamics. EMP positively influences SDG adoption (H4); practices such as renewable energy usage and environmental supplier selection naturally align with SDGs (e.g., SDG7–Affordable and Clean Energy). Yet SDG adoption negatively mediated the EMP–SP relationship, suggesting resource constraints and diminishing returns (</w:t>
      </w:r>
      <w:proofErr w:type="spellStart"/>
      <w:r>
        <w:t>Schaltegger</w:t>
      </w:r>
      <w:proofErr w:type="spellEnd"/>
      <w:r>
        <w:t xml:space="preserve"> &amp; Synnestvedt, 2002). According to the ABV, managerial focus is finite and shaped by organizational and environmental conditions </w:t>
      </w:r>
      <w:r>
        <w:lastRenderedPageBreak/>
        <w:t xml:space="preserve">(Ocasio, 1997; Brielmaier &amp; </w:t>
      </w:r>
      <w:proofErr w:type="spellStart"/>
      <w:r>
        <w:t>Friesl</w:t>
      </w:r>
      <w:proofErr w:type="spellEnd"/>
      <w:r>
        <w:t xml:space="preserve">, 2023). Ambitious, multi-goal SDG agendas can thus divert attention from core environmental routines. This risk is magnified because SDGs constitute </w:t>
      </w:r>
      <w:r w:rsidRPr="000851C0">
        <w:rPr>
          <w:rStyle w:val="Strong"/>
          <w:b w:val="0"/>
          <w:bCs w:val="0"/>
        </w:rPr>
        <w:t>“</w:t>
      </w:r>
      <w:r w:rsidRPr="000851C0">
        <w:rPr>
          <w:rStyle w:val="Strong"/>
          <w:b w:val="0"/>
          <w:bCs w:val="0"/>
          <w:i/>
          <w:iCs/>
        </w:rPr>
        <w:t>wicked problems</w:t>
      </w:r>
      <w:r w:rsidRPr="000851C0">
        <w:rPr>
          <w:rStyle w:val="Strong"/>
          <w:b w:val="0"/>
          <w:bCs w:val="0"/>
        </w:rPr>
        <w:t>,”</w:t>
      </w:r>
      <w:r>
        <w:rPr>
          <w:rStyle w:val="Strong"/>
        </w:rPr>
        <w:t xml:space="preserve"> </w:t>
      </w:r>
      <w:r>
        <w:t xml:space="preserve">making prioritization and coordination difficult in practice (Alexander et al., 2022; Liou &amp; Rao-Nicholson, 2021; van </w:t>
      </w:r>
      <w:proofErr w:type="spellStart"/>
      <w:r>
        <w:t>Tulder</w:t>
      </w:r>
      <w:proofErr w:type="spellEnd"/>
      <w:r>
        <w:t xml:space="preserve"> &amp; Keen, 2018). </w:t>
      </w:r>
      <w:r w:rsidRPr="004A1274">
        <w:t>For example, initiatives that broadly align with multiple SDGs may divert managerial attention, reducing effectiveness in specific practices such as pollution prevention or waste management. This dynamic aligns with concerns about symbolic substitution (i.e., “</w:t>
      </w:r>
      <w:r w:rsidRPr="00365E3A">
        <w:rPr>
          <w:i/>
          <w:iCs/>
        </w:rPr>
        <w:t>rainbow washing</w:t>
      </w:r>
      <w:r w:rsidRPr="004A1274">
        <w:t>”), where SDG branding substitutes for depth in practice (Gutierrez et al., 2022)</w:t>
      </w:r>
      <w:r>
        <w:rPr>
          <w:vertAlign w:val="superscript"/>
        </w:rPr>
        <w:footnoteReference w:id="10"/>
      </w:r>
      <w:r w:rsidRPr="004A1274">
        <w:t>.</w:t>
      </w:r>
    </w:p>
    <w:p w14:paraId="0000008B" w14:textId="35DE899F" w:rsidR="00E07592" w:rsidRPr="00365E3A" w:rsidRDefault="00365E3A" w:rsidP="00365E3A">
      <w:pPr>
        <w:spacing w:before="120" w:after="120" w:line="360" w:lineRule="auto"/>
        <w:ind w:firstLine="720"/>
        <w:jc w:val="both"/>
      </w:pPr>
      <w:r w:rsidRPr="004A1274">
        <w:t xml:space="preserve">Moreover, the non-significant moderating effect of SDG adoption on the EMP–SP relationship (H6) suggests that well-defined, action-oriented environmental practices inherently achieve sustainability outcomes even absent additional SDG framing. This is also consistent with the ABV, where focused managerial decisions on clearly prioritized environmental measures (Brielmaier &amp; </w:t>
      </w:r>
      <w:proofErr w:type="spellStart"/>
      <w:r w:rsidRPr="004A1274">
        <w:t>Friesl</w:t>
      </w:r>
      <w:proofErr w:type="spellEnd"/>
      <w:r w:rsidRPr="004A1274">
        <w:t>, 2023; Ocasio, 1997) tailored for specific contexts (Danso et al., 2020; Jamali et al., 2020) improve MNEs’ sustainability outcomes (Lucas, 2010; Zhang &amp; Ma, 2021). Finally, larger firms tend to exhibit higher sustainability performance—consistent with resource and scrutiny advantages—whereas headquarters in higher-income settings are, on average, associated with lower observed sustainability performance in our sample; this pattern is descriptive, not causal, and likely reflects regional composition factors</w:t>
      </w:r>
    </w:p>
    <w:p w14:paraId="0000008C" w14:textId="77777777" w:rsidR="00E07592" w:rsidRDefault="00C67442">
      <w:pPr>
        <w:spacing w:before="120" w:after="120" w:line="360" w:lineRule="auto"/>
        <w:jc w:val="both"/>
        <w:rPr>
          <w:b/>
        </w:rPr>
      </w:pPr>
      <w:r>
        <w:rPr>
          <w:b/>
        </w:rPr>
        <w:t>5.2 Implications</w:t>
      </w:r>
    </w:p>
    <w:p w14:paraId="0000008D" w14:textId="77777777" w:rsidR="00E07592" w:rsidRPr="00E36AC3" w:rsidRDefault="00C67442">
      <w:pPr>
        <w:spacing w:before="120" w:after="120" w:line="360" w:lineRule="auto"/>
        <w:jc w:val="both"/>
        <w:rPr>
          <w:b/>
          <w:vertAlign w:val="superscript"/>
        </w:rPr>
      </w:pPr>
      <w:r>
        <w:rPr>
          <w:b/>
        </w:rPr>
        <w:t>5.2.1 Theoretical Implications</w:t>
      </w:r>
    </w:p>
    <w:p w14:paraId="2FC2C1E1" w14:textId="77777777" w:rsidR="00365E3A" w:rsidRPr="004A1274" w:rsidRDefault="00365E3A" w:rsidP="00365E3A">
      <w:pPr>
        <w:spacing w:before="120" w:after="120" w:line="360" w:lineRule="auto"/>
        <w:jc w:val="both"/>
      </w:pPr>
      <w:r w:rsidRPr="004A1274">
        <w:t>This paper makes several theoretical contributions by extending stakeholder theory and related frameworks, clarifying the dynamics of EP, EMP, SDG adoption, and SP in emerging market contexts, particularly in the MENA region. Stakeholder theory traditionally posits that addressing stakeholder needs enhances legitimacy and corporate performance (Donaldson &amp; Preston, 1995; Freeman et al., 2010; Parmar et al., 2010</w:t>
      </w:r>
      <w:r>
        <w:t xml:space="preserve">; </w:t>
      </w:r>
      <w:r w:rsidRPr="004A1274">
        <w:t>Jones et al., 2018). Our theorizing is situated in a heterogeneous MENA setting, shaping how stakeholder claims are translated into practice.</w:t>
      </w:r>
    </w:p>
    <w:p w14:paraId="5D94AD3A" w14:textId="659EEE8A" w:rsidR="00365E3A" w:rsidRPr="004A1274" w:rsidRDefault="00365E3A" w:rsidP="00365E3A">
      <w:pPr>
        <w:spacing w:before="120" w:after="120" w:line="360" w:lineRule="auto"/>
        <w:ind w:firstLine="720"/>
        <w:jc w:val="both"/>
      </w:pPr>
      <w:r w:rsidRPr="004A1274">
        <w:lastRenderedPageBreak/>
        <w:t xml:space="preserve">However, our findings introduce nuances to this narrative. First, our results </w:t>
      </w:r>
      <w:r w:rsidR="002A7562">
        <w:t>advance</w:t>
      </w:r>
      <w:r w:rsidRPr="004A1274">
        <w:t xml:space="preserve"> the understanding of NST, supporting critiques that emphasize limits to the automatic benefits of ethical engagement (Valentinov &amp; Hajdu, 2021</w:t>
      </w:r>
      <w:r>
        <w:t xml:space="preserve">; </w:t>
      </w:r>
      <w:r w:rsidRPr="004A1274">
        <w:t xml:space="preserve">Kaptein, 2023). In complex and turbulent environments, codifying ethical commitments into effective stakeholder practices faces significant barriers (Danso et al., 2020; </w:t>
      </w:r>
      <w:proofErr w:type="spellStart"/>
      <w:r w:rsidRPr="004A1274">
        <w:t>Lashitew</w:t>
      </w:r>
      <w:proofErr w:type="spellEnd"/>
      <w:r w:rsidRPr="004A1274">
        <w:t>, 2021), underscoring the need to rethink assumptions about the universally positive outcomes of EP. Consistent with the “ethical paradox” (Kaptein, 2023), recent evidence shows that well-intended transparency or innovation efforts can underperform or backfire without enabling institutions and capabilities (e.g., conditional payoffs to environmental disclosure; rebound/threshold effects in digital and green transitions), reinforcing the context dependence of ethical commitments (</w:t>
      </w:r>
      <w:proofErr w:type="spellStart"/>
      <w:r w:rsidRPr="004A1274">
        <w:t>Alnafrah</w:t>
      </w:r>
      <w:proofErr w:type="spellEnd"/>
      <w:r w:rsidRPr="004A1274">
        <w:t xml:space="preserve"> et al., 2024; </w:t>
      </w:r>
      <w:proofErr w:type="spellStart"/>
      <w:r w:rsidRPr="004A1274">
        <w:t>Alnafrah</w:t>
      </w:r>
      <w:proofErr w:type="spellEnd"/>
      <w:r w:rsidRPr="004A1274">
        <w:t xml:space="preserve">, 2025a; </w:t>
      </w:r>
      <w:proofErr w:type="spellStart"/>
      <w:r w:rsidRPr="004A1274">
        <w:t>Alnafrah</w:t>
      </w:r>
      <w:proofErr w:type="spellEnd"/>
      <w:r w:rsidRPr="004A1274">
        <w:t>, 2025b). Second, by confirming the mediating role of EMP, our study strengthens the instrumental IST. Consistent with the IST view that strategic stakeholder management can enhance firm performance (Jones et al., 2018; Valentinov &amp; Hajdu, 2021), we show that specific operational actions, such as environmental supply chain practices and renewable energy adoption (Lucas, 2010</w:t>
      </w:r>
      <w:r>
        <w:t xml:space="preserve">; </w:t>
      </w:r>
      <w:r w:rsidRPr="004A1274">
        <w:t>Colvin et al., 2020; Zhang &amp; Ma, 2021), effectively translate ethical intentions into measurable sustainability improvements.</w:t>
      </w:r>
    </w:p>
    <w:p w14:paraId="2BC677C4" w14:textId="77777777" w:rsidR="00365E3A" w:rsidRPr="004A1274" w:rsidRDefault="00365E3A" w:rsidP="00365E3A">
      <w:pPr>
        <w:spacing w:before="120" w:after="120" w:line="360" w:lineRule="auto"/>
        <w:ind w:firstLine="720"/>
        <w:jc w:val="both"/>
      </w:pPr>
      <w:r w:rsidRPr="004A1274">
        <w:t xml:space="preserve">Third, our study contributes to SDG-related literature by reinforcing concerns about the persistence of the intention–realization gap in emerging markets (Nonet et al., 2022; OECD, 2020; </w:t>
      </w:r>
      <w:proofErr w:type="spellStart"/>
      <w:r w:rsidRPr="004A1274">
        <w:t>Lashitew</w:t>
      </w:r>
      <w:proofErr w:type="spellEnd"/>
      <w:r w:rsidRPr="004A1274">
        <w:t xml:space="preserve">, 2021; Alexander et al., 2022). It emphasizes that global frameworks like the SDGs require localized adaptation and stakeholder alignment to drive corporate sustainability effectively (van </w:t>
      </w:r>
      <w:proofErr w:type="spellStart"/>
      <w:r w:rsidRPr="004A1274">
        <w:t>Tulder</w:t>
      </w:r>
      <w:proofErr w:type="spellEnd"/>
      <w:r w:rsidRPr="004A1274">
        <w:t xml:space="preserve"> et al., 2021; Ghauri, 2022). Our negative mediation result for SDG adoption suggests that broad, multi-goal agendas can disperse attention and add coordination costs unless anchored in verifiable routines and governance, which is consistent with ABV’s emphasis on attention as a scarce resource in complex contexts (Ocasio, 1997; Durand &amp; </w:t>
      </w:r>
      <w:proofErr w:type="spellStart"/>
      <w:r w:rsidRPr="004A1274">
        <w:t>Jacqueminet</w:t>
      </w:r>
      <w:proofErr w:type="spellEnd"/>
      <w:r w:rsidRPr="004A1274">
        <w:t>, 2015</w:t>
      </w:r>
      <w:r>
        <w:t xml:space="preserve">; </w:t>
      </w:r>
      <w:r w:rsidRPr="004A1274">
        <w:t xml:space="preserve">Brielmaier &amp; </w:t>
      </w:r>
      <w:proofErr w:type="spellStart"/>
      <w:r w:rsidRPr="004A1274">
        <w:t>Friesl</w:t>
      </w:r>
      <w:proofErr w:type="spellEnd"/>
      <w:r w:rsidRPr="004A1274">
        <w:t>, 2023). Finally, we advance the ABV of the firm by exploring how managerial attention, as a finite resource, affects the success of environmental and sustainability initiatives. Our findings reveal that aligning managerial focus with targeted operational initiatives enhances sustainability outcomes, while dispersing attention across broad sustainability agendas can dilute effectiveness.</w:t>
      </w:r>
    </w:p>
    <w:p w14:paraId="00000092" w14:textId="126C5330" w:rsidR="00E07592" w:rsidRDefault="00365E3A" w:rsidP="00365E3A">
      <w:pPr>
        <w:spacing w:before="120" w:after="120" w:line="360" w:lineRule="auto"/>
        <w:ind w:firstLine="720"/>
        <w:jc w:val="both"/>
      </w:pPr>
      <w:r w:rsidRPr="004A1274">
        <w:t xml:space="preserve">We therefore suggest that stakeholder theory and the ABV offer complementary conceptual frameworks for analyzing how firms navigate sustainability and ethics trade-offs under resource constraints. Effective stakeholder management requires not only broad engagement (Freeman et </w:t>
      </w:r>
      <w:r w:rsidRPr="004A1274">
        <w:lastRenderedPageBreak/>
        <w:t xml:space="preserve">al., 2010; Gutierrez et al., 2022) but also strategic prioritization of managerial attention, especially when facing the </w:t>
      </w:r>
      <w:proofErr w:type="spellStart"/>
      <w:r w:rsidRPr="004A1274">
        <w:t>polycontextural</w:t>
      </w:r>
      <w:proofErr w:type="spellEnd"/>
      <w:r w:rsidRPr="004A1274">
        <w:t xml:space="preserve"> pressures of sustainability in emerging markets (Durand and </w:t>
      </w:r>
      <w:proofErr w:type="spellStart"/>
      <w:r w:rsidRPr="004A1274">
        <w:t>Jacqueminet</w:t>
      </w:r>
      <w:proofErr w:type="spellEnd"/>
      <w:r w:rsidRPr="004A1274">
        <w:t>, 2015; Valentinov &amp; Hajdu, 2021). In heterogeneous MENA settings, this complementarity clarifies why EP may need capability-building (EMP) and context-sensitive SDG integration to consistently register as higher SP.</w:t>
      </w:r>
    </w:p>
    <w:p w14:paraId="00000093" w14:textId="369E5B3A" w:rsidR="00E07592" w:rsidRDefault="00C67442">
      <w:pPr>
        <w:spacing w:before="120" w:after="120" w:line="360" w:lineRule="auto"/>
        <w:jc w:val="both"/>
        <w:rPr>
          <w:b/>
        </w:rPr>
      </w:pPr>
      <w:r>
        <w:rPr>
          <w:b/>
        </w:rPr>
        <w:t xml:space="preserve">5.2.2 </w:t>
      </w:r>
      <w:r w:rsidR="00365E3A">
        <w:rPr>
          <w:b/>
        </w:rPr>
        <w:t>Managerial and Policy</w:t>
      </w:r>
      <w:r>
        <w:rPr>
          <w:b/>
        </w:rPr>
        <w:t xml:space="preserve"> Implications</w:t>
      </w:r>
    </w:p>
    <w:p w14:paraId="15AC79A2" w14:textId="4AFF2382" w:rsidR="00365E3A" w:rsidRPr="004A1274" w:rsidRDefault="00365E3A" w:rsidP="00365E3A">
      <w:pPr>
        <w:spacing w:before="120" w:after="120" w:line="360" w:lineRule="auto"/>
        <w:jc w:val="both"/>
      </w:pPr>
      <w:r w:rsidRPr="004A1274">
        <w:t>This study provides several practical implications for managers seeking to enhance SP in complex, resource-constrained environments, particularly within the MENA region’s heterogeneous institutional conditions. First, managers should recognize that heightened ethical standards may introduce operational inefficiencies if not carefully integrated into organizational routines (Valentinov &amp; Hajdu, 2021</w:t>
      </w:r>
      <w:r>
        <w:t xml:space="preserve">; </w:t>
      </w:r>
      <w:r w:rsidRPr="004A1274">
        <w:t>Kaptein, 2023). Rather than treating EP as abstract aspirations, MNEs should embed improvement tools, ethics policies, and diversity initiatives into operational targets that are achievable and context sensitive. Clear internal communication and stakeholder engagement must balance ethical commitments with realistic organizational capacities.</w:t>
      </w:r>
    </w:p>
    <w:p w14:paraId="14C30B47" w14:textId="20BCBCD7" w:rsidR="00365E3A" w:rsidRPr="004A1274" w:rsidRDefault="00365E3A" w:rsidP="00365E3A">
      <w:pPr>
        <w:spacing w:before="120" w:after="120" w:line="360" w:lineRule="auto"/>
        <w:ind w:firstLine="720"/>
        <w:jc w:val="both"/>
      </w:pPr>
      <w:r w:rsidRPr="004A1274">
        <w:t>Second, our findings reinforce the importance of investing in EMP as actionable pathways for operationalizing ethical commitments. Managers are encouraged to focus on pollution prevention, resource optimization, environmental supply chain management, and renewable energy use (Lucas, 2010</w:t>
      </w:r>
      <w:r>
        <w:t xml:space="preserve">; </w:t>
      </w:r>
      <w:r w:rsidRPr="004A1274">
        <w:t>Longoni et al., 2018; Colvin et al., 2020). MNEs that embed environmental practices into core operations are better positioned to deliver measurable sustainability outcomes while enhancing legitimacy among stakeholders.</w:t>
      </w:r>
    </w:p>
    <w:p w14:paraId="19946AF4" w14:textId="0D5EEB3D" w:rsidR="00365E3A" w:rsidRPr="004A1274" w:rsidRDefault="00365E3A" w:rsidP="00365E3A">
      <w:pPr>
        <w:spacing w:before="120" w:after="120" w:line="360" w:lineRule="auto"/>
        <w:ind w:firstLine="720"/>
        <w:jc w:val="both"/>
      </w:pPr>
      <w:r w:rsidRPr="004A1274">
        <w:t>Third, while global frameworks like the SDGs offer valuable orientation, managers should approach their adoption strategically. Our results caution against SDGs’ uncritical, broad implementation, which may fragment attention and stretch organizational capacities (OECD, 2020</w:t>
      </w:r>
      <w:r>
        <w:t xml:space="preserve">; </w:t>
      </w:r>
      <w:proofErr w:type="spellStart"/>
      <w:r w:rsidRPr="004A1274">
        <w:t>Lashitew</w:t>
      </w:r>
      <w:proofErr w:type="spellEnd"/>
      <w:r w:rsidRPr="004A1274">
        <w:t>, 2021</w:t>
      </w:r>
      <w:r>
        <w:t xml:space="preserve">; </w:t>
      </w:r>
      <w:r w:rsidRPr="004A1274">
        <w:t>Alexander et al., 2022). Instead, managers should adapt SDG commitments to local MENA contexts, engaging regional stakeholders to ensure meaningful realization and to bridge the global–local gap. This emphasizes that SDG adoption must be grounded in operational feasibility and institutional realities.</w:t>
      </w:r>
    </w:p>
    <w:p w14:paraId="6DD7C30B" w14:textId="31A5C251" w:rsidR="00365E3A" w:rsidRPr="004A1274" w:rsidRDefault="00365E3A" w:rsidP="00365E3A">
      <w:pPr>
        <w:spacing w:before="120" w:after="120" w:line="360" w:lineRule="auto"/>
        <w:ind w:firstLine="720"/>
        <w:jc w:val="both"/>
      </w:pPr>
      <w:r>
        <w:t>Fourth, s</w:t>
      </w:r>
      <w:r w:rsidRPr="004A1274">
        <w:t>ustainability management also requires careful prioritization of managerial attention (Ocasio, 1997</w:t>
      </w:r>
      <w:r>
        <w:t xml:space="preserve">; </w:t>
      </w:r>
      <w:r w:rsidRPr="004A1274">
        <w:t xml:space="preserve">Durand &amp; </w:t>
      </w:r>
      <w:proofErr w:type="spellStart"/>
      <w:r w:rsidRPr="004A1274">
        <w:t>Jacqueminet</w:t>
      </w:r>
      <w:proofErr w:type="spellEnd"/>
      <w:r w:rsidRPr="004A1274">
        <w:t>, 2015</w:t>
      </w:r>
      <w:r>
        <w:t xml:space="preserve">; </w:t>
      </w:r>
      <w:r w:rsidRPr="004A1274">
        <w:t xml:space="preserve">Brielmaier &amp; </w:t>
      </w:r>
      <w:proofErr w:type="spellStart"/>
      <w:r w:rsidRPr="004A1274">
        <w:t>Friesl</w:t>
      </w:r>
      <w:proofErr w:type="spellEnd"/>
      <w:r w:rsidRPr="004A1274">
        <w:t xml:space="preserve">, 2023). Firms should focus on initiatives that yield tangible outcomes and avoid dispersing efforts across too many broad </w:t>
      </w:r>
      <w:r w:rsidRPr="004A1274">
        <w:lastRenderedPageBreak/>
        <w:t>sustainability agendas. By strategically channeling managerial attention toward a well-defined set of environmental and social objectives, organizations can enhance their ability to meet stakeholder expectations, improve sustainability outcomes, and strengthen resilience in turbulent environments.</w:t>
      </w:r>
    </w:p>
    <w:p w14:paraId="00000098" w14:textId="2A4D7D3C" w:rsidR="00E07592" w:rsidRDefault="00365E3A" w:rsidP="00365E3A">
      <w:pPr>
        <w:spacing w:before="120" w:after="120" w:line="360" w:lineRule="auto"/>
        <w:ind w:firstLine="720"/>
        <w:jc w:val="both"/>
      </w:pPr>
      <w:r w:rsidRPr="004A1274">
        <w:t>Finally, beyond the firm, complementary policy levers can reinforce this trajectory. Governments can shift from label-based to outcome-contingent incentives. Link tax credits, fee rebates, and green public procurement to independently verified performance (e.g., emissions-intensity reductions, waste/water KPIs). In parallel, harmonize indicators across agencies and fund capacity complements—compliance systems, data/assurance, supplier due diligence—to reduce attention overhead and support substantive implementation (OECD, 2020</w:t>
      </w:r>
      <w:r>
        <w:t xml:space="preserve">; </w:t>
      </w:r>
      <w:r w:rsidRPr="004A1274">
        <w:t xml:space="preserve">van </w:t>
      </w:r>
      <w:proofErr w:type="spellStart"/>
      <w:r w:rsidRPr="004A1274">
        <w:t>Tulder</w:t>
      </w:r>
      <w:proofErr w:type="spellEnd"/>
      <w:r w:rsidRPr="004A1274">
        <w:t xml:space="preserve"> et al., 2021). International organizations and DFIs can deploy performance-based blended finance tied to assured KPIs and invest in regional assurance capacity and interoperable SDG–ESG taxonomies that cut duplicative reporting and free managerial attention for execution. Industry associations and exchanges can publish sector playbooks that translate a small set of priority SDG targets into canonical operational KPIs and data templates, facilitate peer benchmarking on assured outcomes rather than policy volume, and promote board-level SDG governance through clear decision rights and KPI-linked oversight. Taken together—and calibrated to differing capacity levels across MENA—these levers help discourage symbolic adoption, mitigate the negative-mediation risks of sprawling SDG agendas, and strengthen the conditions under which SDG adoption enhances the EP–SP link.</w:t>
      </w:r>
    </w:p>
    <w:p w14:paraId="00000099" w14:textId="77777777" w:rsidR="00E07592" w:rsidRDefault="00C67442">
      <w:pPr>
        <w:spacing w:before="120" w:after="120" w:line="360" w:lineRule="auto"/>
        <w:jc w:val="both"/>
        <w:rPr>
          <w:b/>
        </w:rPr>
      </w:pPr>
      <w:r>
        <w:rPr>
          <w:b/>
        </w:rPr>
        <w:t xml:space="preserve">5.3 Limitations and Future Research </w:t>
      </w:r>
    </w:p>
    <w:p w14:paraId="58D84E75" w14:textId="77777777" w:rsidR="00365E3A" w:rsidRPr="004A1274" w:rsidRDefault="00365E3A" w:rsidP="00365E3A">
      <w:pPr>
        <w:spacing w:before="120" w:after="120" w:line="360" w:lineRule="auto"/>
        <w:jc w:val="both"/>
      </w:pPr>
      <w:r w:rsidRPr="004A1274">
        <w:t>This study examines the relationships between EP, EMP, SDG adoption, and SP. However, several avenues remain for further investigation. First, while the present analysis captures a specific time (i.e., 2023), sustainability practices and stakeholder dynamics are inherently evolutionary. Future research could adopt longitudinal or process-oriented designs to examine how EP, environmental management initiatives, and SDG engagement evolve temporally and interact with shifting institutional and stakeholder environments. Such approaches allow a more comprehensive understanding of sustainability as a dynamic and adaptive organizational process.</w:t>
      </w:r>
    </w:p>
    <w:p w14:paraId="7D46BC3C" w14:textId="77777777" w:rsidR="00365E3A" w:rsidRPr="004A1274" w:rsidRDefault="00365E3A" w:rsidP="00365E3A">
      <w:pPr>
        <w:spacing w:before="120" w:after="120" w:line="360" w:lineRule="auto"/>
        <w:ind w:firstLine="720"/>
        <w:jc w:val="both"/>
      </w:pPr>
      <w:r w:rsidRPr="004A1274">
        <w:t xml:space="preserve">Second, although focusing on 560 MNEs operating in the MENA region provides insights into emerging-market contexts, the region’s institutional heterogeneity warrants broader </w:t>
      </w:r>
      <w:r w:rsidRPr="004A1274">
        <w:lastRenderedPageBreak/>
        <w:t>comparative investigations. Future studies could extend the analysis to other emerging economies and developed markets to assess the findings’ generalizability and explore how variations in institutional and regulatory structures influence the operationalization of ethical and sustainability practices. Comparisons with domestic firms and multi-country panels would also help separate contextual effects from firm type and address lingering endogeneity concerns.</w:t>
      </w:r>
    </w:p>
    <w:p w14:paraId="1DB052EB" w14:textId="77777777" w:rsidR="00365E3A" w:rsidRPr="004A1274" w:rsidRDefault="00365E3A" w:rsidP="00365E3A">
      <w:pPr>
        <w:spacing w:before="120" w:after="120" w:line="360" w:lineRule="auto"/>
        <w:ind w:firstLine="720"/>
        <w:jc w:val="both"/>
      </w:pPr>
      <w:r w:rsidRPr="004A1274">
        <w:t>Third, the present study treats stakeholder pressures as aggregated constructs. Future research could disaggregate stakeholder categories—such as employees, local communities, investors, and regulators—to analyze how different stakeholder demands shape corporate sustainability strategies. Such differentiation would refine stakeholder theory applications and provide a more granular understanding of stakeholder-specific influences on organizational behavior.</w:t>
      </w:r>
    </w:p>
    <w:p w14:paraId="1069C449" w14:textId="77777777" w:rsidR="00365E3A" w:rsidRPr="004A1274" w:rsidRDefault="00365E3A" w:rsidP="00365E3A">
      <w:pPr>
        <w:spacing w:before="120" w:after="120" w:line="360" w:lineRule="auto"/>
        <w:ind w:firstLine="720"/>
        <w:jc w:val="both"/>
      </w:pPr>
      <w:r w:rsidRPr="004A1274">
        <w:t>Fourth, while the study integrates insights from the ABV, further research is needed to elucidate the organizational and cognitive mechanisms that govern managerial attention allocation toward sustainability initiatives. Future inquiries could examine how governance structures, decision-making routines, and cognitive framing shape firms’ strategic focus under conditions of environmental and institutional complexity.</w:t>
      </w:r>
    </w:p>
    <w:p w14:paraId="2E4EFA12" w14:textId="1DB6F27D" w:rsidR="005234A4" w:rsidRPr="005234A4" w:rsidRDefault="005234A4" w:rsidP="00365E3A">
      <w:pPr>
        <w:spacing w:before="120" w:after="120" w:line="360" w:lineRule="auto"/>
        <w:ind w:firstLine="720"/>
        <w:jc w:val="both"/>
      </w:pPr>
      <w:r w:rsidRPr="005234A4">
        <w:t>Fifth, measurement and operationalization present limits. Our reliance on Refinitiv indicators</w:t>
      </w:r>
      <w:r>
        <w:t xml:space="preserve"> </w:t>
      </w:r>
      <w:r w:rsidRPr="005234A4">
        <w:t xml:space="preserve">may not fully capture the intensity or quality of practices. In addition, SDG12, although conceptually relevant (Ghauri, 2022), was excluded from the SDG construct because it exhibited problematic collinearity with EMP in our structural model, indicating empirical overlap and a risk of double counting. Future research could triangulate with audit-based or text-based measures, supply-chain verification data, and validated attention proxies to sharpen construct distinctness and depth. </w:t>
      </w:r>
      <w:r>
        <w:t>Finally, t</w:t>
      </w:r>
      <w:r w:rsidRPr="004A1274">
        <w:t xml:space="preserve">he cross-sectional design limits causal inference and leaves scope for residual endogeneity despite robustness probes. </w:t>
      </w:r>
      <w:r>
        <w:t>Future work may employ panel data or mixed methods to further clarify and examine when and how SDG processes and managerial attention influence outcomes.</w:t>
      </w:r>
    </w:p>
    <w:p w14:paraId="000000A0" w14:textId="77777777" w:rsidR="00E07592" w:rsidRDefault="00C67442">
      <w:pPr>
        <w:spacing w:before="280" w:after="280"/>
      </w:pPr>
      <w:r>
        <w:rPr>
          <w:b/>
        </w:rPr>
        <w:t>6. Concluding Remarks</w:t>
      </w:r>
    </w:p>
    <w:p w14:paraId="5721BC84" w14:textId="77777777" w:rsidR="00365E3A" w:rsidRPr="004A1274" w:rsidRDefault="00365E3A" w:rsidP="00365E3A">
      <w:pPr>
        <w:spacing w:before="120" w:after="120" w:line="360" w:lineRule="auto"/>
        <w:jc w:val="both"/>
      </w:pPr>
      <w:r w:rsidRPr="004A1274">
        <w:t xml:space="preserve">While ethics have long been positioned as the moral compass of corporate behavior, this study shows that their realization into meaningful outcomes is neither automatic nor assured. In turbulent </w:t>
      </w:r>
      <w:r w:rsidRPr="004A1274">
        <w:lastRenderedPageBreak/>
        <w:t>institutional contexts, ethical aspirations require more than commitment; they demand deliberate structuring through practical mechanisms and focused managerial engagement. Rather than assuming a linear path from ethical intent to sustainability success, our findings suggest that firms must consciously navigate the space between ideals and operational realities, transforming values into embedded practices that endure across complexity and change.</w:t>
      </w:r>
    </w:p>
    <w:p w14:paraId="4449F8F5" w14:textId="77777777" w:rsidR="00365E3A" w:rsidRDefault="00365E3A" w:rsidP="00365E3A">
      <w:pPr>
        <w:spacing w:before="120" w:after="120" w:line="360" w:lineRule="auto"/>
        <w:ind w:firstLine="720"/>
        <w:jc w:val="both"/>
      </w:pPr>
      <w:r w:rsidRPr="004A1274">
        <w:t>Environmental management practices are the practical conduit that turns normative ambitions into measurable outcomes, and ethical commitments gain traction only when embedded in operating systems—policies, processes, and routines that carry intent into everyday work. This reframes stakeholder theory from values declared to values institutionalized through capabilities and day-to-day execution. From an attention-based view, good intentions alone rarely suffice: when agendas sprawl across many goals, translation into SP weakens. SDG commitments work best when they are made governable—assigned clear decision rights and distilled into a small set of cascading, verifiable targets—so aspirations become actions. In short, sequencing and focus</w:t>
      </w:r>
      <w:r>
        <w:t xml:space="preserve"> </w:t>
      </w:r>
      <w:r w:rsidRPr="004A1274">
        <w:t>built on well-specified environmental routines and governed SDG priorities</w:t>
      </w:r>
      <w:r>
        <w:t xml:space="preserve">, </w:t>
      </w:r>
      <w:r w:rsidRPr="004A1274">
        <w:t>sustain performance better than ever-wider agendas</w:t>
      </w:r>
      <w:r>
        <w:t>.</w:t>
      </w:r>
    </w:p>
    <w:p w14:paraId="64E0A325" w14:textId="77777777" w:rsidR="00365E3A" w:rsidRPr="004A1274" w:rsidRDefault="00365E3A" w:rsidP="00365E3A">
      <w:pPr>
        <w:spacing w:before="120" w:after="120" w:line="360" w:lineRule="auto"/>
        <w:ind w:firstLine="720"/>
        <w:jc w:val="both"/>
      </w:pPr>
      <w:r w:rsidRPr="004A1274">
        <w:t>Finally, the context of MNEs in the MENA region reminds us that sustainability strategies unfold amid heterogeneous governance quality, political stability, civic space, and resource dependence. The dual role of SDG adoption</w:t>
      </w:r>
      <w:r>
        <w:t xml:space="preserve">, </w:t>
      </w:r>
      <w:r w:rsidRPr="004A1274">
        <w:t>both enabling and constraining</w:t>
      </w:r>
      <w:r>
        <w:t xml:space="preserve">, </w:t>
      </w:r>
      <w:r w:rsidRPr="004A1274">
        <w:t>reflects the enduring tension between global aspirations and local complexities. Managing sustainability is thus an ongoing effort to align ethics and execution, global aims and local actions, and values professed and values lived</w:t>
      </w:r>
      <w:r>
        <w:t xml:space="preserve">, </w:t>
      </w:r>
      <w:r w:rsidRPr="004A1274">
        <w:t>with attention disciplined toward verifiable practices that fit institutional realities.</w:t>
      </w:r>
    </w:p>
    <w:p w14:paraId="000000A6" w14:textId="4BF9CF7F" w:rsidR="00E07592" w:rsidRPr="00227969" w:rsidRDefault="00227969">
      <w:pPr>
        <w:spacing w:before="120" w:after="120" w:line="360" w:lineRule="auto"/>
        <w:jc w:val="both"/>
        <w:rPr>
          <w:b/>
          <w:bCs/>
        </w:rPr>
      </w:pPr>
      <w:r w:rsidRPr="00227969">
        <w:rPr>
          <w:b/>
          <w:bCs/>
        </w:rPr>
        <w:t>References</w:t>
      </w:r>
    </w:p>
    <w:p w14:paraId="16FE501E" w14:textId="77777777" w:rsidR="00227969" w:rsidRPr="00D01304" w:rsidRDefault="00227969" w:rsidP="00227969">
      <w:pPr>
        <w:numPr>
          <w:ilvl w:val="0"/>
          <w:numId w:val="2"/>
        </w:numPr>
        <w:spacing w:before="120" w:line="360" w:lineRule="auto"/>
        <w:jc w:val="both"/>
      </w:pPr>
      <w:r w:rsidRPr="00D01304">
        <w:rPr>
          <w:color w:val="222222"/>
        </w:rPr>
        <w:t xml:space="preserve">Al-Khouri, R. (2015). Determinants of foreign direct and indirect investment in the MENA region. </w:t>
      </w:r>
      <w:r w:rsidRPr="00D01304">
        <w:rPr>
          <w:i/>
          <w:color w:val="222222"/>
        </w:rPr>
        <w:t>The Multinational Business Review</w:t>
      </w:r>
      <w:r w:rsidRPr="00D01304">
        <w:rPr>
          <w:color w:val="222222"/>
        </w:rPr>
        <w:t xml:space="preserve">, </w:t>
      </w:r>
      <w:r w:rsidRPr="00D01304">
        <w:rPr>
          <w:i/>
          <w:color w:val="222222"/>
        </w:rPr>
        <w:t>23</w:t>
      </w:r>
      <w:r w:rsidRPr="00D01304">
        <w:rPr>
          <w:color w:val="222222"/>
        </w:rPr>
        <w:t>(2), 148-166.</w:t>
      </w:r>
    </w:p>
    <w:p w14:paraId="35545E2C" w14:textId="77777777" w:rsidR="00227969" w:rsidRPr="00D01304" w:rsidRDefault="00227969" w:rsidP="00227969">
      <w:pPr>
        <w:numPr>
          <w:ilvl w:val="0"/>
          <w:numId w:val="2"/>
        </w:numPr>
        <w:spacing w:line="360" w:lineRule="auto"/>
        <w:jc w:val="both"/>
      </w:pPr>
      <w:r w:rsidRPr="00D01304">
        <w:t xml:space="preserve">Alda, M. (2021). The environmental, social, and governance (ESG) dimension of firms in which social responsible investment (SRI) and conventional pension funds invest: The mainstream SRI </w:t>
      </w:r>
      <w:proofErr w:type="spellStart"/>
      <w:r w:rsidRPr="00D01304">
        <w:t>anfd</w:t>
      </w:r>
      <w:proofErr w:type="spellEnd"/>
      <w:r w:rsidRPr="00D01304">
        <w:t xml:space="preserve"> the ESG inclusion. </w:t>
      </w:r>
      <w:r w:rsidRPr="00D01304">
        <w:rPr>
          <w:i/>
        </w:rPr>
        <w:t>Journal of Cleaner Production</w:t>
      </w:r>
      <w:r w:rsidRPr="00D01304">
        <w:t>, 298:126812.</w:t>
      </w:r>
    </w:p>
    <w:p w14:paraId="00AD9E92" w14:textId="77777777" w:rsidR="00227969" w:rsidRPr="00D01304" w:rsidRDefault="00227969" w:rsidP="00227969">
      <w:pPr>
        <w:numPr>
          <w:ilvl w:val="0"/>
          <w:numId w:val="2"/>
        </w:numPr>
        <w:spacing w:line="360" w:lineRule="auto"/>
        <w:jc w:val="both"/>
      </w:pPr>
      <w:r w:rsidRPr="00D01304">
        <w:t xml:space="preserve">Alexander, A., Walker, H., and </w:t>
      </w:r>
      <w:proofErr w:type="spellStart"/>
      <w:r w:rsidRPr="00D01304">
        <w:t>Delabre</w:t>
      </w:r>
      <w:proofErr w:type="spellEnd"/>
      <w:r w:rsidRPr="00D01304">
        <w:t xml:space="preserve">, I. (2022). A decision theory perspective on wicked problems, SDGs, and stakeholders: The case of deforestation. </w:t>
      </w:r>
      <w:r w:rsidRPr="00D01304">
        <w:rPr>
          <w:i/>
        </w:rPr>
        <w:t>Journal of Business Ethics</w:t>
      </w:r>
      <w:r w:rsidRPr="00D01304">
        <w:t>, 180(4):975-995.</w:t>
      </w:r>
    </w:p>
    <w:p w14:paraId="1FA8FFB0" w14:textId="77777777" w:rsidR="00227969" w:rsidRPr="00D01304" w:rsidRDefault="00227969" w:rsidP="00227969">
      <w:pPr>
        <w:numPr>
          <w:ilvl w:val="0"/>
          <w:numId w:val="2"/>
        </w:numPr>
        <w:spacing w:after="120" w:line="360" w:lineRule="auto"/>
        <w:jc w:val="both"/>
      </w:pPr>
      <w:r w:rsidRPr="00D01304">
        <w:lastRenderedPageBreak/>
        <w:t xml:space="preserve">Alexander, A., Walker, H., and </w:t>
      </w:r>
      <w:proofErr w:type="spellStart"/>
      <w:r w:rsidRPr="00D01304">
        <w:t>Delabre</w:t>
      </w:r>
      <w:proofErr w:type="spellEnd"/>
      <w:r w:rsidRPr="00D01304">
        <w:t xml:space="preserve">, I. (2022). A decision theory perspective on wicked problems, SDGs, and stakeholders: The case of deforestation. </w:t>
      </w:r>
      <w:r w:rsidRPr="00D01304">
        <w:rPr>
          <w:i/>
        </w:rPr>
        <w:t>Journal of Business Ethics</w:t>
      </w:r>
      <w:r w:rsidRPr="00D01304">
        <w:t>, 180(4):975-995.</w:t>
      </w:r>
    </w:p>
    <w:p w14:paraId="3165C2B4" w14:textId="77777777" w:rsidR="00227969" w:rsidRPr="00D01304" w:rsidRDefault="00227969" w:rsidP="00227969">
      <w:pPr>
        <w:numPr>
          <w:ilvl w:val="0"/>
          <w:numId w:val="2"/>
        </w:numPr>
        <w:spacing w:after="120" w:line="360" w:lineRule="auto"/>
        <w:jc w:val="both"/>
        <w:rPr>
          <w:sz w:val="36"/>
          <w:szCs w:val="36"/>
        </w:rPr>
      </w:pPr>
      <w:proofErr w:type="spellStart"/>
      <w:r w:rsidRPr="00D01304">
        <w:rPr>
          <w:color w:val="222222"/>
          <w:shd w:val="clear" w:color="auto" w:fill="FFFFFF"/>
        </w:rPr>
        <w:t>Alnafrah</w:t>
      </w:r>
      <w:proofErr w:type="spellEnd"/>
      <w:r w:rsidRPr="00D01304">
        <w:rPr>
          <w:color w:val="222222"/>
          <w:shd w:val="clear" w:color="auto" w:fill="FFFFFF"/>
        </w:rPr>
        <w:t>, I. (2025</w:t>
      </w:r>
      <w:r>
        <w:rPr>
          <w:color w:val="222222"/>
          <w:shd w:val="clear" w:color="auto" w:fill="FFFFFF"/>
        </w:rPr>
        <w:t>a</w:t>
      </w:r>
      <w:r w:rsidRPr="00D01304">
        <w:rPr>
          <w:color w:val="222222"/>
          <w:shd w:val="clear" w:color="auto" w:fill="FFFFFF"/>
        </w:rPr>
        <w:t>). The Two Tales of AI: A Global assessment of the environmental impacts of artificial intelligence from a multidimensional policy perspective. </w:t>
      </w:r>
      <w:r w:rsidRPr="00D01304">
        <w:rPr>
          <w:i/>
          <w:iCs/>
          <w:color w:val="222222"/>
          <w:shd w:val="clear" w:color="auto" w:fill="FFFFFF"/>
        </w:rPr>
        <w:t>Journal of Environmental Management</w:t>
      </w:r>
      <w:r w:rsidRPr="00D01304">
        <w:rPr>
          <w:color w:val="222222"/>
          <w:shd w:val="clear" w:color="auto" w:fill="FFFFFF"/>
        </w:rPr>
        <w:t>, </w:t>
      </w:r>
      <w:r w:rsidRPr="00D01304">
        <w:rPr>
          <w:i/>
          <w:iCs/>
          <w:color w:val="222222"/>
          <w:shd w:val="clear" w:color="auto" w:fill="FFFFFF"/>
        </w:rPr>
        <w:t>392</w:t>
      </w:r>
      <w:r w:rsidRPr="00D01304">
        <w:rPr>
          <w:color w:val="222222"/>
          <w:shd w:val="clear" w:color="auto" w:fill="FFFFFF"/>
        </w:rPr>
        <w:t>, 126813.</w:t>
      </w:r>
    </w:p>
    <w:p w14:paraId="27EB4879" w14:textId="77777777" w:rsidR="00227969" w:rsidRPr="00D01304" w:rsidRDefault="00227969" w:rsidP="00227969">
      <w:pPr>
        <w:numPr>
          <w:ilvl w:val="0"/>
          <w:numId w:val="2"/>
        </w:numPr>
        <w:spacing w:after="120" w:line="360" w:lineRule="auto"/>
        <w:jc w:val="both"/>
        <w:rPr>
          <w:sz w:val="36"/>
          <w:szCs w:val="36"/>
        </w:rPr>
      </w:pPr>
      <w:proofErr w:type="spellStart"/>
      <w:r w:rsidRPr="00D01304">
        <w:rPr>
          <w:color w:val="222222"/>
          <w:shd w:val="clear" w:color="auto" w:fill="FFFFFF"/>
        </w:rPr>
        <w:t>Alnafrah</w:t>
      </w:r>
      <w:proofErr w:type="spellEnd"/>
      <w:r w:rsidRPr="00D01304">
        <w:rPr>
          <w:color w:val="222222"/>
          <w:shd w:val="clear" w:color="auto" w:fill="FFFFFF"/>
        </w:rPr>
        <w:t>, I. (2025b). Evaluating efficiency of green innovations and renewables for sustainability goals. </w:t>
      </w:r>
      <w:r w:rsidRPr="00D01304">
        <w:rPr>
          <w:i/>
          <w:iCs/>
          <w:color w:val="222222"/>
          <w:shd w:val="clear" w:color="auto" w:fill="FFFFFF"/>
        </w:rPr>
        <w:t>Renewable and Sustainable Energy Reviews</w:t>
      </w:r>
      <w:r w:rsidRPr="00D01304">
        <w:rPr>
          <w:color w:val="222222"/>
          <w:shd w:val="clear" w:color="auto" w:fill="FFFFFF"/>
        </w:rPr>
        <w:t>, </w:t>
      </w:r>
      <w:r w:rsidRPr="00D01304">
        <w:rPr>
          <w:i/>
          <w:iCs/>
          <w:color w:val="222222"/>
          <w:shd w:val="clear" w:color="auto" w:fill="FFFFFF"/>
        </w:rPr>
        <w:t>209</w:t>
      </w:r>
      <w:r w:rsidRPr="00D01304">
        <w:rPr>
          <w:color w:val="222222"/>
          <w:shd w:val="clear" w:color="auto" w:fill="FFFFFF"/>
        </w:rPr>
        <w:t>, 115137.</w:t>
      </w:r>
    </w:p>
    <w:p w14:paraId="08481A52" w14:textId="77777777" w:rsidR="00227969" w:rsidRPr="00D01304" w:rsidRDefault="00227969" w:rsidP="00227969">
      <w:pPr>
        <w:numPr>
          <w:ilvl w:val="0"/>
          <w:numId w:val="2"/>
        </w:numPr>
        <w:spacing w:after="120" w:line="360" w:lineRule="auto"/>
        <w:jc w:val="both"/>
        <w:rPr>
          <w:sz w:val="36"/>
          <w:szCs w:val="36"/>
        </w:rPr>
      </w:pPr>
      <w:proofErr w:type="spellStart"/>
      <w:r w:rsidRPr="00D01304">
        <w:rPr>
          <w:color w:val="222222"/>
          <w:shd w:val="clear" w:color="auto" w:fill="FFFFFF"/>
        </w:rPr>
        <w:t>Alnafrah</w:t>
      </w:r>
      <w:proofErr w:type="spellEnd"/>
      <w:r w:rsidRPr="00D01304">
        <w:rPr>
          <w:color w:val="222222"/>
          <w:shd w:val="clear" w:color="auto" w:fill="FFFFFF"/>
        </w:rPr>
        <w:t>, I., Ding, C. J., &amp; Qing, L. (2024). Beyond transparency: Unpacking the financial effects of third-party environmental disclosure in China's semiconductor sector. </w:t>
      </w:r>
      <w:r w:rsidRPr="00D01304">
        <w:rPr>
          <w:i/>
          <w:iCs/>
          <w:color w:val="222222"/>
          <w:shd w:val="clear" w:color="auto" w:fill="FFFFFF"/>
        </w:rPr>
        <w:t>Journal of Environmental Management</w:t>
      </w:r>
      <w:r w:rsidRPr="00D01304">
        <w:rPr>
          <w:color w:val="222222"/>
          <w:shd w:val="clear" w:color="auto" w:fill="FFFFFF"/>
        </w:rPr>
        <w:t>, </w:t>
      </w:r>
      <w:r w:rsidRPr="00D01304">
        <w:rPr>
          <w:i/>
          <w:iCs/>
          <w:color w:val="222222"/>
          <w:shd w:val="clear" w:color="auto" w:fill="FFFFFF"/>
        </w:rPr>
        <w:t>360</w:t>
      </w:r>
      <w:r w:rsidRPr="00D01304">
        <w:rPr>
          <w:color w:val="222222"/>
          <w:shd w:val="clear" w:color="auto" w:fill="FFFFFF"/>
        </w:rPr>
        <w:t>, 121237.</w:t>
      </w:r>
    </w:p>
    <w:p w14:paraId="51267B24" w14:textId="77777777" w:rsidR="00227969" w:rsidRPr="00D01304" w:rsidRDefault="00227969" w:rsidP="00227969">
      <w:pPr>
        <w:numPr>
          <w:ilvl w:val="0"/>
          <w:numId w:val="2"/>
        </w:numPr>
        <w:spacing w:before="120" w:line="360" w:lineRule="auto"/>
        <w:jc w:val="both"/>
      </w:pPr>
      <w:proofErr w:type="spellStart"/>
      <w:r w:rsidRPr="00D01304">
        <w:rPr>
          <w:color w:val="222222"/>
          <w:lang w:val="fr-FR"/>
        </w:rPr>
        <w:t>Arayssi</w:t>
      </w:r>
      <w:proofErr w:type="spellEnd"/>
      <w:r w:rsidRPr="00D01304">
        <w:rPr>
          <w:color w:val="222222"/>
          <w:lang w:val="fr-FR"/>
        </w:rPr>
        <w:t xml:space="preserve">, M., </w:t>
      </w:r>
      <w:proofErr w:type="spellStart"/>
      <w:r w:rsidRPr="00D01304">
        <w:rPr>
          <w:color w:val="222222"/>
          <w:lang w:val="fr-FR"/>
        </w:rPr>
        <w:t>Jizi</w:t>
      </w:r>
      <w:proofErr w:type="spellEnd"/>
      <w:r w:rsidRPr="00D01304">
        <w:rPr>
          <w:color w:val="222222"/>
          <w:lang w:val="fr-FR"/>
        </w:rPr>
        <w:t xml:space="preserve">, M., &amp; </w:t>
      </w:r>
      <w:proofErr w:type="spellStart"/>
      <w:r w:rsidRPr="00D01304">
        <w:rPr>
          <w:color w:val="222222"/>
          <w:lang w:val="fr-FR"/>
        </w:rPr>
        <w:t>Tabaja</w:t>
      </w:r>
      <w:proofErr w:type="spellEnd"/>
      <w:r w:rsidRPr="00D01304">
        <w:rPr>
          <w:color w:val="222222"/>
          <w:lang w:val="fr-FR"/>
        </w:rPr>
        <w:t xml:space="preserve">, H. H. (2020). </w:t>
      </w:r>
      <w:r w:rsidRPr="00D01304">
        <w:rPr>
          <w:color w:val="222222"/>
        </w:rPr>
        <w:t xml:space="preserve">The impact of board composition on the level of ESG disclosures in GCC countries. </w:t>
      </w:r>
      <w:r w:rsidRPr="00D01304">
        <w:rPr>
          <w:i/>
          <w:color w:val="222222"/>
        </w:rPr>
        <w:t>Sustainability Accounting, Management and Policy Journal</w:t>
      </w:r>
      <w:r w:rsidRPr="00D01304">
        <w:rPr>
          <w:color w:val="222222"/>
        </w:rPr>
        <w:t xml:space="preserve">, </w:t>
      </w:r>
      <w:r w:rsidRPr="00D01304">
        <w:rPr>
          <w:i/>
          <w:color w:val="222222"/>
        </w:rPr>
        <w:t>11</w:t>
      </w:r>
      <w:r w:rsidRPr="00D01304">
        <w:rPr>
          <w:color w:val="222222"/>
        </w:rPr>
        <w:t>(1), 137-161.</w:t>
      </w:r>
    </w:p>
    <w:p w14:paraId="4C4EF0E0" w14:textId="77777777" w:rsidR="00227969" w:rsidRPr="00D01304" w:rsidRDefault="00227969" w:rsidP="00227969">
      <w:pPr>
        <w:numPr>
          <w:ilvl w:val="0"/>
          <w:numId w:val="2"/>
        </w:numPr>
        <w:spacing w:line="360" w:lineRule="auto"/>
        <w:jc w:val="both"/>
      </w:pPr>
      <w:r w:rsidRPr="00D01304">
        <w:rPr>
          <w:color w:val="222222"/>
        </w:rPr>
        <w:t xml:space="preserve">Arora, P., &amp; De, P. (2020). Environmental sustainability practices and exports: The interplay of strategy and institutions in Latin America. </w:t>
      </w:r>
      <w:r w:rsidRPr="00D01304">
        <w:rPr>
          <w:i/>
          <w:color w:val="222222"/>
        </w:rPr>
        <w:t>Journal of World Business</w:t>
      </w:r>
      <w:r w:rsidRPr="00D01304">
        <w:rPr>
          <w:color w:val="222222"/>
        </w:rPr>
        <w:t xml:space="preserve">, </w:t>
      </w:r>
      <w:r w:rsidRPr="00D01304">
        <w:rPr>
          <w:i/>
          <w:color w:val="222222"/>
        </w:rPr>
        <w:t>55</w:t>
      </w:r>
      <w:r w:rsidRPr="00D01304">
        <w:rPr>
          <w:color w:val="222222"/>
        </w:rPr>
        <w:t>(4), 101094.</w:t>
      </w:r>
    </w:p>
    <w:p w14:paraId="0B7BACFA" w14:textId="77777777" w:rsidR="00227969" w:rsidRPr="00D01304" w:rsidRDefault="00227969" w:rsidP="00227969">
      <w:pPr>
        <w:numPr>
          <w:ilvl w:val="0"/>
          <w:numId w:val="2"/>
        </w:numPr>
        <w:spacing w:line="360" w:lineRule="auto"/>
        <w:jc w:val="both"/>
      </w:pPr>
      <w:r w:rsidRPr="00D01304">
        <w:t xml:space="preserve">Baldini, M., Maso, L. D., Liberatore, G., Mazzi, F., and </w:t>
      </w:r>
      <w:proofErr w:type="spellStart"/>
      <w:r w:rsidRPr="00D01304">
        <w:t>Terzani</w:t>
      </w:r>
      <w:proofErr w:type="spellEnd"/>
      <w:r w:rsidRPr="00D01304">
        <w:t xml:space="preserve">, S. (2018). Role of country- and firm-level determinants in environmental, social, and governance disclosure. </w:t>
      </w:r>
      <w:r w:rsidRPr="00D01304">
        <w:rPr>
          <w:i/>
        </w:rPr>
        <w:t>Journal of Business Ethics</w:t>
      </w:r>
      <w:r w:rsidRPr="00D01304">
        <w:t>, 150(1):79–98.</w:t>
      </w:r>
    </w:p>
    <w:p w14:paraId="22A7A001" w14:textId="77777777" w:rsidR="00227969" w:rsidRPr="00D01304" w:rsidRDefault="00227969" w:rsidP="00227969">
      <w:pPr>
        <w:numPr>
          <w:ilvl w:val="0"/>
          <w:numId w:val="2"/>
        </w:numPr>
        <w:spacing w:after="120" w:line="360" w:lineRule="auto"/>
        <w:jc w:val="both"/>
      </w:pPr>
      <w:r w:rsidRPr="00D01304">
        <w:rPr>
          <w:color w:val="222222"/>
        </w:rPr>
        <w:t xml:space="preserve">Banerjee, R., Gupta, K., &amp; McIver, R. (2019). What matters most to firm-level environmentally sustainable practices: firm–specific or country–level factors? </w:t>
      </w:r>
      <w:r w:rsidRPr="00D01304">
        <w:rPr>
          <w:i/>
          <w:color w:val="222222"/>
        </w:rPr>
        <w:t>Journal of Cleaner Production</w:t>
      </w:r>
      <w:r w:rsidRPr="00D01304">
        <w:rPr>
          <w:color w:val="222222"/>
        </w:rPr>
        <w:t xml:space="preserve">, </w:t>
      </w:r>
      <w:r w:rsidRPr="00D01304">
        <w:rPr>
          <w:i/>
          <w:color w:val="222222"/>
        </w:rPr>
        <w:t>218</w:t>
      </w:r>
      <w:r w:rsidRPr="00D01304">
        <w:rPr>
          <w:color w:val="222222"/>
        </w:rPr>
        <w:t>, 225-240.</w:t>
      </w:r>
    </w:p>
    <w:p w14:paraId="13B20E26" w14:textId="77777777" w:rsidR="00227969" w:rsidRPr="00D01304" w:rsidRDefault="00227969" w:rsidP="00227969">
      <w:pPr>
        <w:numPr>
          <w:ilvl w:val="0"/>
          <w:numId w:val="2"/>
        </w:numPr>
        <w:spacing w:before="120" w:line="360" w:lineRule="auto"/>
        <w:jc w:val="both"/>
      </w:pPr>
      <w:r w:rsidRPr="00D01304">
        <w:rPr>
          <w:color w:val="222222"/>
        </w:rPr>
        <w:t xml:space="preserve">Barkat, K., Mimouni, K., </w:t>
      </w:r>
      <w:proofErr w:type="spellStart"/>
      <w:r w:rsidRPr="00D01304">
        <w:rPr>
          <w:color w:val="222222"/>
        </w:rPr>
        <w:t>Alsamara</w:t>
      </w:r>
      <w:proofErr w:type="spellEnd"/>
      <w:r w:rsidRPr="00D01304">
        <w:rPr>
          <w:color w:val="222222"/>
        </w:rPr>
        <w:t xml:space="preserve">, M., &amp; Mrabet, Z. (2024). Achieving the sustainable development goals in developing countries: The role of remittances and the mediating effect of financial inclusion. </w:t>
      </w:r>
      <w:r w:rsidRPr="00D01304">
        <w:rPr>
          <w:i/>
          <w:color w:val="222222"/>
        </w:rPr>
        <w:t>International Review of Economics &amp; Finance</w:t>
      </w:r>
      <w:r w:rsidRPr="00D01304">
        <w:rPr>
          <w:color w:val="222222"/>
        </w:rPr>
        <w:t xml:space="preserve">, </w:t>
      </w:r>
      <w:r w:rsidRPr="00D01304">
        <w:rPr>
          <w:i/>
          <w:color w:val="222222"/>
        </w:rPr>
        <w:t>95</w:t>
      </w:r>
      <w:r w:rsidRPr="00D01304">
        <w:rPr>
          <w:color w:val="222222"/>
        </w:rPr>
        <w:t>, 103460.</w:t>
      </w:r>
      <w:r w:rsidRPr="00D01304">
        <w:t xml:space="preserve">     </w:t>
      </w:r>
    </w:p>
    <w:p w14:paraId="30D57BBB" w14:textId="77777777" w:rsidR="00227969" w:rsidRPr="00D01304" w:rsidRDefault="00227969" w:rsidP="00227969">
      <w:pPr>
        <w:numPr>
          <w:ilvl w:val="0"/>
          <w:numId w:val="2"/>
        </w:numPr>
        <w:spacing w:line="360" w:lineRule="auto"/>
        <w:jc w:val="both"/>
      </w:pPr>
      <w:r w:rsidRPr="00D01304">
        <w:rPr>
          <w:color w:val="222222"/>
        </w:rPr>
        <w:t xml:space="preserve">Bondy, K. (2008). The paradox of power in CSR: A case study on implementation. </w:t>
      </w:r>
      <w:r w:rsidRPr="00D01304">
        <w:rPr>
          <w:i/>
          <w:color w:val="222222"/>
        </w:rPr>
        <w:t>Journal of Business Ethics</w:t>
      </w:r>
      <w:r w:rsidRPr="00D01304">
        <w:rPr>
          <w:color w:val="222222"/>
        </w:rPr>
        <w:t xml:space="preserve">, </w:t>
      </w:r>
      <w:r w:rsidRPr="00D01304">
        <w:rPr>
          <w:i/>
          <w:color w:val="222222"/>
        </w:rPr>
        <w:t>82</w:t>
      </w:r>
      <w:r w:rsidRPr="00D01304">
        <w:rPr>
          <w:color w:val="222222"/>
        </w:rPr>
        <w:t>, 307-323.</w:t>
      </w:r>
    </w:p>
    <w:p w14:paraId="08F88A0E" w14:textId="77777777" w:rsidR="00227969" w:rsidRPr="00D01304" w:rsidRDefault="00227969" w:rsidP="00227969">
      <w:pPr>
        <w:numPr>
          <w:ilvl w:val="0"/>
          <w:numId w:val="2"/>
        </w:numPr>
        <w:spacing w:line="360" w:lineRule="auto"/>
        <w:jc w:val="both"/>
      </w:pPr>
      <w:proofErr w:type="spellStart"/>
      <w:r w:rsidRPr="00D01304">
        <w:lastRenderedPageBreak/>
        <w:t>Bridoux</w:t>
      </w:r>
      <w:proofErr w:type="spellEnd"/>
      <w:r w:rsidRPr="00D01304">
        <w:t xml:space="preserve">, F. and </w:t>
      </w:r>
      <w:proofErr w:type="spellStart"/>
      <w:r w:rsidRPr="00D01304">
        <w:t>Stoelhorst</w:t>
      </w:r>
      <w:proofErr w:type="spellEnd"/>
      <w:r w:rsidRPr="00D01304">
        <w:t xml:space="preserve">, J. W. (2014). </w:t>
      </w:r>
      <w:proofErr w:type="spellStart"/>
      <w:r w:rsidRPr="00D01304">
        <w:t>Microfoundations</w:t>
      </w:r>
      <w:proofErr w:type="spellEnd"/>
      <w:r w:rsidRPr="00D01304">
        <w:t xml:space="preserve"> for stakeholder theory: Managing stakeholders with heterogeneous motives. </w:t>
      </w:r>
      <w:r w:rsidRPr="00D01304">
        <w:rPr>
          <w:i/>
        </w:rPr>
        <w:t>Strategic Management Journal</w:t>
      </w:r>
      <w:r w:rsidRPr="00D01304">
        <w:t>, 35(1):107–125.</w:t>
      </w:r>
    </w:p>
    <w:p w14:paraId="41D4FBC0" w14:textId="77777777" w:rsidR="00227969" w:rsidRPr="00D01304" w:rsidRDefault="00227969" w:rsidP="00227969">
      <w:pPr>
        <w:numPr>
          <w:ilvl w:val="0"/>
          <w:numId w:val="2"/>
        </w:numPr>
        <w:spacing w:line="360" w:lineRule="auto"/>
        <w:jc w:val="both"/>
      </w:pPr>
      <w:r w:rsidRPr="00D01304">
        <w:rPr>
          <w:color w:val="222222"/>
        </w:rPr>
        <w:t xml:space="preserve">Brielmaier, C., &amp; </w:t>
      </w:r>
      <w:proofErr w:type="spellStart"/>
      <w:r w:rsidRPr="00D01304">
        <w:rPr>
          <w:color w:val="222222"/>
        </w:rPr>
        <w:t>Friesl</w:t>
      </w:r>
      <w:proofErr w:type="spellEnd"/>
      <w:r w:rsidRPr="00D01304">
        <w:rPr>
          <w:color w:val="222222"/>
        </w:rPr>
        <w:t>, M. (2023). The attention‐based view: Review and conceptual extension towards situated attention. </w:t>
      </w:r>
      <w:r w:rsidRPr="00D01304">
        <w:rPr>
          <w:i/>
          <w:color w:val="222222"/>
        </w:rPr>
        <w:t>International Journal of Management Reviews</w:t>
      </w:r>
      <w:r w:rsidRPr="00D01304">
        <w:rPr>
          <w:color w:val="222222"/>
        </w:rPr>
        <w:t>, </w:t>
      </w:r>
      <w:r w:rsidRPr="00D01304">
        <w:rPr>
          <w:i/>
          <w:color w:val="222222"/>
        </w:rPr>
        <w:t>25</w:t>
      </w:r>
      <w:r w:rsidRPr="00D01304">
        <w:rPr>
          <w:color w:val="222222"/>
        </w:rPr>
        <w:t>(1), 99-129.</w:t>
      </w:r>
    </w:p>
    <w:p w14:paraId="22CAC53A" w14:textId="77777777" w:rsidR="00227969" w:rsidRPr="00D01304" w:rsidRDefault="00227969" w:rsidP="00227969">
      <w:pPr>
        <w:numPr>
          <w:ilvl w:val="0"/>
          <w:numId w:val="2"/>
        </w:numPr>
        <w:spacing w:line="360" w:lineRule="auto"/>
        <w:jc w:val="both"/>
      </w:pPr>
      <w:r w:rsidRPr="00D01304">
        <w:t xml:space="preserve">Burritt, R. L., Christ, K. L., Rammal, H. G., and </w:t>
      </w:r>
      <w:proofErr w:type="spellStart"/>
      <w:r w:rsidRPr="00D01304">
        <w:t>Schaltegger</w:t>
      </w:r>
      <w:proofErr w:type="spellEnd"/>
      <w:r w:rsidRPr="00D01304">
        <w:t xml:space="preserve">, S. (2020). Multinational enterprise strategies for addressing sustainability: The need for consolidation. </w:t>
      </w:r>
      <w:r w:rsidRPr="00D01304">
        <w:rPr>
          <w:i/>
        </w:rPr>
        <w:t>Journal of Business Ethics</w:t>
      </w:r>
      <w:r w:rsidRPr="00D01304">
        <w:t>, 164(2), 389–410.</w:t>
      </w:r>
    </w:p>
    <w:p w14:paraId="57FCF8B1" w14:textId="77777777" w:rsidR="00227969" w:rsidRPr="00D01304" w:rsidRDefault="00227969" w:rsidP="00227969">
      <w:pPr>
        <w:numPr>
          <w:ilvl w:val="0"/>
          <w:numId w:val="2"/>
        </w:numPr>
        <w:spacing w:after="120" w:line="360" w:lineRule="auto"/>
        <w:jc w:val="both"/>
      </w:pPr>
      <w:r w:rsidRPr="00D01304">
        <w:t xml:space="preserve">Clementino, E., and Perkins, R. (2021). How do companies respond to environmental, social, and governance (ESG) ratings? Evidence from Italy. </w:t>
      </w:r>
      <w:r w:rsidRPr="00D01304">
        <w:rPr>
          <w:i/>
        </w:rPr>
        <w:t>Journal of Business Ethics</w:t>
      </w:r>
      <w:r w:rsidRPr="00D01304">
        <w:t>, 171(2), 379-397.</w:t>
      </w:r>
    </w:p>
    <w:p w14:paraId="1EDD881A" w14:textId="77777777" w:rsidR="00227969" w:rsidRPr="00D01304" w:rsidRDefault="00227969" w:rsidP="00227969">
      <w:pPr>
        <w:numPr>
          <w:ilvl w:val="0"/>
          <w:numId w:val="2"/>
        </w:numPr>
        <w:shd w:val="clear" w:color="auto" w:fill="FFFFFF"/>
        <w:spacing w:before="120" w:after="120" w:line="360" w:lineRule="auto"/>
        <w:jc w:val="both"/>
      </w:pPr>
      <w:r w:rsidRPr="00D01304">
        <w:rPr>
          <w:color w:val="222222"/>
        </w:rPr>
        <w:t>Cohen, J. (1988). </w:t>
      </w:r>
      <w:r w:rsidRPr="00D01304">
        <w:rPr>
          <w:i/>
          <w:color w:val="222222"/>
        </w:rPr>
        <w:t>Statistical power analysis for the behavioral sciences</w:t>
      </w:r>
      <w:r w:rsidRPr="00D01304">
        <w:rPr>
          <w:color w:val="222222"/>
        </w:rPr>
        <w:t>. Erlbaum Associates.</w:t>
      </w:r>
    </w:p>
    <w:p w14:paraId="33BB1334" w14:textId="77777777" w:rsidR="00227969" w:rsidRPr="00D01304" w:rsidRDefault="00227969" w:rsidP="00227969">
      <w:pPr>
        <w:numPr>
          <w:ilvl w:val="0"/>
          <w:numId w:val="2"/>
        </w:numPr>
        <w:spacing w:before="120" w:line="360" w:lineRule="auto"/>
        <w:jc w:val="both"/>
      </w:pPr>
      <w:proofErr w:type="spellStart"/>
      <w:r w:rsidRPr="00D01304">
        <w:rPr>
          <w:color w:val="222222"/>
        </w:rPr>
        <w:t>Collevecchio</w:t>
      </w:r>
      <w:proofErr w:type="spellEnd"/>
      <w:r w:rsidRPr="00D01304">
        <w:rPr>
          <w:color w:val="222222"/>
        </w:rPr>
        <w:t xml:space="preserve">, F., </w:t>
      </w:r>
      <w:proofErr w:type="spellStart"/>
      <w:r w:rsidRPr="00D01304">
        <w:rPr>
          <w:color w:val="222222"/>
        </w:rPr>
        <w:t>Temperini</w:t>
      </w:r>
      <w:proofErr w:type="spellEnd"/>
      <w:r w:rsidRPr="00D01304">
        <w:rPr>
          <w:color w:val="222222"/>
        </w:rPr>
        <w:t xml:space="preserve">, V., Barba-Sanchez, V., &amp; Meseguer-Martinez, A. (2024). Sustainable Governance: Board Sustainability Experience and the Interplay with Board Age for Firm Sustainability. </w:t>
      </w:r>
      <w:r w:rsidRPr="00D01304">
        <w:rPr>
          <w:i/>
          <w:color w:val="222222"/>
        </w:rPr>
        <w:t>Journal of Business Ethics</w:t>
      </w:r>
      <w:r w:rsidRPr="00D01304">
        <w:rPr>
          <w:color w:val="222222"/>
        </w:rPr>
        <w:t>, 1-19.</w:t>
      </w:r>
    </w:p>
    <w:p w14:paraId="2ADC8FDA" w14:textId="77777777" w:rsidR="00227969" w:rsidRPr="00D01304" w:rsidRDefault="00227969" w:rsidP="00227969">
      <w:pPr>
        <w:numPr>
          <w:ilvl w:val="0"/>
          <w:numId w:val="2"/>
        </w:numPr>
        <w:spacing w:line="360" w:lineRule="auto"/>
        <w:jc w:val="both"/>
      </w:pPr>
      <w:r w:rsidRPr="00D01304">
        <w:t xml:space="preserve">Colvin, R. M., Witt, G. B., and Lacey, J. (2020). Power, perspective, and privilege: The challenge of translating stakeholder theory from business management to environmental and natural resource management. </w:t>
      </w:r>
      <w:r w:rsidRPr="00D01304">
        <w:rPr>
          <w:i/>
        </w:rPr>
        <w:t>Journal of Environmental Management</w:t>
      </w:r>
      <w:r w:rsidRPr="00D01304">
        <w:t>, 271, 110974.</w:t>
      </w:r>
    </w:p>
    <w:p w14:paraId="6A876F7E" w14:textId="77777777" w:rsidR="00227969" w:rsidRPr="00D01304" w:rsidRDefault="00227969" w:rsidP="00227969">
      <w:pPr>
        <w:numPr>
          <w:ilvl w:val="0"/>
          <w:numId w:val="2"/>
        </w:numPr>
        <w:spacing w:after="120" w:line="360" w:lineRule="auto"/>
        <w:jc w:val="both"/>
      </w:pPr>
      <w:r w:rsidRPr="00D01304">
        <w:t xml:space="preserve">Cugueró-Escofet, N., and Fortin, M. (2014). One justice or two? A model of reconciliation of normative justice theories and empirical research on organizational justice. </w:t>
      </w:r>
      <w:r w:rsidRPr="00D01304">
        <w:rPr>
          <w:i/>
        </w:rPr>
        <w:t>Journal of Business Ethics</w:t>
      </w:r>
      <w:r w:rsidRPr="00D01304">
        <w:t>, 124, 435-451.</w:t>
      </w:r>
    </w:p>
    <w:p w14:paraId="68CD11AF" w14:textId="77777777" w:rsidR="00227969" w:rsidRPr="00D01304" w:rsidRDefault="00227969" w:rsidP="00227969">
      <w:pPr>
        <w:numPr>
          <w:ilvl w:val="0"/>
          <w:numId w:val="2"/>
        </w:numPr>
        <w:spacing w:before="120" w:line="360" w:lineRule="auto"/>
        <w:jc w:val="both"/>
      </w:pPr>
      <w:r w:rsidRPr="00D01304">
        <w:rPr>
          <w:color w:val="222222"/>
        </w:rPr>
        <w:t xml:space="preserve">Danso, A., Adomako, S., Lartey, T., Amankwah-Amoah, J., &amp; Owusu-Yirenkyi, D. (2020). Stakeholder integration, environmental sustainability orientation and financial performance. </w:t>
      </w:r>
      <w:r w:rsidRPr="00D01304">
        <w:rPr>
          <w:i/>
          <w:color w:val="222222"/>
        </w:rPr>
        <w:t>Journal of Business Research</w:t>
      </w:r>
      <w:r w:rsidRPr="00D01304">
        <w:rPr>
          <w:color w:val="222222"/>
        </w:rPr>
        <w:t xml:space="preserve">, </w:t>
      </w:r>
      <w:r w:rsidRPr="00D01304">
        <w:rPr>
          <w:i/>
          <w:color w:val="222222"/>
        </w:rPr>
        <w:t>119</w:t>
      </w:r>
      <w:r w:rsidRPr="00D01304">
        <w:rPr>
          <w:color w:val="222222"/>
        </w:rPr>
        <w:t>, 652-662.</w:t>
      </w:r>
    </w:p>
    <w:p w14:paraId="1E2C4968" w14:textId="77777777" w:rsidR="00227969" w:rsidRPr="00D01304" w:rsidRDefault="00227969" w:rsidP="00227969">
      <w:pPr>
        <w:numPr>
          <w:ilvl w:val="0"/>
          <w:numId w:val="2"/>
        </w:numPr>
        <w:spacing w:line="360" w:lineRule="auto"/>
        <w:jc w:val="both"/>
      </w:pPr>
      <w:r w:rsidRPr="00D01304">
        <w:rPr>
          <w:color w:val="222222"/>
        </w:rPr>
        <w:t xml:space="preserve">Dash, G., &amp; Paul, J. (2021). CB-SEM vs PLS-SEM methods for research in social sciences and technology forecasting. </w:t>
      </w:r>
      <w:r w:rsidRPr="00D01304">
        <w:rPr>
          <w:i/>
          <w:color w:val="222222"/>
        </w:rPr>
        <w:t>Technological Forecasting and Social Change</w:t>
      </w:r>
      <w:r w:rsidRPr="00D01304">
        <w:rPr>
          <w:color w:val="222222"/>
        </w:rPr>
        <w:t xml:space="preserve">, </w:t>
      </w:r>
      <w:r w:rsidRPr="00D01304">
        <w:rPr>
          <w:i/>
          <w:color w:val="222222"/>
        </w:rPr>
        <w:t>173</w:t>
      </w:r>
      <w:r w:rsidRPr="00D01304">
        <w:rPr>
          <w:color w:val="222222"/>
        </w:rPr>
        <w:t>, 121092.</w:t>
      </w:r>
    </w:p>
    <w:p w14:paraId="2408E4AA" w14:textId="77777777" w:rsidR="00227969" w:rsidRPr="00D01304" w:rsidRDefault="00227969" w:rsidP="00227969">
      <w:pPr>
        <w:numPr>
          <w:ilvl w:val="0"/>
          <w:numId w:val="2"/>
        </w:numPr>
        <w:spacing w:after="120" w:line="360" w:lineRule="auto"/>
        <w:jc w:val="both"/>
      </w:pPr>
      <w:r w:rsidRPr="00D01304">
        <w:t xml:space="preserve">Dau, L. A. &amp; Moore, E. M. (2023) Closing the intention-realization gap: The impact of local embeddedness on effective progress toward SDG 17 in Research Handbook on </w:t>
      </w:r>
      <w:r w:rsidRPr="00D01304">
        <w:lastRenderedPageBreak/>
        <w:t>International Corporate Social Responsibility, Ed. Goerzen, Edward Elgar, A. Cheltenham, UK, Chapter 17, p. 255--268.</w:t>
      </w:r>
    </w:p>
    <w:p w14:paraId="043904FC" w14:textId="77777777" w:rsidR="00227969" w:rsidRPr="00D01304" w:rsidRDefault="00227969" w:rsidP="00227969">
      <w:pPr>
        <w:numPr>
          <w:ilvl w:val="0"/>
          <w:numId w:val="2"/>
        </w:numPr>
        <w:spacing w:before="120" w:line="360" w:lineRule="auto"/>
        <w:jc w:val="both"/>
      </w:pPr>
      <w:r w:rsidRPr="00D01304">
        <w:rPr>
          <w:color w:val="222222"/>
        </w:rPr>
        <w:t xml:space="preserve">de Almeida, F. P., Van Tulder, R., &amp; Rodrigues, S. B. (2023). Walking the Talk: Making the SDGs Core Business–An Integrated Framework. In </w:t>
      </w:r>
      <w:r w:rsidRPr="00D01304">
        <w:rPr>
          <w:i/>
          <w:color w:val="222222"/>
        </w:rPr>
        <w:t>International business and sustainable development goals</w:t>
      </w:r>
      <w:r w:rsidRPr="00D01304">
        <w:rPr>
          <w:color w:val="222222"/>
        </w:rPr>
        <w:t xml:space="preserve"> (pp. 49-82). Emerald Publishing Limited.</w:t>
      </w:r>
    </w:p>
    <w:p w14:paraId="1A80E601" w14:textId="77777777" w:rsidR="00227969" w:rsidRPr="00D01304" w:rsidRDefault="00227969" w:rsidP="00227969">
      <w:pPr>
        <w:numPr>
          <w:ilvl w:val="0"/>
          <w:numId w:val="2"/>
        </w:numPr>
        <w:spacing w:after="120" w:line="360" w:lineRule="auto"/>
        <w:jc w:val="both"/>
      </w:pPr>
      <w:r w:rsidRPr="00D01304">
        <w:rPr>
          <w:color w:val="222222"/>
        </w:rPr>
        <w:t xml:space="preserve">Dimitrova, A., </w:t>
      </w:r>
      <w:proofErr w:type="spellStart"/>
      <w:r w:rsidRPr="00D01304">
        <w:rPr>
          <w:color w:val="222222"/>
        </w:rPr>
        <w:t>Rogmans</w:t>
      </w:r>
      <w:proofErr w:type="spellEnd"/>
      <w:r w:rsidRPr="00D01304">
        <w:rPr>
          <w:color w:val="222222"/>
        </w:rPr>
        <w:t xml:space="preserve">, T., &amp; Triki, D. (2020). Country-specific determinants of FDI inflows to the MENA region: A systematic review and future research directions. </w:t>
      </w:r>
      <w:r w:rsidRPr="00D01304">
        <w:rPr>
          <w:i/>
          <w:color w:val="222222"/>
        </w:rPr>
        <w:t>Multinational Business Review</w:t>
      </w:r>
      <w:r w:rsidRPr="00D01304">
        <w:rPr>
          <w:color w:val="222222"/>
        </w:rPr>
        <w:t xml:space="preserve">, </w:t>
      </w:r>
      <w:r w:rsidRPr="00D01304">
        <w:rPr>
          <w:i/>
          <w:color w:val="222222"/>
        </w:rPr>
        <w:t>28</w:t>
      </w:r>
      <w:r w:rsidRPr="00D01304">
        <w:rPr>
          <w:color w:val="222222"/>
        </w:rPr>
        <w:t>(1), 1-38.</w:t>
      </w:r>
    </w:p>
    <w:p w14:paraId="5E047F84" w14:textId="77777777" w:rsidR="00227969" w:rsidRPr="00D01304" w:rsidRDefault="00227969" w:rsidP="00227969">
      <w:pPr>
        <w:numPr>
          <w:ilvl w:val="0"/>
          <w:numId w:val="2"/>
        </w:numPr>
        <w:spacing w:before="120" w:line="360" w:lineRule="auto"/>
        <w:jc w:val="both"/>
      </w:pPr>
      <w:r w:rsidRPr="00D01304">
        <w:rPr>
          <w:color w:val="222222"/>
        </w:rPr>
        <w:t xml:space="preserve">Doh, J., Husted, B. W., &amp; Yang, X. (2016). Guest editors’ introduction: Ethics, corporate social responsibility, and developing country multinationals. </w:t>
      </w:r>
      <w:r w:rsidRPr="00D01304">
        <w:rPr>
          <w:i/>
          <w:color w:val="222222"/>
        </w:rPr>
        <w:t>Business Ethics Quarterly</w:t>
      </w:r>
      <w:r w:rsidRPr="00D01304">
        <w:rPr>
          <w:color w:val="222222"/>
        </w:rPr>
        <w:t xml:space="preserve">, </w:t>
      </w:r>
      <w:r w:rsidRPr="00D01304">
        <w:rPr>
          <w:i/>
          <w:color w:val="222222"/>
        </w:rPr>
        <w:t>26</w:t>
      </w:r>
      <w:r w:rsidRPr="00D01304">
        <w:rPr>
          <w:color w:val="222222"/>
        </w:rPr>
        <w:t>(3), 301-315.</w:t>
      </w:r>
      <w:r w:rsidRPr="00D01304">
        <w:t xml:space="preserve">     </w:t>
      </w:r>
    </w:p>
    <w:p w14:paraId="6D9CCBE8" w14:textId="77777777" w:rsidR="00227969" w:rsidRPr="00D01304" w:rsidRDefault="00227969" w:rsidP="00227969">
      <w:pPr>
        <w:numPr>
          <w:ilvl w:val="0"/>
          <w:numId w:val="2"/>
        </w:numPr>
        <w:spacing w:line="360" w:lineRule="auto"/>
        <w:jc w:val="both"/>
      </w:pPr>
      <w:r w:rsidRPr="00D01304">
        <w:rPr>
          <w:color w:val="222222"/>
        </w:rPr>
        <w:t xml:space="preserve">Donaldson, T., &amp; Preston, L. E. (1995). The stakeholder theory of the corporation: Concepts, evidence, and implications. </w:t>
      </w:r>
      <w:r w:rsidRPr="00D01304">
        <w:rPr>
          <w:i/>
          <w:color w:val="222222"/>
        </w:rPr>
        <w:t>Academy of Management Review</w:t>
      </w:r>
      <w:r w:rsidRPr="00D01304">
        <w:rPr>
          <w:color w:val="222222"/>
        </w:rPr>
        <w:t xml:space="preserve">, </w:t>
      </w:r>
      <w:r w:rsidRPr="00D01304">
        <w:rPr>
          <w:i/>
          <w:color w:val="222222"/>
        </w:rPr>
        <w:t>20</w:t>
      </w:r>
      <w:r w:rsidRPr="00D01304">
        <w:rPr>
          <w:color w:val="222222"/>
        </w:rPr>
        <w:t>(1), 65-91.</w:t>
      </w:r>
    </w:p>
    <w:p w14:paraId="33478522" w14:textId="77777777" w:rsidR="00227969" w:rsidRPr="00D01304" w:rsidRDefault="00227969" w:rsidP="00227969">
      <w:pPr>
        <w:numPr>
          <w:ilvl w:val="0"/>
          <w:numId w:val="2"/>
        </w:numPr>
        <w:spacing w:line="360" w:lineRule="auto"/>
        <w:jc w:val="both"/>
      </w:pPr>
      <w:proofErr w:type="spellStart"/>
      <w:r w:rsidRPr="00D01304">
        <w:t>Drempetic</w:t>
      </w:r>
      <w:proofErr w:type="spellEnd"/>
      <w:r w:rsidRPr="00D01304">
        <w:t xml:space="preserve">, S., Klein, C., and </w:t>
      </w:r>
      <w:proofErr w:type="spellStart"/>
      <w:r w:rsidRPr="00D01304">
        <w:t>Zwergel</w:t>
      </w:r>
      <w:proofErr w:type="spellEnd"/>
      <w:r w:rsidRPr="00D01304">
        <w:t xml:space="preserve">, B. (2020). The influence of firm size on the ESG score: Corporate sustainability ratings under review. </w:t>
      </w:r>
      <w:r w:rsidRPr="00D01304">
        <w:rPr>
          <w:i/>
        </w:rPr>
        <w:t>Journal of Business Ethics</w:t>
      </w:r>
      <w:r w:rsidRPr="00D01304">
        <w:t>, 167(2), 333-360.</w:t>
      </w:r>
    </w:p>
    <w:p w14:paraId="59CB3AF2" w14:textId="77777777" w:rsidR="00227969" w:rsidRPr="00D01304" w:rsidRDefault="00227969" w:rsidP="00227969">
      <w:pPr>
        <w:numPr>
          <w:ilvl w:val="0"/>
          <w:numId w:val="2"/>
        </w:numPr>
        <w:spacing w:after="120" w:line="360" w:lineRule="auto"/>
        <w:jc w:val="both"/>
      </w:pPr>
      <w:r w:rsidRPr="00D01304">
        <w:t xml:space="preserve">Durand, R., and </w:t>
      </w:r>
      <w:proofErr w:type="spellStart"/>
      <w:r w:rsidRPr="00D01304">
        <w:t>Jacqueminet</w:t>
      </w:r>
      <w:proofErr w:type="spellEnd"/>
      <w:r w:rsidRPr="00D01304">
        <w:t xml:space="preserve">, A. (2015). Peer conformity, attention, and heterogeneous implementation of practices in MNEs. </w:t>
      </w:r>
      <w:r w:rsidRPr="00D01304">
        <w:rPr>
          <w:i/>
        </w:rPr>
        <w:t>Journal of International Business Studies</w:t>
      </w:r>
      <w:r w:rsidRPr="00D01304">
        <w:t>, 46(8):917–937.</w:t>
      </w:r>
    </w:p>
    <w:p w14:paraId="64A14EB2" w14:textId="77777777" w:rsidR="00227969" w:rsidRPr="00D01304" w:rsidRDefault="00227969" w:rsidP="00227969">
      <w:pPr>
        <w:numPr>
          <w:ilvl w:val="0"/>
          <w:numId w:val="2"/>
        </w:numPr>
        <w:spacing w:before="120" w:line="360" w:lineRule="auto"/>
        <w:jc w:val="both"/>
      </w:pPr>
      <w:r w:rsidRPr="00D01304">
        <w:t>Fornell, C., &amp; Larcker, D. F. (1981). Evaluating structural equation models with unobservable variables and measurement error. Journal of Marketing Research, 18(1), 39-50.</w:t>
      </w:r>
    </w:p>
    <w:p w14:paraId="1B54FB60" w14:textId="77777777" w:rsidR="00227969" w:rsidRPr="00D01304" w:rsidRDefault="00227969" w:rsidP="00227969">
      <w:pPr>
        <w:numPr>
          <w:ilvl w:val="0"/>
          <w:numId w:val="2"/>
        </w:numPr>
        <w:spacing w:line="360" w:lineRule="auto"/>
        <w:jc w:val="both"/>
      </w:pPr>
      <w:r w:rsidRPr="00D01304">
        <w:t xml:space="preserve">Freeman, R.E., Harrison, J.S., Wicks, A.C., Parmar, B. and de Colle, S. (2010), </w:t>
      </w:r>
      <w:r w:rsidRPr="00D01304">
        <w:rPr>
          <w:i/>
        </w:rPr>
        <w:t>Stakeholder Theory: The State of the Art,</w:t>
      </w:r>
      <w:r w:rsidRPr="00D01304">
        <w:t xml:space="preserve"> Cambridge University Press, Cambridge.</w:t>
      </w:r>
    </w:p>
    <w:p w14:paraId="263C5D41" w14:textId="77777777" w:rsidR="00227969" w:rsidRPr="00D01304" w:rsidRDefault="00227969" w:rsidP="00227969">
      <w:pPr>
        <w:numPr>
          <w:ilvl w:val="0"/>
          <w:numId w:val="2"/>
        </w:numPr>
        <w:spacing w:line="360" w:lineRule="auto"/>
        <w:jc w:val="both"/>
      </w:pPr>
      <w:r w:rsidRPr="00D01304">
        <w:rPr>
          <w:color w:val="222222"/>
        </w:rPr>
        <w:t>Geisser, S. (1974). A predictive approach to the random effect model. </w:t>
      </w:r>
      <w:proofErr w:type="spellStart"/>
      <w:r w:rsidRPr="00D01304">
        <w:rPr>
          <w:i/>
          <w:color w:val="222222"/>
        </w:rPr>
        <w:t>Biometrika</w:t>
      </w:r>
      <w:proofErr w:type="spellEnd"/>
      <w:r w:rsidRPr="00D01304">
        <w:rPr>
          <w:color w:val="222222"/>
        </w:rPr>
        <w:t>, </w:t>
      </w:r>
      <w:r w:rsidRPr="00D01304">
        <w:rPr>
          <w:i/>
          <w:color w:val="222222"/>
        </w:rPr>
        <w:t>61</w:t>
      </w:r>
      <w:r w:rsidRPr="00D01304">
        <w:rPr>
          <w:color w:val="222222"/>
        </w:rPr>
        <w:t>(1), 101-107.</w:t>
      </w:r>
    </w:p>
    <w:p w14:paraId="74D2561C" w14:textId="77777777" w:rsidR="00227969" w:rsidRPr="00D01304" w:rsidRDefault="00227969" w:rsidP="00227969">
      <w:pPr>
        <w:numPr>
          <w:ilvl w:val="0"/>
          <w:numId w:val="2"/>
        </w:numPr>
        <w:spacing w:after="120" w:line="360" w:lineRule="auto"/>
        <w:jc w:val="both"/>
      </w:pPr>
      <w:r w:rsidRPr="00D01304">
        <w:t xml:space="preserve">Ghauri, P. N. (2022). The role of multinational enterprises in achieving sustainable development goals. </w:t>
      </w:r>
      <w:r w:rsidRPr="00D01304">
        <w:rPr>
          <w:i/>
        </w:rPr>
        <w:t>AIB Insights</w:t>
      </w:r>
      <w:r w:rsidRPr="00D01304">
        <w:t>, 22(1):1–5.</w:t>
      </w:r>
    </w:p>
    <w:p w14:paraId="443E65A9" w14:textId="77777777" w:rsidR="00227969" w:rsidRPr="00D01304" w:rsidRDefault="00227969" w:rsidP="00227969">
      <w:pPr>
        <w:numPr>
          <w:ilvl w:val="0"/>
          <w:numId w:val="2"/>
        </w:numPr>
        <w:spacing w:before="120" w:line="360" w:lineRule="auto"/>
        <w:jc w:val="both"/>
      </w:pPr>
      <w:r w:rsidRPr="00D01304">
        <w:rPr>
          <w:color w:val="222222"/>
        </w:rPr>
        <w:t xml:space="preserve">Ghauri, P., Strange, R., &amp; Cooke, F. L. (2021). Research on international business: The new realities. </w:t>
      </w:r>
      <w:r w:rsidRPr="00D01304">
        <w:rPr>
          <w:i/>
          <w:color w:val="222222"/>
        </w:rPr>
        <w:t>International Business Review</w:t>
      </w:r>
      <w:r w:rsidRPr="00D01304">
        <w:rPr>
          <w:color w:val="222222"/>
        </w:rPr>
        <w:t xml:space="preserve">, </w:t>
      </w:r>
      <w:r w:rsidRPr="00D01304">
        <w:rPr>
          <w:i/>
          <w:color w:val="222222"/>
        </w:rPr>
        <w:t>30</w:t>
      </w:r>
      <w:r w:rsidRPr="00D01304">
        <w:rPr>
          <w:color w:val="222222"/>
        </w:rPr>
        <w:t>(2), 101794.</w:t>
      </w:r>
    </w:p>
    <w:p w14:paraId="28CED70B" w14:textId="77777777" w:rsidR="00227969" w:rsidRPr="00D01304" w:rsidRDefault="00227969" w:rsidP="00227969">
      <w:pPr>
        <w:numPr>
          <w:ilvl w:val="0"/>
          <w:numId w:val="2"/>
        </w:numPr>
        <w:spacing w:line="360" w:lineRule="auto"/>
        <w:jc w:val="both"/>
      </w:pPr>
      <w:r w:rsidRPr="00D01304">
        <w:rPr>
          <w:color w:val="222222"/>
          <w:lang w:val="fr-FR"/>
        </w:rPr>
        <w:lastRenderedPageBreak/>
        <w:t xml:space="preserve">Gilbert, D. U., &amp; Rasche, A. (2008). </w:t>
      </w:r>
      <w:r w:rsidRPr="00D01304">
        <w:rPr>
          <w:color w:val="222222"/>
        </w:rPr>
        <w:t xml:space="preserve">Opportunities and problems of standardized ethics initiatives–a stakeholder theory perspective. </w:t>
      </w:r>
      <w:r w:rsidRPr="00D01304">
        <w:rPr>
          <w:i/>
          <w:color w:val="222222"/>
        </w:rPr>
        <w:t>Journal of Business Ethics</w:t>
      </w:r>
      <w:r w:rsidRPr="00D01304">
        <w:rPr>
          <w:color w:val="222222"/>
        </w:rPr>
        <w:t xml:space="preserve">, </w:t>
      </w:r>
      <w:r w:rsidRPr="00D01304">
        <w:rPr>
          <w:i/>
          <w:color w:val="222222"/>
        </w:rPr>
        <w:t>82</w:t>
      </w:r>
      <w:r w:rsidRPr="00D01304">
        <w:rPr>
          <w:color w:val="222222"/>
        </w:rPr>
        <w:t>, 755-773.</w:t>
      </w:r>
    </w:p>
    <w:p w14:paraId="221C81E3" w14:textId="77777777" w:rsidR="00227969" w:rsidRPr="00D01304" w:rsidRDefault="00227969" w:rsidP="00227969">
      <w:pPr>
        <w:numPr>
          <w:ilvl w:val="0"/>
          <w:numId w:val="2"/>
        </w:numPr>
        <w:spacing w:after="120" w:line="360" w:lineRule="auto"/>
        <w:jc w:val="both"/>
      </w:pPr>
      <w:r w:rsidRPr="00D01304">
        <w:t xml:space="preserve">Gjesdal, A. (2024). Diversity and Business Legitimacy. </w:t>
      </w:r>
      <w:r w:rsidRPr="00D01304">
        <w:rPr>
          <w:i/>
        </w:rPr>
        <w:t>Journal of Business Ethics</w:t>
      </w:r>
      <w:r w:rsidRPr="00D01304">
        <w:t>, 1-13.</w:t>
      </w:r>
    </w:p>
    <w:p w14:paraId="3AAFA07B" w14:textId="77777777" w:rsidR="00227969" w:rsidRPr="00D01304" w:rsidRDefault="00227969" w:rsidP="00227969">
      <w:pPr>
        <w:numPr>
          <w:ilvl w:val="0"/>
          <w:numId w:val="2"/>
        </w:numPr>
        <w:spacing w:before="120" w:line="360" w:lineRule="auto"/>
        <w:jc w:val="both"/>
      </w:pPr>
      <w:r w:rsidRPr="00D01304">
        <w:rPr>
          <w:color w:val="222222"/>
        </w:rPr>
        <w:t xml:space="preserve">Grojean, M. W., </w:t>
      </w:r>
      <w:proofErr w:type="spellStart"/>
      <w:r w:rsidRPr="00D01304">
        <w:rPr>
          <w:color w:val="222222"/>
        </w:rPr>
        <w:t>Resick</w:t>
      </w:r>
      <w:proofErr w:type="spellEnd"/>
      <w:r w:rsidRPr="00D01304">
        <w:rPr>
          <w:color w:val="222222"/>
        </w:rPr>
        <w:t xml:space="preserve">, C. J., Dickson, M. W., &amp; Smith, D. B. (2004). Leaders, values, and organizational climate: Examining leadership strategies for establishing an organizational climate regarding ethics. </w:t>
      </w:r>
      <w:r w:rsidRPr="00D01304">
        <w:rPr>
          <w:i/>
          <w:color w:val="222222"/>
        </w:rPr>
        <w:t>Journal of Business Ethics</w:t>
      </w:r>
      <w:r w:rsidRPr="00D01304">
        <w:rPr>
          <w:color w:val="222222"/>
        </w:rPr>
        <w:t xml:space="preserve">, </w:t>
      </w:r>
      <w:r w:rsidRPr="00D01304">
        <w:rPr>
          <w:i/>
          <w:color w:val="222222"/>
        </w:rPr>
        <w:t>55</w:t>
      </w:r>
      <w:r w:rsidRPr="00D01304">
        <w:rPr>
          <w:color w:val="222222"/>
        </w:rPr>
        <w:t>, 223-241.</w:t>
      </w:r>
    </w:p>
    <w:p w14:paraId="7EAC5F4E" w14:textId="77777777" w:rsidR="00227969" w:rsidRPr="00D01304" w:rsidRDefault="00227969" w:rsidP="00227969">
      <w:pPr>
        <w:numPr>
          <w:ilvl w:val="0"/>
          <w:numId w:val="2"/>
        </w:numPr>
        <w:spacing w:line="360" w:lineRule="auto"/>
        <w:jc w:val="both"/>
      </w:pPr>
      <w:r w:rsidRPr="00D01304">
        <w:rPr>
          <w:color w:val="222222"/>
          <w:lang w:val="fr-FR"/>
        </w:rPr>
        <w:t xml:space="preserve">Gutierrez, L., Montiel, I., </w:t>
      </w:r>
      <w:proofErr w:type="spellStart"/>
      <w:r w:rsidRPr="00D01304">
        <w:rPr>
          <w:color w:val="222222"/>
          <w:lang w:val="fr-FR"/>
        </w:rPr>
        <w:t>Surroca</w:t>
      </w:r>
      <w:proofErr w:type="spellEnd"/>
      <w:r w:rsidRPr="00D01304">
        <w:rPr>
          <w:color w:val="222222"/>
          <w:lang w:val="fr-FR"/>
        </w:rPr>
        <w:t xml:space="preserve">, J. A., &amp; </w:t>
      </w:r>
      <w:proofErr w:type="spellStart"/>
      <w:r w:rsidRPr="00D01304">
        <w:rPr>
          <w:color w:val="222222"/>
          <w:lang w:val="fr-FR"/>
        </w:rPr>
        <w:t>Tribo</w:t>
      </w:r>
      <w:proofErr w:type="spellEnd"/>
      <w:r w:rsidRPr="00D01304">
        <w:rPr>
          <w:color w:val="222222"/>
          <w:lang w:val="fr-FR"/>
        </w:rPr>
        <w:t xml:space="preserve">, J. A. (2022). </w:t>
      </w:r>
      <w:r w:rsidRPr="00D01304">
        <w:rPr>
          <w:color w:val="222222"/>
        </w:rPr>
        <w:t xml:space="preserve">Rainbow wash or rainbow revolution? Dynamic stakeholder engagement for SDG-driven responsible innovation. </w:t>
      </w:r>
      <w:r w:rsidRPr="00D01304">
        <w:rPr>
          <w:i/>
          <w:color w:val="222222"/>
        </w:rPr>
        <w:t>Journal of Business Ethics</w:t>
      </w:r>
      <w:r w:rsidRPr="00D01304">
        <w:rPr>
          <w:color w:val="222222"/>
        </w:rPr>
        <w:t xml:space="preserve">, </w:t>
      </w:r>
      <w:r w:rsidRPr="00D01304">
        <w:rPr>
          <w:i/>
          <w:color w:val="222222"/>
        </w:rPr>
        <w:t>180</w:t>
      </w:r>
      <w:r w:rsidRPr="00D01304">
        <w:rPr>
          <w:color w:val="222222"/>
        </w:rPr>
        <w:t>(4), 1113-1136.</w:t>
      </w:r>
    </w:p>
    <w:p w14:paraId="35D11E42" w14:textId="77777777" w:rsidR="00227969" w:rsidRPr="00D01304" w:rsidRDefault="00227969" w:rsidP="00227969">
      <w:pPr>
        <w:numPr>
          <w:ilvl w:val="0"/>
          <w:numId w:val="2"/>
        </w:numPr>
        <w:spacing w:after="120" w:line="360" w:lineRule="auto"/>
        <w:jc w:val="both"/>
      </w:pPr>
      <w:r w:rsidRPr="00D01304">
        <w:t xml:space="preserve">Habermann, F. and Fischer, F. B. (2023). Corporate social performance and the likelihood of bankruptcy: Evidence from a period of economic upswing. </w:t>
      </w:r>
      <w:r w:rsidRPr="00D01304">
        <w:rPr>
          <w:i/>
        </w:rPr>
        <w:t>Journal of Business Ethics</w:t>
      </w:r>
      <w:r w:rsidRPr="00D01304">
        <w:t>, 182(2):243-259.</w:t>
      </w:r>
    </w:p>
    <w:p w14:paraId="3282AB9C" w14:textId="77777777" w:rsidR="00227969" w:rsidRPr="00D01304" w:rsidRDefault="00227969" w:rsidP="00227969">
      <w:pPr>
        <w:numPr>
          <w:ilvl w:val="0"/>
          <w:numId w:val="2"/>
        </w:numPr>
        <w:spacing w:before="120" w:line="360" w:lineRule="auto"/>
        <w:jc w:val="both"/>
      </w:pPr>
      <w:r w:rsidRPr="00D01304">
        <w:rPr>
          <w:color w:val="222222"/>
        </w:rPr>
        <w:t xml:space="preserve">Hair Jr, J. F., Howard, M. C., &amp; Nitzl, C. (2020). Assessing measurement model quality in PLS-SEM using confirmatory composite analysis. </w:t>
      </w:r>
      <w:r w:rsidRPr="00D01304">
        <w:rPr>
          <w:i/>
          <w:color w:val="222222"/>
        </w:rPr>
        <w:t>Journal of Business Research</w:t>
      </w:r>
      <w:r w:rsidRPr="00D01304">
        <w:rPr>
          <w:color w:val="222222"/>
        </w:rPr>
        <w:t xml:space="preserve">, </w:t>
      </w:r>
      <w:r w:rsidRPr="00D01304">
        <w:rPr>
          <w:i/>
          <w:color w:val="222222"/>
        </w:rPr>
        <w:t>109</w:t>
      </w:r>
      <w:r w:rsidRPr="00D01304">
        <w:rPr>
          <w:color w:val="222222"/>
        </w:rPr>
        <w:t>, 101-110.</w:t>
      </w:r>
    </w:p>
    <w:p w14:paraId="59FE4D25" w14:textId="77777777" w:rsidR="00227969" w:rsidRPr="00D01304" w:rsidRDefault="00227969" w:rsidP="00227969">
      <w:pPr>
        <w:numPr>
          <w:ilvl w:val="0"/>
          <w:numId w:val="2"/>
        </w:numPr>
        <w:spacing w:line="360" w:lineRule="auto"/>
        <w:jc w:val="both"/>
      </w:pPr>
      <w:r w:rsidRPr="00D01304">
        <w:rPr>
          <w:color w:val="222222"/>
        </w:rPr>
        <w:t xml:space="preserve">Hair Jr, J. F., Hult, G. T. M., Ringle, C. M., Sarstedt, M., Danks, N. P., &amp; Ray, S. (2021). </w:t>
      </w:r>
      <w:r w:rsidRPr="00D01304">
        <w:rPr>
          <w:i/>
          <w:color w:val="222222"/>
        </w:rPr>
        <w:t>Partial least squares structural equation modeling (PLS-SEM) using R: A workbook</w:t>
      </w:r>
      <w:r w:rsidRPr="00D01304">
        <w:rPr>
          <w:color w:val="222222"/>
        </w:rPr>
        <w:t xml:space="preserve"> (p. 197). Springer Nature.</w:t>
      </w:r>
    </w:p>
    <w:p w14:paraId="0BE27D9B" w14:textId="77777777" w:rsidR="00227969" w:rsidRPr="00D01304" w:rsidRDefault="00227969" w:rsidP="00227969">
      <w:pPr>
        <w:numPr>
          <w:ilvl w:val="0"/>
          <w:numId w:val="2"/>
        </w:numPr>
        <w:spacing w:line="360" w:lineRule="auto"/>
        <w:jc w:val="both"/>
      </w:pPr>
      <w:r w:rsidRPr="00D01304">
        <w:rPr>
          <w:color w:val="222222"/>
        </w:rPr>
        <w:t xml:space="preserve">Hair, J. F., Risher, J. J., Sarstedt, M., &amp; Ringle, C. M. (2019). When to use and how to report the results of PLS-SEM. </w:t>
      </w:r>
      <w:r w:rsidRPr="00D01304">
        <w:rPr>
          <w:i/>
          <w:color w:val="222222"/>
        </w:rPr>
        <w:t>European business review</w:t>
      </w:r>
      <w:r w:rsidRPr="00D01304">
        <w:rPr>
          <w:color w:val="222222"/>
        </w:rPr>
        <w:t xml:space="preserve">, </w:t>
      </w:r>
      <w:r w:rsidRPr="00D01304">
        <w:rPr>
          <w:i/>
          <w:color w:val="222222"/>
        </w:rPr>
        <w:t>31</w:t>
      </w:r>
      <w:r w:rsidRPr="00D01304">
        <w:rPr>
          <w:color w:val="222222"/>
        </w:rPr>
        <w:t>(1), 2-24.</w:t>
      </w:r>
    </w:p>
    <w:p w14:paraId="0AF94BC6" w14:textId="77777777" w:rsidR="00227969" w:rsidRPr="00D01304" w:rsidRDefault="00227969" w:rsidP="00227969">
      <w:pPr>
        <w:numPr>
          <w:ilvl w:val="0"/>
          <w:numId w:val="2"/>
        </w:numPr>
        <w:spacing w:line="360" w:lineRule="auto"/>
        <w:jc w:val="both"/>
      </w:pPr>
      <w:r w:rsidRPr="00D01304">
        <w:rPr>
          <w:color w:val="222222"/>
        </w:rPr>
        <w:t>Henseler, J., Ringle, C. M., &amp; Sarstedt, M. (2015). A new criterion for assessing discriminant validity in variance-based structural equation modeling. </w:t>
      </w:r>
      <w:r w:rsidRPr="00D01304">
        <w:rPr>
          <w:i/>
          <w:color w:val="222222"/>
        </w:rPr>
        <w:t>Journal of the Academy of Marketing Science</w:t>
      </w:r>
      <w:r w:rsidRPr="00D01304">
        <w:rPr>
          <w:color w:val="222222"/>
        </w:rPr>
        <w:t>, </w:t>
      </w:r>
      <w:r w:rsidRPr="00D01304">
        <w:rPr>
          <w:i/>
          <w:color w:val="222222"/>
        </w:rPr>
        <w:t>43</w:t>
      </w:r>
      <w:r w:rsidRPr="00D01304">
        <w:rPr>
          <w:color w:val="222222"/>
        </w:rPr>
        <w:t>, 115-135.</w:t>
      </w:r>
    </w:p>
    <w:p w14:paraId="18DCA1B4" w14:textId="77777777" w:rsidR="00227969" w:rsidRPr="00D01304" w:rsidRDefault="00227969" w:rsidP="00227969">
      <w:pPr>
        <w:numPr>
          <w:ilvl w:val="0"/>
          <w:numId w:val="2"/>
        </w:numPr>
        <w:spacing w:after="120" w:line="360" w:lineRule="auto"/>
        <w:jc w:val="both"/>
      </w:pPr>
      <w:r w:rsidRPr="00D01304">
        <w:t>Husted, B. W. (2015). Corporate social responsibility practice from 1800–1914: Past initiatives and current debates. Business Ethics Quarterly, 25(1), 125-141.</w:t>
      </w:r>
    </w:p>
    <w:p w14:paraId="633447C3" w14:textId="77777777" w:rsidR="00227969" w:rsidRPr="00D01304" w:rsidRDefault="00227969" w:rsidP="00227969">
      <w:pPr>
        <w:numPr>
          <w:ilvl w:val="0"/>
          <w:numId w:val="2"/>
        </w:numPr>
        <w:spacing w:before="120" w:line="360" w:lineRule="auto"/>
        <w:jc w:val="both"/>
      </w:pPr>
      <w:r w:rsidRPr="00D01304">
        <w:t xml:space="preserve">Jamali, D., Jain, T., Samara, G., and Zoghbi, E. (2020). How institutions affect CSR practices in the Middle East and North Africa: A critical review. </w:t>
      </w:r>
      <w:r w:rsidRPr="00D01304">
        <w:rPr>
          <w:i/>
        </w:rPr>
        <w:t>Journal of World Business</w:t>
      </w:r>
      <w:r w:rsidRPr="00D01304">
        <w:t xml:space="preserve">, 55(5):101127.     </w:t>
      </w:r>
    </w:p>
    <w:p w14:paraId="67B1E7B8" w14:textId="77777777" w:rsidR="00227969" w:rsidRPr="00D01304" w:rsidRDefault="00227969" w:rsidP="00227969">
      <w:pPr>
        <w:numPr>
          <w:ilvl w:val="0"/>
          <w:numId w:val="2"/>
        </w:numPr>
        <w:spacing w:line="360" w:lineRule="auto"/>
        <w:jc w:val="both"/>
      </w:pPr>
      <w:r w:rsidRPr="00D01304">
        <w:rPr>
          <w:color w:val="222222"/>
        </w:rPr>
        <w:t xml:space="preserve">Jones, T. M. (1995). Instrumental stakeholder theory: A synthesis of ethics and economics. </w:t>
      </w:r>
      <w:r w:rsidRPr="00D01304">
        <w:rPr>
          <w:i/>
          <w:color w:val="222222"/>
        </w:rPr>
        <w:t>Academy of Management Review</w:t>
      </w:r>
      <w:r w:rsidRPr="00D01304">
        <w:rPr>
          <w:color w:val="222222"/>
        </w:rPr>
        <w:t xml:space="preserve">, </w:t>
      </w:r>
      <w:r w:rsidRPr="00D01304">
        <w:rPr>
          <w:i/>
          <w:color w:val="222222"/>
        </w:rPr>
        <w:t>20</w:t>
      </w:r>
      <w:r w:rsidRPr="00D01304">
        <w:rPr>
          <w:color w:val="222222"/>
        </w:rPr>
        <w:t>(2), 404-437.</w:t>
      </w:r>
    </w:p>
    <w:p w14:paraId="2F135C8E" w14:textId="77777777" w:rsidR="00227969" w:rsidRPr="00D01304" w:rsidRDefault="00227969" w:rsidP="00227969">
      <w:pPr>
        <w:numPr>
          <w:ilvl w:val="0"/>
          <w:numId w:val="2"/>
        </w:numPr>
        <w:spacing w:line="360" w:lineRule="auto"/>
        <w:jc w:val="both"/>
      </w:pPr>
      <w:r w:rsidRPr="00D01304">
        <w:rPr>
          <w:color w:val="222222"/>
        </w:rPr>
        <w:lastRenderedPageBreak/>
        <w:t xml:space="preserve">Jones, T. M., &amp; Felps, W. (2013). Shareholder wealth maximization and social welfare: A utilitarian critique. </w:t>
      </w:r>
      <w:r w:rsidRPr="00D01304">
        <w:rPr>
          <w:i/>
          <w:color w:val="222222"/>
        </w:rPr>
        <w:t>Business Ethics Quarterly</w:t>
      </w:r>
      <w:r w:rsidRPr="00D01304">
        <w:rPr>
          <w:color w:val="222222"/>
        </w:rPr>
        <w:t xml:space="preserve">, </w:t>
      </w:r>
      <w:r w:rsidRPr="00D01304">
        <w:rPr>
          <w:i/>
          <w:color w:val="222222"/>
        </w:rPr>
        <w:t>23</w:t>
      </w:r>
      <w:r w:rsidRPr="00D01304">
        <w:rPr>
          <w:color w:val="222222"/>
        </w:rPr>
        <w:t>(2), 207-238.</w:t>
      </w:r>
    </w:p>
    <w:p w14:paraId="14D27DD8" w14:textId="77777777" w:rsidR="00227969" w:rsidRPr="00D01304" w:rsidRDefault="00227969" w:rsidP="00227969">
      <w:pPr>
        <w:numPr>
          <w:ilvl w:val="0"/>
          <w:numId w:val="2"/>
        </w:numPr>
        <w:spacing w:line="360" w:lineRule="auto"/>
        <w:jc w:val="both"/>
      </w:pPr>
      <w:r w:rsidRPr="00D01304">
        <w:rPr>
          <w:color w:val="222222"/>
        </w:rPr>
        <w:t xml:space="preserve">Jones, T. M., Harrison, J. S., &amp; Felps, W. (2018). How applying instrumental stakeholder theory can provide sustainable competitive advantage. </w:t>
      </w:r>
      <w:r w:rsidRPr="00D01304">
        <w:rPr>
          <w:i/>
          <w:color w:val="222222"/>
        </w:rPr>
        <w:t>Academy of Management Review</w:t>
      </w:r>
      <w:r w:rsidRPr="00D01304">
        <w:rPr>
          <w:color w:val="222222"/>
        </w:rPr>
        <w:t xml:space="preserve">, </w:t>
      </w:r>
      <w:r w:rsidRPr="00D01304">
        <w:rPr>
          <w:i/>
          <w:color w:val="222222"/>
        </w:rPr>
        <w:t>43</w:t>
      </w:r>
      <w:r w:rsidRPr="00D01304">
        <w:rPr>
          <w:color w:val="222222"/>
        </w:rPr>
        <w:t>(3), 371-391.</w:t>
      </w:r>
    </w:p>
    <w:p w14:paraId="6A327B2B" w14:textId="77777777" w:rsidR="00227969" w:rsidRPr="00D01304" w:rsidRDefault="00227969" w:rsidP="00227969">
      <w:pPr>
        <w:numPr>
          <w:ilvl w:val="0"/>
          <w:numId w:val="2"/>
        </w:numPr>
        <w:spacing w:after="120" w:line="360" w:lineRule="auto"/>
        <w:jc w:val="both"/>
      </w:pPr>
      <w:r w:rsidRPr="00D01304">
        <w:t xml:space="preserve">Kaptein, M. (2023). A paradox of ethics: Why people in good organizations do bad things. </w:t>
      </w:r>
      <w:r w:rsidRPr="00D01304">
        <w:rPr>
          <w:i/>
        </w:rPr>
        <w:t>Journal of Business Ethics</w:t>
      </w:r>
      <w:r w:rsidRPr="00D01304">
        <w:t>, 184(1), 297-316.</w:t>
      </w:r>
    </w:p>
    <w:p w14:paraId="2DAC0733" w14:textId="77777777" w:rsidR="00227969" w:rsidRPr="00D01304" w:rsidRDefault="00227969" w:rsidP="00227969">
      <w:pPr>
        <w:numPr>
          <w:ilvl w:val="0"/>
          <w:numId w:val="2"/>
        </w:numPr>
        <w:spacing w:before="120" w:line="360" w:lineRule="auto"/>
        <w:jc w:val="both"/>
      </w:pPr>
      <w:r w:rsidRPr="00D01304">
        <w:rPr>
          <w:color w:val="222222"/>
        </w:rPr>
        <w:t xml:space="preserve">Key, S. (1999). Organizational ethical culture: Real or imagined?. </w:t>
      </w:r>
      <w:r w:rsidRPr="00D01304">
        <w:rPr>
          <w:i/>
          <w:color w:val="222222"/>
        </w:rPr>
        <w:t>Journal of Business Ethics</w:t>
      </w:r>
      <w:r w:rsidRPr="00D01304">
        <w:rPr>
          <w:color w:val="222222"/>
        </w:rPr>
        <w:t xml:space="preserve">, </w:t>
      </w:r>
      <w:r w:rsidRPr="00D01304">
        <w:rPr>
          <w:i/>
          <w:color w:val="222222"/>
        </w:rPr>
        <w:t>20</w:t>
      </w:r>
      <w:r w:rsidRPr="00D01304">
        <w:rPr>
          <w:color w:val="222222"/>
        </w:rPr>
        <w:t>, 217-225.</w:t>
      </w:r>
    </w:p>
    <w:p w14:paraId="3B9CFC8E" w14:textId="77777777" w:rsidR="00227969" w:rsidRPr="00D01304" w:rsidRDefault="00227969" w:rsidP="00227969">
      <w:pPr>
        <w:numPr>
          <w:ilvl w:val="0"/>
          <w:numId w:val="2"/>
        </w:numPr>
        <w:spacing w:after="120" w:line="360" w:lineRule="auto"/>
        <w:jc w:val="both"/>
      </w:pPr>
      <w:r w:rsidRPr="00D01304">
        <w:t xml:space="preserve">Khaled, R., Ali, H., and Mohamed, E. K. (2021). The sustainable development goals and corporate sustainability performance: Mapping, extent, and determinants. </w:t>
      </w:r>
      <w:r w:rsidRPr="00D01304">
        <w:rPr>
          <w:i/>
        </w:rPr>
        <w:t>Journal of Cleaner Production</w:t>
      </w:r>
      <w:r w:rsidRPr="00D01304">
        <w:t>, 311:127599.</w:t>
      </w:r>
    </w:p>
    <w:p w14:paraId="1091A2F0" w14:textId="77777777" w:rsidR="00227969" w:rsidRPr="00D01304" w:rsidRDefault="00227969" w:rsidP="00227969">
      <w:pPr>
        <w:numPr>
          <w:ilvl w:val="0"/>
          <w:numId w:val="2"/>
        </w:numPr>
        <w:spacing w:before="120" w:line="360" w:lineRule="auto"/>
        <w:jc w:val="both"/>
      </w:pPr>
      <w:r w:rsidRPr="00D01304">
        <w:rPr>
          <w:color w:val="222222"/>
        </w:rPr>
        <w:t xml:space="preserve">Klassen, R. D., &amp; Whybark, D. C. (1999). The impact of environmental technologies on manufacturing performance. </w:t>
      </w:r>
      <w:r w:rsidRPr="00D01304">
        <w:rPr>
          <w:i/>
          <w:color w:val="222222"/>
        </w:rPr>
        <w:t>Academy of Management journal</w:t>
      </w:r>
      <w:r w:rsidRPr="00D01304">
        <w:rPr>
          <w:color w:val="222222"/>
        </w:rPr>
        <w:t xml:space="preserve">, </w:t>
      </w:r>
      <w:r w:rsidRPr="00D01304">
        <w:rPr>
          <w:i/>
          <w:color w:val="222222"/>
        </w:rPr>
        <w:t>42</w:t>
      </w:r>
      <w:r w:rsidRPr="00D01304">
        <w:rPr>
          <w:color w:val="222222"/>
        </w:rPr>
        <w:t>(6), 599-615.</w:t>
      </w:r>
    </w:p>
    <w:p w14:paraId="3E249260" w14:textId="77777777" w:rsidR="00227969" w:rsidRPr="00D01304" w:rsidRDefault="00227969" w:rsidP="00227969">
      <w:pPr>
        <w:numPr>
          <w:ilvl w:val="0"/>
          <w:numId w:val="2"/>
        </w:numPr>
        <w:spacing w:line="360" w:lineRule="auto"/>
        <w:jc w:val="both"/>
      </w:pPr>
      <w:r w:rsidRPr="00D01304">
        <w:rPr>
          <w:color w:val="222222"/>
        </w:rPr>
        <w:t xml:space="preserve">Kline, R. B. (2023). </w:t>
      </w:r>
      <w:r w:rsidRPr="00D01304">
        <w:rPr>
          <w:i/>
          <w:color w:val="222222"/>
        </w:rPr>
        <w:t>Principles and practice of structural equation modeling</w:t>
      </w:r>
      <w:r w:rsidRPr="00D01304">
        <w:rPr>
          <w:color w:val="222222"/>
        </w:rPr>
        <w:t>. Guilford publications.</w:t>
      </w:r>
    </w:p>
    <w:p w14:paraId="1C1047C4" w14:textId="77777777" w:rsidR="00227969" w:rsidRPr="00D01304" w:rsidRDefault="00227969" w:rsidP="00227969">
      <w:pPr>
        <w:numPr>
          <w:ilvl w:val="0"/>
          <w:numId w:val="2"/>
        </w:numPr>
        <w:spacing w:line="360" w:lineRule="auto"/>
        <w:jc w:val="both"/>
      </w:pPr>
      <w:proofErr w:type="spellStart"/>
      <w:r w:rsidRPr="00D01304">
        <w:t>Kluijtmans</w:t>
      </w:r>
      <w:proofErr w:type="spellEnd"/>
      <w:r w:rsidRPr="00D01304">
        <w:t xml:space="preserve">, T., Meyfroodt, K., and Crucke, S. (2024). Doing good and doing well? CSR climate as a driver of team empowerment and team performance. </w:t>
      </w:r>
      <w:r w:rsidRPr="00D01304">
        <w:rPr>
          <w:i/>
        </w:rPr>
        <w:t>Journal of Business Ethics</w:t>
      </w:r>
      <w:r w:rsidRPr="00D01304">
        <w:t>, 1-16.</w:t>
      </w:r>
    </w:p>
    <w:p w14:paraId="379DEA58" w14:textId="77777777" w:rsidR="00227969" w:rsidRPr="00D01304" w:rsidRDefault="00227969" w:rsidP="00227969">
      <w:pPr>
        <w:numPr>
          <w:ilvl w:val="0"/>
          <w:numId w:val="2"/>
        </w:numPr>
        <w:spacing w:after="120" w:line="360" w:lineRule="auto"/>
        <w:jc w:val="both"/>
      </w:pPr>
      <w:r w:rsidRPr="00D01304">
        <w:rPr>
          <w:color w:val="222222"/>
          <w:lang w:val="fr-FR"/>
        </w:rPr>
        <w:t xml:space="preserve">Kolk, A., &amp; Rivera-Santos, M. (2018). </w:t>
      </w:r>
      <w:r w:rsidRPr="00D01304">
        <w:rPr>
          <w:color w:val="222222"/>
        </w:rPr>
        <w:t xml:space="preserve">The state of research on Africa in business and management: Insights from a systematic review of key international journals. </w:t>
      </w:r>
      <w:r w:rsidRPr="00D01304">
        <w:rPr>
          <w:i/>
          <w:color w:val="222222"/>
        </w:rPr>
        <w:t>Business &amp; Society</w:t>
      </w:r>
      <w:r w:rsidRPr="00D01304">
        <w:rPr>
          <w:color w:val="222222"/>
        </w:rPr>
        <w:t xml:space="preserve">, </w:t>
      </w:r>
      <w:r w:rsidRPr="00D01304">
        <w:rPr>
          <w:i/>
          <w:color w:val="222222"/>
        </w:rPr>
        <w:t>57</w:t>
      </w:r>
      <w:r w:rsidRPr="00D01304">
        <w:rPr>
          <w:color w:val="222222"/>
        </w:rPr>
        <w:t>(3), 415-436.</w:t>
      </w:r>
    </w:p>
    <w:p w14:paraId="4033F807" w14:textId="77777777" w:rsidR="00227969" w:rsidRPr="00D01304" w:rsidRDefault="00227969" w:rsidP="00227969">
      <w:pPr>
        <w:numPr>
          <w:ilvl w:val="0"/>
          <w:numId w:val="2"/>
        </w:numPr>
        <w:spacing w:after="120" w:line="360" w:lineRule="auto"/>
        <w:jc w:val="both"/>
      </w:pPr>
      <w:r w:rsidRPr="00D01304">
        <w:t xml:space="preserve">Kolk, A., </w:t>
      </w:r>
      <w:proofErr w:type="spellStart"/>
      <w:r w:rsidRPr="00D01304">
        <w:t>Kourula</w:t>
      </w:r>
      <w:proofErr w:type="spellEnd"/>
      <w:r w:rsidRPr="00D01304">
        <w:t xml:space="preserve">, A., and Pisani, N. (2017). Multinational enterprises and the sustainable development goals: What do we know and how to proceed? </w:t>
      </w:r>
      <w:r w:rsidRPr="00D01304">
        <w:rPr>
          <w:i/>
        </w:rPr>
        <w:t>Transnational Corporations</w:t>
      </w:r>
      <w:r w:rsidRPr="00D01304">
        <w:t>, 24(3):9–32.</w:t>
      </w:r>
    </w:p>
    <w:p w14:paraId="24BEF804" w14:textId="77777777" w:rsidR="00227969" w:rsidRPr="00D01304" w:rsidRDefault="00227969" w:rsidP="00227969">
      <w:pPr>
        <w:numPr>
          <w:ilvl w:val="0"/>
          <w:numId w:val="2"/>
        </w:numPr>
        <w:spacing w:before="120" w:line="360" w:lineRule="auto"/>
        <w:jc w:val="both"/>
      </w:pPr>
      <w:r w:rsidRPr="00D01304">
        <w:rPr>
          <w:color w:val="222222"/>
          <w:lang w:val="fr-FR"/>
        </w:rPr>
        <w:t xml:space="preserve">Lannelongue, G., Gonzalez-Benito, J., &amp; Quiroz, I. (2017). </w:t>
      </w:r>
      <w:r w:rsidRPr="00D01304">
        <w:rPr>
          <w:color w:val="222222"/>
        </w:rPr>
        <w:t xml:space="preserve">Environmental management and </w:t>
      </w:r>
      <w:proofErr w:type="spellStart"/>
      <w:r w:rsidRPr="00D01304">
        <w:rPr>
          <w:color w:val="222222"/>
        </w:rPr>
        <w:t>labour</w:t>
      </w:r>
      <w:proofErr w:type="spellEnd"/>
      <w:r w:rsidRPr="00D01304">
        <w:rPr>
          <w:color w:val="222222"/>
        </w:rPr>
        <w:t xml:space="preserve"> productivity: The moderating role of capital intensity. </w:t>
      </w:r>
      <w:r w:rsidRPr="00D01304">
        <w:rPr>
          <w:i/>
          <w:color w:val="222222"/>
        </w:rPr>
        <w:t>Journal of environmental management</w:t>
      </w:r>
      <w:r w:rsidRPr="00D01304">
        <w:rPr>
          <w:color w:val="222222"/>
        </w:rPr>
        <w:t xml:space="preserve">, </w:t>
      </w:r>
      <w:r w:rsidRPr="00D01304">
        <w:rPr>
          <w:i/>
          <w:color w:val="222222"/>
        </w:rPr>
        <w:t>190</w:t>
      </w:r>
      <w:r w:rsidRPr="00D01304">
        <w:rPr>
          <w:color w:val="222222"/>
        </w:rPr>
        <w:t>, 158-169.</w:t>
      </w:r>
    </w:p>
    <w:p w14:paraId="4D3D7244" w14:textId="77777777" w:rsidR="00227969" w:rsidRPr="00D01304" w:rsidRDefault="00227969" w:rsidP="00227969">
      <w:pPr>
        <w:numPr>
          <w:ilvl w:val="0"/>
          <w:numId w:val="2"/>
        </w:numPr>
        <w:spacing w:after="120" w:line="360" w:lineRule="auto"/>
        <w:jc w:val="both"/>
      </w:pPr>
      <w:proofErr w:type="spellStart"/>
      <w:r w:rsidRPr="00D01304">
        <w:lastRenderedPageBreak/>
        <w:t>Lashitew</w:t>
      </w:r>
      <w:proofErr w:type="spellEnd"/>
      <w:r w:rsidRPr="00D01304">
        <w:t xml:space="preserve">, A. A. (2021). Corporate uptake of the sustainable development goals: Mere greenwashing or an advent of institutional change? </w:t>
      </w:r>
      <w:r w:rsidRPr="00D01304">
        <w:rPr>
          <w:i/>
        </w:rPr>
        <w:t>Journal of International Business Policy</w:t>
      </w:r>
      <w:r w:rsidRPr="00D01304">
        <w:t>, 4(1):184–200.</w:t>
      </w:r>
    </w:p>
    <w:p w14:paraId="4955791D" w14:textId="77777777" w:rsidR="00227969" w:rsidRPr="00D01304" w:rsidRDefault="00227969" w:rsidP="00227969">
      <w:pPr>
        <w:numPr>
          <w:ilvl w:val="0"/>
          <w:numId w:val="2"/>
        </w:numPr>
        <w:spacing w:before="120" w:line="360" w:lineRule="auto"/>
        <w:jc w:val="both"/>
      </w:pPr>
      <w:r w:rsidRPr="00D01304">
        <w:rPr>
          <w:color w:val="222222"/>
        </w:rPr>
        <w:t xml:space="preserve">Leonidou, L. C., Theodosiou, M., Nilssen, F., </w:t>
      </w:r>
      <w:proofErr w:type="spellStart"/>
      <w:r w:rsidRPr="00D01304">
        <w:rPr>
          <w:color w:val="222222"/>
        </w:rPr>
        <w:t>Eteokleous</w:t>
      </w:r>
      <w:proofErr w:type="spellEnd"/>
      <w:r w:rsidRPr="00D01304">
        <w:rPr>
          <w:color w:val="222222"/>
        </w:rPr>
        <w:t xml:space="preserve">, P., &amp; </w:t>
      </w:r>
      <w:proofErr w:type="spellStart"/>
      <w:r w:rsidRPr="00D01304">
        <w:rPr>
          <w:color w:val="222222"/>
        </w:rPr>
        <w:t>Voskou</w:t>
      </w:r>
      <w:proofErr w:type="spellEnd"/>
      <w:r w:rsidRPr="00D01304">
        <w:rPr>
          <w:color w:val="222222"/>
        </w:rPr>
        <w:t xml:space="preserve">, A. (2024). Evaluating MNEs’ role in implementing the UN Sustainable Development Goals: The importance of innovative partnerships. </w:t>
      </w:r>
      <w:r w:rsidRPr="00D01304">
        <w:rPr>
          <w:i/>
          <w:color w:val="222222"/>
        </w:rPr>
        <w:t>International Business Review</w:t>
      </w:r>
      <w:r w:rsidRPr="00D01304">
        <w:rPr>
          <w:color w:val="222222"/>
        </w:rPr>
        <w:t>, 102259.</w:t>
      </w:r>
    </w:p>
    <w:p w14:paraId="6F142247" w14:textId="77777777" w:rsidR="00227969" w:rsidRPr="00D01304" w:rsidRDefault="00227969" w:rsidP="00227969">
      <w:pPr>
        <w:numPr>
          <w:ilvl w:val="0"/>
          <w:numId w:val="2"/>
        </w:numPr>
        <w:spacing w:line="360" w:lineRule="auto"/>
        <w:jc w:val="both"/>
      </w:pPr>
      <w:r w:rsidRPr="00D01304">
        <w:t xml:space="preserve">Li, J., Lian, G., and Xu, A. (2023). How do ESG affect the spillover of green innovation among peer firms? Mechanism discussion and performance study. </w:t>
      </w:r>
      <w:r w:rsidRPr="00D01304">
        <w:rPr>
          <w:i/>
        </w:rPr>
        <w:t>Journal of Business Research</w:t>
      </w:r>
      <w:r w:rsidRPr="00D01304">
        <w:t>, 158:113648.</w:t>
      </w:r>
    </w:p>
    <w:p w14:paraId="7273E857" w14:textId="77777777" w:rsidR="00227969" w:rsidRPr="00D01304" w:rsidRDefault="00227969" w:rsidP="00227969">
      <w:pPr>
        <w:numPr>
          <w:ilvl w:val="0"/>
          <w:numId w:val="2"/>
        </w:numPr>
        <w:spacing w:after="120" w:line="360" w:lineRule="auto"/>
        <w:jc w:val="both"/>
      </w:pPr>
      <w:r w:rsidRPr="00D01304">
        <w:t xml:space="preserve">Liou, R.-S., and Rao-Nicholson, R. (2021). Multinational enterprises and sustainable development goals: A foreign subsidiary perspective on tackling wicked problems. </w:t>
      </w:r>
      <w:r w:rsidRPr="00D01304">
        <w:rPr>
          <w:i/>
        </w:rPr>
        <w:t>Journal of International Business Policy</w:t>
      </w:r>
      <w:r w:rsidRPr="00D01304">
        <w:t>, 4(1):136–151.</w:t>
      </w:r>
    </w:p>
    <w:p w14:paraId="63A536AF" w14:textId="77777777" w:rsidR="00227969" w:rsidRPr="00D01304" w:rsidRDefault="00227969" w:rsidP="00227969">
      <w:pPr>
        <w:numPr>
          <w:ilvl w:val="0"/>
          <w:numId w:val="2"/>
        </w:numPr>
        <w:spacing w:before="120" w:line="360" w:lineRule="auto"/>
        <w:jc w:val="both"/>
      </w:pPr>
      <w:r w:rsidRPr="00D01304">
        <w:rPr>
          <w:color w:val="222222"/>
        </w:rPr>
        <w:t xml:space="preserve">Litzinger, W. D., &amp; Schaefer, T. E. (1987). Business ethics bogeyman: The perpetual paradox. </w:t>
      </w:r>
      <w:r w:rsidRPr="00D01304">
        <w:rPr>
          <w:i/>
          <w:color w:val="222222"/>
        </w:rPr>
        <w:t>Business Horizons</w:t>
      </w:r>
      <w:r w:rsidRPr="00D01304">
        <w:rPr>
          <w:color w:val="222222"/>
        </w:rPr>
        <w:t xml:space="preserve">, </w:t>
      </w:r>
      <w:r w:rsidRPr="00D01304">
        <w:rPr>
          <w:i/>
          <w:color w:val="222222"/>
        </w:rPr>
        <w:t>30</w:t>
      </w:r>
      <w:r w:rsidRPr="00D01304">
        <w:rPr>
          <w:color w:val="222222"/>
        </w:rPr>
        <w:t>(2), 16-21.</w:t>
      </w:r>
    </w:p>
    <w:p w14:paraId="542FB2C3" w14:textId="77777777" w:rsidR="00227969" w:rsidRPr="00D01304" w:rsidRDefault="00227969" w:rsidP="00227969">
      <w:pPr>
        <w:numPr>
          <w:ilvl w:val="0"/>
          <w:numId w:val="2"/>
        </w:numPr>
        <w:spacing w:after="120" w:line="360" w:lineRule="auto"/>
        <w:jc w:val="both"/>
        <w:rPr>
          <w:sz w:val="36"/>
          <w:szCs w:val="36"/>
        </w:rPr>
      </w:pPr>
      <w:r w:rsidRPr="00D01304">
        <w:rPr>
          <w:color w:val="222222"/>
          <w:shd w:val="clear" w:color="auto" w:fill="FFFFFF"/>
          <w:lang w:val="fr-FR"/>
        </w:rPr>
        <w:t xml:space="preserve">Liu, Y., </w:t>
      </w:r>
      <w:proofErr w:type="spellStart"/>
      <w:r w:rsidRPr="00D01304">
        <w:rPr>
          <w:color w:val="222222"/>
          <w:shd w:val="clear" w:color="auto" w:fill="FFFFFF"/>
          <w:lang w:val="fr-FR"/>
        </w:rPr>
        <w:t>Alnafrah</w:t>
      </w:r>
      <w:proofErr w:type="spellEnd"/>
      <w:r w:rsidRPr="00D01304">
        <w:rPr>
          <w:color w:val="222222"/>
          <w:shd w:val="clear" w:color="auto" w:fill="FFFFFF"/>
          <w:lang w:val="fr-FR"/>
        </w:rPr>
        <w:t xml:space="preserve">, I., &amp; Zhou, Y. (2024). </w:t>
      </w:r>
      <w:r w:rsidRPr="00D01304">
        <w:rPr>
          <w:color w:val="222222"/>
          <w:shd w:val="clear" w:color="auto" w:fill="FFFFFF"/>
        </w:rPr>
        <w:t>A systemic efficiency measurement of resource management and sustainable practices: A network bias-corrected DEA assessment of OECD countries. </w:t>
      </w:r>
      <w:r w:rsidRPr="00D01304">
        <w:rPr>
          <w:i/>
          <w:iCs/>
          <w:color w:val="222222"/>
          <w:shd w:val="clear" w:color="auto" w:fill="FFFFFF"/>
        </w:rPr>
        <w:t>Resources Policy</w:t>
      </w:r>
      <w:r w:rsidRPr="00D01304">
        <w:rPr>
          <w:color w:val="222222"/>
          <w:shd w:val="clear" w:color="auto" w:fill="FFFFFF"/>
        </w:rPr>
        <w:t>, </w:t>
      </w:r>
      <w:r w:rsidRPr="00D01304">
        <w:rPr>
          <w:i/>
          <w:iCs/>
          <w:color w:val="222222"/>
          <w:shd w:val="clear" w:color="auto" w:fill="FFFFFF"/>
        </w:rPr>
        <w:t>90</w:t>
      </w:r>
      <w:r w:rsidRPr="00D01304">
        <w:rPr>
          <w:color w:val="222222"/>
          <w:shd w:val="clear" w:color="auto" w:fill="FFFFFF"/>
        </w:rPr>
        <w:t>, 104771.</w:t>
      </w:r>
    </w:p>
    <w:p w14:paraId="44E9BEDA" w14:textId="77777777" w:rsidR="00227969" w:rsidRPr="00D01304" w:rsidRDefault="00227969" w:rsidP="00227969">
      <w:pPr>
        <w:numPr>
          <w:ilvl w:val="0"/>
          <w:numId w:val="2"/>
        </w:numPr>
        <w:spacing w:line="360" w:lineRule="auto"/>
        <w:jc w:val="both"/>
      </w:pPr>
      <w:r w:rsidRPr="00D01304">
        <w:t xml:space="preserve">Longoni, A., Luzzini, D., and Guerci, M. (2018). Deploying environmental management across functions: The relationship between green human resource management and green supply chain management. </w:t>
      </w:r>
      <w:r w:rsidRPr="00D01304">
        <w:rPr>
          <w:i/>
        </w:rPr>
        <w:t>Journal of Business Ethics</w:t>
      </w:r>
      <w:r w:rsidRPr="00D01304">
        <w:t>, 151, 1081-1095.</w:t>
      </w:r>
    </w:p>
    <w:p w14:paraId="564B8D22" w14:textId="77777777" w:rsidR="00227969" w:rsidRPr="00D01304" w:rsidRDefault="00227969" w:rsidP="00227969">
      <w:pPr>
        <w:numPr>
          <w:ilvl w:val="0"/>
          <w:numId w:val="2"/>
        </w:numPr>
        <w:spacing w:line="360" w:lineRule="auto"/>
        <w:jc w:val="both"/>
      </w:pPr>
      <w:r w:rsidRPr="00D01304">
        <w:rPr>
          <w:color w:val="222222"/>
        </w:rPr>
        <w:t xml:space="preserve">López-Gamero, M. D., </w:t>
      </w:r>
      <w:proofErr w:type="spellStart"/>
      <w:r w:rsidRPr="00D01304">
        <w:rPr>
          <w:color w:val="222222"/>
        </w:rPr>
        <w:t>Claver</w:t>
      </w:r>
      <w:proofErr w:type="spellEnd"/>
      <w:r w:rsidRPr="00D01304">
        <w:rPr>
          <w:color w:val="222222"/>
        </w:rPr>
        <w:t>-Cortés, E., &amp; Molina-Azorín, J. F. (2008). Complementary resources and capabilities for an ethical and environmental management: A qual/</w:t>
      </w:r>
      <w:proofErr w:type="spellStart"/>
      <w:r w:rsidRPr="00D01304">
        <w:rPr>
          <w:color w:val="222222"/>
        </w:rPr>
        <w:t>quan</w:t>
      </w:r>
      <w:proofErr w:type="spellEnd"/>
      <w:r w:rsidRPr="00D01304">
        <w:rPr>
          <w:color w:val="222222"/>
        </w:rPr>
        <w:t xml:space="preserve"> study. </w:t>
      </w:r>
      <w:r w:rsidRPr="00D01304">
        <w:rPr>
          <w:i/>
          <w:color w:val="222222"/>
        </w:rPr>
        <w:t>Journal of Business Ethics</w:t>
      </w:r>
      <w:r w:rsidRPr="00D01304">
        <w:rPr>
          <w:color w:val="222222"/>
        </w:rPr>
        <w:t xml:space="preserve">, </w:t>
      </w:r>
      <w:r w:rsidRPr="00D01304">
        <w:rPr>
          <w:i/>
          <w:color w:val="222222"/>
        </w:rPr>
        <w:t>82</w:t>
      </w:r>
      <w:r w:rsidRPr="00D01304">
        <w:rPr>
          <w:color w:val="222222"/>
        </w:rPr>
        <w:t>, 701-732.</w:t>
      </w:r>
    </w:p>
    <w:p w14:paraId="2B722652" w14:textId="77777777" w:rsidR="00227969" w:rsidRPr="00D01304" w:rsidRDefault="00227969" w:rsidP="00227969">
      <w:pPr>
        <w:numPr>
          <w:ilvl w:val="0"/>
          <w:numId w:val="2"/>
        </w:numPr>
        <w:spacing w:line="360" w:lineRule="auto"/>
        <w:jc w:val="both"/>
      </w:pPr>
      <w:r w:rsidRPr="00D01304">
        <w:rPr>
          <w:color w:val="222222"/>
        </w:rPr>
        <w:t xml:space="preserve">Lucas, M. T. (2010). Understanding environmental management practices: integrating views from strategic management and ecological economics. </w:t>
      </w:r>
      <w:r w:rsidRPr="00D01304">
        <w:rPr>
          <w:i/>
          <w:color w:val="222222"/>
        </w:rPr>
        <w:t>Business Strategy and the Environment</w:t>
      </w:r>
      <w:r w:rsidRPr="00D01304">
        <w:rPr>
          <w:color w:val="222222"/>
        </w:rPr>
        <w:t xml:space="preserve">, </w:t>
      </w:r>
      <w:r w:rsidRPr="00D01304">
        <w:rPr>
          <w:i/>
          <w:color w:val="222222"/>
        </w:rPr>
        <w:t>19</w:t>
      </w:r>
      <w:r w:rsidRPr="00D01304">
        <w:rPr>
          <w:color w:val="222222"/>
        </w:rPr>
        <w:t>(8), 543-556.</w:t>
      </w:r>
    </w:p>
    <w:p w14:paraId="5534F0E1" w14:textId="77777777" w:rsidR="00227969" w:rsidRPr="00D01304" w:rsidRDefault="00227969" w:rsidP="00227969">
      <w:pPr>
        <w:numPr>
          <w:ilvl w:val="0"/>
          <w:numId w:val="2"/>
        </w:numPr>
        <w:spacing w:after="120" w:line="360" w:lineRule="auto"/>
        <w:jc w:val="both"/>
      </w:pPr>
      <w:proofErr w:type="spellStart"/>
      <w:r w:rsidRPr="00D01304">
        <w:t>Lythreatis</w:t>
      </w:r>
      <w:proofErr w:type="spellEnd"/>
      <w:r w:rsidRPr="00D01304">
        <w:t xml:space="preserve">, S., Mostafa, A. M. S., and Wang, X. (2019). Participative leadership and organizational identification in SMEs in the MENA Region: Testing the roles of CSR perceptions and pride in membership. </w:t>
      </w:r>
      <w:r w:rsidRPr="00D01304">
        <w:rPr>
          <w:i/>
        </w:rPr>
        <w:t>Journal of Business Ethics</w:t>
      </w:r>
      <w:r w:rsidRPr="00D01304">
        <w:t>, 156, 635-650.</w:t>
      </w:r>
    </w:p>
    <w:p w14:paraId="6B09C073" w14:textId="77777777" w:rsidR="00227969" w:rsidRPr="00D01304" w:rsidRDefault="00227969" w:rsidP="00227969">
      <w:pPr>
        <w:numPr>
          <w:ilvl w:val="0"/>
          <w:numId w:val="2"/>
        </w:numPr>
        <w:spacing w:before="120" w:line="360" w:lineRule="auto"/>
        <w:jc w:val="both"/>
      </w:pPr>
      <w:r w:rsidRPr="00D01304">
        <w:rPr>
          <w:color w:val="222222"/>
        </w:rPr>
        <w:lastRenderedPageBreak/>
        <w:t xml:space="preserve">Menton, M., Larrea, C., Latorre, S., Martinez-Alier, J., Peck, M., Temper, L., &amp; Walter, M. (2020). Environmental justice and the SDGs: from synergies to gaps and contradictions. </w:t>
      </w:r>
      <w:r w:rsidRPr="00D01304">
        <w:rPr>
          <w:i/>
          <w:color w:val="222222"/>
        </w:rPr>
        <w:t>Sustainability Science</w:t>
      </w:r>
      <w:r w:rsidRPr="00D01304">
        <w:rPr>
          <w:color w:val="222222"/>
        </w:rPr>
        <w:t xml:space="preserve">, </w:t>
      </w:r>
      <w:r w:rsidRPr="00D01304">
        <w:rPr>
          <w:i/>
          <w:color w:val="222222"/>
        </w:rPr>
        <w:t>15</w:t>
      </w:r>
      <w:r w:rsidRPr="00D01304">
        <w:rPr>
          <w:color w:val="222222"/>
        </w:rPr>
        <w:t>, 1621-1636.</w:t>
      </w:r>
    </w:p>
    <w:p w14:paraId="7028FE60" w14:textId="77777777" w:rsidR="00227969" w:rsidRPr="00D01304" w:rsidRDefault="00227969" w:rsidP="00227969">
      <w:pPr>
        <w:numPr>
          <w:ilvl w:val="0"/>
          <w:numId w:val="2"/>
        </w:numPr>
        <w:spacing w:line="360" w:lineRule="auto"/>
        <w:jc w:val="both"/>
      </w:pPr>
      <w:r w:rsidRPr="00D01304">
        <w:t xml:space="preserve">Nielsen, B., </w:t>
      </w:r>
      <w:proofErr w:type="spellStart"/>
      <w:r w:rsidRPr="00D01304">
        <w:t>Wechtler</w:t>
      </w:r>
      <w:proofErr w:type="spellEnd"/>
      <w:r w:rsidRPr="00D01304">
        <w:t xml:space="preserve">, H., and Zheng, L. (2023). Disasters and international business: Insights and recommendations from a systematic review. </w:t>
      </w:r>
      <w:r w:rsidRPr="00D01304">
        <w:rPr>
          <w:i/>
        </w:rPr>
        <w:t>Journal of World Business</w:t>
      </w:r>
      <w:r w:rsidRPr="00D01304">
        <w:t>, 58(4):101458.</w:t>
      </w:r>
    </w:p>
    <w:p w14:paraId="6FB399CA" w14:textId="77777777" w:rsidR="00227969" w:rsidRPr="00D01304" w:rsidRDefault="00227969" w:rsidP="00227969">
      <w:pPr>
        <w:numPr>
          <w:ilvl w:val="0"/>
          <w:numId w:val="2"/>
        </w:numPr>
        <w:spacing w:line="360" w:lineRule="auto"/>
        <w:jc w:val="both"/>
      </w:pPr>
      <w:r w:rsidRPr="00D01304">
        <w:t xml:space="preserve">Nilsson, E., and Fougère, M. (2024). Global South States’ Views on Building Partnerships with Corporations: An Agonistic Struggle in the UN and Beyond. </w:t>
      </w:r>
      <w:r w:rsidRPr="00D01304">
        <w:rPr>
          <w:i/>
        </w:rPr>
        <w:t>Journal of Business Ethics</w:t>
      </w:r>
      <w:r w:rsidRPr="00D01304">
        <w:t>, 197(3), 445-463</w:t>
      </w:r>
    </w:p>
    <w:p w14:paraId="581FD065" w14:textId="77777777" w:rsidR="00227969" w:rsidRPr="00D01304" w:rsidRDefault="00227969" w:rsidP="00227969">
      <w:pPr>
        <w:numPr>
          <w:ilvl w:val="0"/>
          <w:numId w:val="2"/>
        </w:numPr>
        <w:spacing w:line="360" w:lineRule="auto"/>
        <w:jc w:val="both"/>
      </w:pPr>
      <w:r w:rsidRPr="00D01304">
        <w:t xml:space="preserve">Nonet, G. A. H., </w:t>
      </w:r>
      <w:proofErr w:type="spellStart"/>
      <w:r w:rsidRPr="00D01304">
        <w:t>Gössling</w:t>
      </w:r>
      <w:proofErr w:type="spellEnd"/>
      <w:r w:rsidRPr="00D01304">
        <w:t xml:space="preserve">, T., Van Tulder, R., and Bryson, J. M. (2022). Multi-stakeholder engagement for the sustainable development goals: Introduction to the special issue. </w:t>
      </w:r>
      <w:r w:rsidRPr="00D01304">
        <w:rPr>
          <w:i/>
        </w:rPr>
        <w:t>Journal of Business Ethics</w:t>
      </w:r>
      <w:r w:rsidRPr="00D01304">
        <w:t>, 180(4), 945-957.</w:t>
      </w:r>
    </w:p>
    <w:p w14:paraId="578A8FD3" w14:textId="77777777" w:rsidR="00227969" w:rsidRPr="00D01304" w:rsidRDefault="00227969" w:rsidP="00227969">
      <w:pPr>
        <w:numPr>
          <w:ilvl w:val="0"/>
          <w:numId w:val="2"/>
        </w:numPr>
        <w:spacing w:after="120" w:line="360" w:lineRule="auto"/>
        <w:jc w:val="both"/>
      </w:pPr>
      <w:r w:rsidRPr="00D01304">
        <w:rPr>
          <w:color w:val="222222"/>
        </w:rPr>
        <w:t>Ocasio, W. (1997). Towards an attention‐based view of the firm. </w:t>
      </w:r>
      <w:r w:rsidRPr="00D01304">
        <w:rPr>
          <w:i/>
          <w:color w:val="222222"/>
        </w:rPr>
        <w:t>Strategic Management Journal</w:t>
      </w:r>
      <w:r w:rsidRPr="00D01304">
        <w:rPr>
          <w:color w:val="222222"/>
        </w:rPr>
        <w:t>, </w:t>
      </w:r>
      <w:r w:rsidRPr="00D01304">
        <w:rPr>
          <w:i/>
          <w:color w:val="222222"/>
        </w:rPr>
        <w:t>18</w:t>
      </w:r>
      <w:r w:rsidRPr="00D01304">
        <w:rPr>
          <w:color w:val="222222"/>
        </w:rPr>
        <w:t>(S1), 187-206.</w:t>
      </w:r>
    </w:p>
    <w:p w14:paraId="79BC8962" w14:textId="77777777" w:rsidR="00227969" w:rsidRPr="00D01304" w:rsidRDefault="00227969" w:rsidP="00227969">
      <w:pPr>
        <w:numPr>
          <w:ilvl w:val="0"/>
          <w:numId w:val="2"/>
        </w:numPr>
        <w:shd w:val="clear" w:color="auto" w:fill="FFFFFF"/>
        <w:spacing w:before="120" w:after="120" w:line="360" w:lineRule="auto"/>
        <w:jc w:val="both"/>
      </w:pPr>
      <w:r w:rsidRPr="00D01304">
        <w:t xml:space="preserve">OECD. (2020). </w:t>
      </w:r>
      <w:r w:rsidRPr="00D01304">
        <w:rPr>
          <w:i/>
        </w:rPr>
        <w:t>A territorial approach to the Sustainable Development Goals: Synthesis report</w:t>
      </w:r>
      <w:r w:rsidRPr="00D01304">
        <w:t>. OECD Publishing. https://doi.org/10.1787/e86fa715-en</w:t>
      </w:r>
    </w:p>
    <w:p w14:paraId="50EF7ED8" w14:textId="77777777" w:rsidR="00227969" w:rsidRPr="00D01304" w:rsidRDefault="00227969" w:rsidP="00227969">
      <w:pPr>
        <w:numPr>
          <w:ilvl w:val="0"/>
          <w:numId w:val="2"/>
        </w:numPr>
        <w:spacing w:before="120" w:line="360" w:lineRule="auto"/>
        <w:jc w:val="both"/>
      </w:pPr>
      <w:proofErr w:type="spellStart"/>
      <w:r w:rsidRPr="00D01304">
        <w:rPr>
          <w:color w:val="222222"/>
        </w:rPr>
        <w:t>Opazo-Basáez</w:t>
      </w:r>
      <w:proofErr w:type="spellEnd"/>
      <w:r w:rsidRPr="00D01304">
        <w:rPr>
          <w:color w:val="222222"/>
        </w:rPr>
        <w:t xml:space="preserve">, M., Bustinza, O. F., &amp; Molina, L. M. (2024). The effect of industrial solution services (ISS) on innovation performance: The moderating role of sustainable development goals (SDGs). </w:t>
      </w:r>
      <w:r w:rsidRPr="00D01304">
        <w:rPr>
          <w:i/>
          <w:color w:val="222222"/>
        </w:rPr>
        <w:t>Journal of Cleaner Production</w:t>
      </w:r>
      <w:r w:rsidRPr="00D01304">
        <w:rPr>
          <w:color w:val="222222"/>
        </w:rPr>
        <w:t xml:space="preserve">, </w:t>
      </w:r>
      <w:r w:rsidRPr="00D01304">
        <w:rPr>
          <w:i/>
          <w:color w:val="222222"/>
        </w:rPr>
        <w:t>455</w:t>
      </w:r>
      <w:r w:rsidRPr="00D01304">
        <w:rPr>
          <w:color w:val="222222"/>
        </w:rPr>
        <w:t>, 142265.</w:t>
      </w:r>
    </w:p>
    <w:p w14:paraId="0EE20342" w14:textId="77777777" w:rsidR="00227969" w:rsidRPr="00D01304" w:rsidRDefault="00227969" w:rsidP="00227969">
      <w:pPr>
        <w:numPr>
          <w:ilvl w:val="0"/>
          <w:numId w:val="2"/>
        </w:numPr>
        <w:spacing w:line="360" w:lineRule="auto"/>
        <w:jc w:val="both"/>
      </w:pPr>
      <w:proofErr w:type="spellStart"/>
      <w:r w:rsidRPr="00D01304">
        <w:t>Parboteeah</w:t>
      </w:r>
      <w:proofErr w:type="spellEnd"/>
      <w:r w:rsidRPr="00D01304">
        <w:t xml:space="preserve">, K. P., Weiss, M., and </w:t>
      </w:r>
      <w:proofErr w:type="spellStart"/>
      <w:r w:rsidRPr="00D01304">
        <w:t>Hoegl</w:t>
      </w:r>
      <w:proofErr w:type="spellEnd"/>
      <w:r w:rsidRPr="00D01304">
        <w:t xml:space="preserve">, M. (2024). Ethical Climates Across National Contexts: A Meta-Analytical Investigation. </w:t>
      </w:r>
      <w:r w:rsidRPr="00D01304">
        <w:rPr>
          <w:i/>
        </w:rPr>
        <w:t>Journal of Business Ethics</w:t>
      </w:r>
      <w:r w:rsidRPr="00D01304">
        <w:t>, 189(3), 573-590.</w:t>
      </w:r>
    </w:p>
    <w:p w14:paraId="0FA3A5D7" w14:textId="77777777" w:rsidR="00227969" w:rsidRPr="00D01304" w:rsidRDefault="00227969" w:rsidP="00227969">
      <w:pPr>
        <w:numPr>
          <w:ilvl w:val="0"/>
          <w:numId w:val="2"/>
        </w:numPr>
        <w:spacing w:line="360" w:lineRule="auto"/>
        <w:jc w:val="both"/>
      </w:pPr>
      <w:r w:rsidRPr="00D01304">
        <w:rPr>
          <w:color w:val="222222"/>
        </w:rPr>
        <w:t xml:space="preserve">Park, B. I., Chidlow, A., &amp; Choi, J. (2014). Corporate social responsibility: Stakeholders influence on MNEs’ activities. </w:t>
      </w:r>
      <w:r w:rsidRPr="00D01304">
        <w:rPr>
          <w:i/>
          <w:color w:val="222222"/>
        </w:rPr>
        <w:t>International Business Review</w:t>
      </w:r>
      <w:r w:rsidRPr="00D01304">
        <w:rPr>
          <w:color w:val="222222"/>
        </w:rPr>
        <w:t xml:space="preserve">, </w:t>
      </w:r>
      <w:r w:rsidRPr="00D01304">
        <w:rPr>
          <w:i/>
          <w:color w:val="222222"/>
        </w:rPr>
        <w:t>23</w:t>
      </w:r>
      <w:r w:rsidRPr="00D01304">
        <w:rPr>
          <w:color w:val="222222"/>
        </w:rPr>
        <w:t>(5), 966-980.</w:t>
      </w:r>
      <w:r w:rsidRPr="00D01304">
        <w:t xml:space="preserve">     </w:t>
      </w:r>
    </w:p>
    <w:p w14:paraId="141DD8B0" w14:textId="77777777" w:rsidR="00227969" w:rsidRPr="00D01304" w:rsidRDefault="00227969" w:rsidP="00227969">
      <w:pPr>
        <w:numPr>
          <w:ilvl w:val="0"/>
          <w:numId w:val="2"/>
        </w:numPr>
        <w:spacing w:line="360" w:lineRule="auto"/>
        <w:jc w:val="both"/>
      </w:pPr>
      <w:r w:rsidRPr="00D01304">
        <w:t xml:space="preserve">Parmar, B. L., Freeman, R. E., Harrison, J. S., Wicks, A. C., Purnell, L., and De Colle, S. (2010). Stakeholder theory: The state of the art. </w:t>
      </w:r>
      <w:r w:rsidRPr="00D01304">
        <w:rPr>
          <w:i/>
        </w:rPr>
        <w:t>Academy of Management Annals</w:t>
      </w:r>
      <w:r w:rsidRPr="00D01304">
        <w:t>, 4(1):403–445.</w:t>
      </w:r>
    </w:p>
    <w:p w14:paraId="580E9886" w14:textId="77777777" w:rsidR="00227969" w:rsidRPr="00D01304" w:rsidRDefault="00227969" w:rsidP="00227969">
      <w:pPr>
        <w:numPr>
          <w:ilvl w:val="0"/>
          <w:numId w:val="2"/>
        </w:numPr>
        <w:spacing w:after="120" w:line="360" w:lineRule="auto"/>
        <w:jc w:val="both"/>
      </w:pPr>
      <w:r w:rsidRPr="00D01304">
        <w:t xml:space="preserve">Pogge, T., and Sengupta, M. (2015). The Sustainable Development Goals (SDGS) as drafted: Nice idea, poor execution. </w:t>
      </w:r>
      <w:r w:rsidRPr="00D01304">
        <w:rPr>
          <w:i/>
        </w:rPr>
        <w:t>Wash. Int'l LJ</w:t>
      </w:r>
      <w:r w:rsidRPr="00D01304">
        <w:t>, 24, 571.</w:t>
      </w:r>
    </w:p>
    <w:p w14:paraId="42FE3C8C" w14:textId="77777777" w:rsidR="00227969" w:rsidRPr="00D01304" w:rsidRDefault="00227969" w:rsidP="00227969">
      <w:pPr>
        <w:numPr>
          <w:ilvl w:val="0"/>
          <w:numId w:val="2"/>
        </w:numPr>
        <w:spacing w:before="120" w:line="360" w:lineRule="auto"/>
        <w:jc w:val="both"/>
      </w:pPr>
      <w:r w:rsidRPr="00D01304">
        <w:rPr>
          <w:color w:val="222222"/>
        </w:rPr>
        <w:lastRenderedPageBreak/>
        <w:t xml:space="preserve">Porter, M., &amp; Van der Linde, C. (1995). Green and competitive: ending the stalemate. </w:t>
      </w:r>
      <w:r w:rsidRPr="00D01304">
        <w:rPr>
          <w:i/>
          <w:color w:val="222222"/>
        </w:rPr>
        <w:t>The Dynamics of the eco-efficient economy: environmental regulation and competitive advantage</w:t>
      </w:r>
      <w:r w:rsidRPr="00D01304">
        <w:rPr>
          <w:color w:val="222222"/>
        </w:rPr>
        <w:t xml:space="preserve">, </w:t>
      </w:r>
      <w:r w:rsidRPr="00D01304">
        <w:rPr>
          <w:i/>
          <w:color w:val="222222"/>
        </w:rPr>
        <w:t>33</w:t>
      </w:r>
      <w:r w:rsidRPr="00D01304">
        <w:rPr>
          <w:color w:val="222222"/>
        </w:rPr>
        <w:t>, 120-134.</w:t>
      </w:r>
    </w:p>
    <w:p w14:paraId="2E65A7F8" w14:textId="77777777" w:rsidR="00227969" w:rsidRPr="00D01304" w:rsidRDefault="00227969" w:rsidP="00227969">
      <w:pPr>
        <w:numPr>
          <w:ilvl w:val="0"/>
          <w:numId w:val="2"/>
        </w:numPr>
        <w:spacing w:line="360" w:lineRule="auto"/>
        <w:jc w:val="both"/>
      </w:pPr>
      <w:r w:rsidRPr="00D01304">
        <w:t xml:space="preserve">Reed, M. S. (2008). Stakeholder participation for environmental management: A literature review. </w:t>
      </w:r>
      <w:r w:rsidRPr="00D01304">
        <w:rPr>
          <w:i/>
        </w:rPr>
        <w:t>Biological Conservation</w:t>
      </w:r>
      <w:r w:rsidRPr="00D01304">
        <w:t>, 141(10):2417–2431.</w:t>
      </w:r>
    </w:p>
    <w:p w14:paraId="787EFFCF" w14:textId="77777777" w:rsidR="00227969" w:rsidRPr="00D01304" w:rsidRDefault="00227969" w:rsidP="00227969">
      <w:pPr>
        <w:numPr>
          <w:ilvl w:val="0"/>
          <w:numId w:val="2"/>
        </w:numPr>
        <w:spacing w:line="360" w:lineRule="auto"/>
        <w:jc w:val="both"/>
      </w:pPr>
      <w:r w:rsidRPr="00D01304">
        <w:rPr>
          <w:color w:val="222222"/>
        </w:rPr>
        <w:t xml:space="preserve">Rehman, S. U., Bhatti, A., Kraus, S., &amp; Ferreira, J. J. (2021). The role of environmental management control systems for ecological sustainability and sustainable performance. </w:t>
      </w:r>
      <w:r w:rsidRPr="00D01304">
        <w:rPr>
          <w:i/>
          <w:color w:val="222222"/>
        </w:rPr>
        <w:t>Management Decision</w:t>
      </w:r>
      <w:r w:rsidRPr="00D01304">
        <w:rPr>
          <w:color w:val="222222"/>
        </w:rPr>
        <w:t xml:space="preserve">, </w:t>
      </w:r>
      <w:r w:rsidRPr="00D01304">
        <w:rPr>
          <w:i/>
          <w:color w:val="222222"/>
        </w:rPr>
        <w:t>59</w:t>
      </w:r>
      <w:r w:rsidRPr="00D01304">
        <w:rPr>
          <w:color w:val="222222"/>
        </w:rPr>
        <w:t>(9), 2217-2237.</w:t>
      </w:r>
    </w:p>
    <w:p w14:paraId="3B289AC4" w14:textId="77777777" w:rsidR="00227969" w:rsidRPr="00D01304" w:rsidRDefault="00227969" w:rsidP="00227969">
      <w:pPr>
        <w:numPr>
          <w:ilvl w:val="0"/>
          <w:numId w:val="2"/>
        </w:numPr>
        <w:spacing w:after="120" w:line="360" w:lineRule="auto"/>
        <w:jc w:val="both"/>
      </w:pPr>
      <w:r w:rsidRPr="00D01304">
        <w:t xml:space="preserve">Ren, S., Fan, D., and Tang, G. (2023). Organizations’ management configurations towards environment and market performances. </w:t>
      </w:r>
      <w:r w:rsidRPr="00D01304">
        <w:rPr>
          <w:i/>
        </w:rPr>
        <w:t>Journal of Business Ethics</w:t>
      </w:r>
      <w:r w:rsidRPr="00D01304">
        <w:t>, 188(2), 239-257.</w:t>
      </w:r>
    </w:p>
    <w:p w14:paraId="1FC620B4" w14:textId="77777777" w:rsidR="00227969" w:rsidRPr="00D01304" w:rsidRDefault="00227969" w:rsidP="00227969">
      <w:pPr>
        <w:numPr>
          <w:ilvl w:val="0"/>
          <w:numId w:val="2"/>
        </w:numPr>
        <w:spacing w:before="120" w:line="360" w:lineRule="auto"/>
        <w:jc w:val="both"/>
      </w:pPr>
      <w:r w:rsidRPr="00D01304">
        <w:rPr>
          <w:color w:val="222222"/>
        </w:rPr>
        <w:t xml:space="preserve">Ringle, C. M., Wende, S., &amp; Becker, J. M. (2015). </w:t>
      </w:r>
      <w:proofErr w:type="spellStart"/>
      <w:r w:rsidRPr="00D01304">
        <w:rPr>
          <w:color w:val="222222"/>
        </w:rPr>
        <w:t>SmartPLS</w:t>
      </w:r>
      <w:proofErr w:type="spellEnd"/>
      <w:r w:rsidRPr="00D01304">
        <w:rPr>
          <w:color w:val="222222"/>
        </w:rPr>
        <w:t xml:space="preserve"> GmbH. </w:t>
      </w:r>
      <w:r w:rsidRPr="00D01304">
        <w:rPr>
          <w:i/>
          <w:color w:val="222222"/>
        </w:rPr>
        <w:t>Software Smart PLS 3.2</w:t>
      </w:r>
      <w:r w:rsidRPr="00D01304">
        <w:rPr>
          <w:color w:val="222222"/>
        </w:rPr>
        <w:t xml:space="preserve">, </w:t>
      </w:r>
      <w:r w:rsidRPr="00D01304">
        <w:rPr>
          <w:i/>
          <w:color w:val="222222"/>
        </w:rPr>
        <w:t>7</w:t>
      </w:r>
      <w:r w:rsidRPr="00D01304">
        <w:rPr>
          <w:color w:val="222222"/>
        </w:rPr>
        <w:t>(3), 25474.</w:t>
      </w:r>
    </w:p>
    <w:p w14:paraId="0EE16885" w14:textId="77777777" w:rsidR="00227969" w:rsidRPr="00D01304" w:rsidRDefault="00227969" w:rsidP="00227969">
      <w:pPr>
        <w:numPr>
          <w:ilvl w:val="0"/>
          <w:numId w:val="2"/>
        </w:numPr>
        <w:spacing w:line="360" w:lineRule="auto"/>
        <w:jc w:val="both"/>
      </w:pPr>
      <w:proofErr w:type="spellStart"/>
      <w:r w:rsidRPr="00D01304">
        <w:rPr>
          <w:color w:val="222222"/>
        </w:rPr>
        <w:t>Rosamartina</w:t>
      </w:r>
      <w:proofErr w:type="spellEnd"/>
      <w:r w:rsidRPr="00D01304">
        <w:rPr>
          <w:color w:val="222222"/>
        </w:rPr>
        <w:t xml:space="preserve">, S., Giustina, S., &amp; </w:t>
      </w:r>
      <w:proofErr w:type="spellStart"/>
      <w:r w:rsidRPr="00D01304">
        <w:rPr>
          <w:color w:val="222222"/>
        </w:rPr>
        <w:t>Angeloantonio</w:t>
      </w:r>
      <w:proofErr w:type="spellEnd"/>
      <w:r w:rsidRPr="00D01304">
        <w:rPr>
          <w:color w:val="222222"/>
        </w:rPr>
        <w:t xml:space="preserve">, R. (2022). Digital reputation and firm performance: The moderating role of firm orientation towards sustainable development goals (SDGs). </w:t>
      </w:r>
      <w:r w:rsidRPr="00D01304">
        <w:rPr>
          <w:i/>
          <w:color w:val="222222"/>
        </w:rPr>
        <w:t>Journal of Business Research</w:t>
      </w:r>
      <w:r w:rsidRPr="00D01304">
        <w:rPr>
          <w:color w:val="222222"/>
        </w:rPr>
        <w:t xml:space="preserve">, </w:t>
      </w:r>
      <w:r w:rsidRPr="00D01304">
        <w:rPr>
          <w:i/>
          <w:color w:val="222222"/>
        </w:rPr>
        <w:t>152</w:t>
      </w:r>
      <w:r w:rsidRPr="00D01304">
        <w:rPr>
          <w:color w:val="222222"/>
        </w:rPr>
        <w:t>, 315-325.</w:t>
      </w:r>
    </w:p>
    <w:p w14:paraId="78736299" w14:textId="77777777" w:rsidR="00227969" w:rsidRPr="00D01304" w:rsidRDefault="00227969" w:rsidP="00227969">
      <w:pPr>
        <w:numPr>
          <w:ilvl w:val="0"/>
          <w:numId w:val="2"/>
        </w:numPr>
        <w:spacing w:line="360" w:lineRule="auto"/>
        <w:jc w:val="both"/>
      </w:pPr>
      <w:r w:rsidRPr="00D01304">
        <w:rPr>
          <w:color w:val="222222"/>
          <w:lang w:val="fr-FR"/>
        </w:rPr>
        <w:t xml:space="preserve">Ruiz-Palomino, P., &amp; </w:t>
      </w:r>
      <w:proofErr w:type="spellStart"/>
      <w:r w:rsidRPr="00D01304">
        <w:rPr>
          <w:color w:val="222222"/>
          <w:lang w:val="fr-FR"/>
        </w:rPr>
        <w:t>Martínez</w:t>
      </w:r>
      <w:proofErr w:type="spellEnd"/>
      <w:r w:rsidRPr="00D01304">
        <w:rPr>
          <w:color w:val="222222"/>
          <w:lang w:val="fr-FR"/>
        </w:rPr>
        <w:t xml:space="preserve">-Cañas, R. (2014). </w:t>
      </w:r>
      <w:r w:rsidRPr="00D01304">
        <w:rPr>
          <w:color w:val="222222"/>
        </w:rPr>
        <w:t xml:space="preserve">Ethical culture, ethical intent, and organizational citizenship behavior: The moderating and mediating role of person–organization fit. </w:t>
      </w:r>
      <w:r w:rsidRPr="00D01304">
        <w:rPr>
          <w:i/>
          <w:color w:val="222222"/>
        </w:rPr>
        <w:t>Journal of Business Ethics</w:t>
      </w:r>
      <w:r w:rsidRPr="00D01304">
        <w:rPr>
          <w:color w:val="222222"/>
        </w:rPr>
        <w:t xml:space="preserve">, </w:t>
      </w:r>
      <w:r w:rsidRPr="00D01304">
        <w:rPr>
          <w:i/>
          <w:color w:val="222222"/>
        </w:rPr>
        <w:t>120</w:t>
      </w:r>
      <w:r w:rsidRPr="00D01304">
        <w:rPr>
          <w:color w:val="222222"/>
        </w:rPr>
        <w:t>, 95-108.</w:t>
      </w:r>
    </w:p>
    <w:p w14:paraId="7D9A6ED4" w14:textId="77777777" w:rsidR="00227969" w:rsidRPr="00D01304" w:rsidRDefault="00227969" w:rsidP="00227969">
      <w:pPr>
        <w:numPr>
          <w:ilvl w:val="0"/>
          <w:numId w:val="2"/>
        </w:numPr>
        <w:spacing w:line="360" w:lineRule="auto"/>
        <w:jc w:val="both"/>
      </w:pPr>
      <w:r w:rsidRPr="00D01304">
        <w:rPr>
          <w:color w:val="222222"/>
        </w:rPr>
        <w:t xml:space="preserve">Russo, M. V., &amp; Fouts, P. A. (1997). A resource-based perspective on corporate environmental performance and profitability. </w:t>
      </w:r>
      <w:r w:rsidRPr="00D01304">
        <w:rPr>
          <w:i/>
          <w:color w:val="222222"/>
        </w:rPr>
        <w:t>Academy of Management Journal</w:t>
      </w:r>
      <w:r w:rsidRPr="00D01304">
        <w:rPr>
          <w:color w:val="222222"/>
        </w:rPr>
        <w:t xml:space="preserve">, </w:t>
      </w:r>
      <w:r w:rsidRPr="00D01304">
        <w:rPr>
          <w:i/>
          <w:color w:val="222222"/>
        </w:rPr>
        <w:t>40</w:t>
      </w:r>
      <w:r w:rsidRPr="00D01304">
        <w:rPr>
          <w:color w:val="222222"/>
        </w:rPr>
        <w:t>(3), 534-559.</w:t>
      </w:r>
    </w:p>
    <w:p w14:paraId="289AC6C2" w14:textId="77777777" w:rsidR="00227969" w:rsidRPr="00D01304" w:rsidRDefault="00227969" w:rsidP="00227969">
      <w:pPr>
        <w:numPr>
          <w:ilvl w:val="0"/>
          <w:numId w:val="2"/>
        </w:numPr>
        <w:spacing w:after="120" w:line="360" w:lineRule="auto"/>
        <w:jc w:val="both"/>
      </w:pPr>
      <w:r w:rsidRPr="00D01304">
        <w:t xml:space="preserve">Sampath, V. S., and Rahman, N. (2019). Bribery in MNEs: The dynamics of corruption culture distance and organizational distance to core values. </w:t>
      </w:r>
      <w:r w:rsidRPr="00D01304">
        <w:rPr>
          <w:i/>
        </w:rPr>
        <w:t>Journal of Business Ethics</w:t>
      </w:r>
      <w:r w:rsidRPr="00D01304">
        <w:t>, 159, 817-835.</w:t>
      </w:r>
    </w:p>
    <w:p w14:paraId="54C7D12C" w14:textId="77777777" w:rsidR="00227969" w:rsidRPr="00D01304" w:rsidRDefault="00227969" w:rsidP="00227969">
      <w:pPr>
        <w:numPr>
          <w:ilvl w:val="0"/>
          <w:numId w:val="2"/>
        </w:numPr>
        <w:spacing w:before="120" w:line="360" w:lineRule="auto"/>
        <w:jc w:val="both"/>
      </w:pPr>
      <w:r w:rsidRPr="00D01304">
        <w:rPr>
          <w:color w:val="222222"/>
          <w:lang w:val="fr-FR"/>
        </w:rPr>
        <w:t xml:space="preserve">Santos, M. J., &amp; Silva Bastos, C. (2021). </w:t>
      </w:r>
      <w:r w:rsidRPr="00D01304">
        <w:rPr>
          <w:color w:val="222222"/>
        </w:rPr>
        <w:t xml:space="preserve">The adoption of sustainable development goals by large Portuguese companies. </w:t>
      </w:r>
      <w:r w:rsidRPr="00D01304">
        <w:rPr>
          <w:i/>
          <w:color w:val="222222"/>
        </w:rPr>
        <w:t>Social Responsibility Journal</w:t>
      </w:r>
      <w:r w:rsidRPr="00D01304">
        <w:rPr>
          <w:color w:val="222222"/>
        </w:rPr>
        <w:t xml:space="preserve">, </w:t>
      </w:r>
      <w:r w:rsidRPr="00D01304">
        <w:rPr>
          <w:i/>
          <w:color w:val="222222"/>
        </w:rPr>
        <w:t>17</w:t>
      </w:r>
      <w:r w:rsidRPr="00D01304">
        <w:rPr>
          <w:color w:val="222222"/>
        </w:rPr>
        <w:t>(8), 1079-1099.</w:t>
      </w:r>
    </w:p>
    <w:p w14:paraId="10B076E1" w14:textId="566436A9" w:rsidR="00227969" w:rsidRPr="00D01304" w:rsidRDefault="00227969" w:rsidP="00227969">
      <w:pPr>
        <w:numPr>
          <w:ilvl w:val="0"/>
          <w:numId w:val="2"/>
        </w:numPr>
        <w:spacing w:line="360" w:lineRule="auto"/>
        <w:jc w:val="both"/>
      </w:pPr>
      <w:r w:rsidRPr="00D01304">
        <w:rPr>
          <w:color w:val="222222"/>
        </w:rPr>
        <w:t>Schaltegger, S., &amp; Synnestvedt, T. (2002). The link between ‘green’</w:t>
      </w:r>
      <w:r w:rsidR="00A162B6">
        <w:rPr>
          <w:color w:val="222222"/>
        </w:rPr>
        <w:t xml:space="preserve"> </w:t>
      </w:r>
      <w:r w:rsidRPr="00D01304">
        <w:rPr>
          <w:color w:val="222222"/>
        </w:rPr>
        <w:t xml:space="preserve">and economic success: environmental management as the crucial trigger between environmental and economic performance. </w:t>
      </w:r>
      <w:r w:rsidRPr="00D01304">
        <w:rPr>
          <w:i/>
          <w:color w:val="222222"/>
        </w:rPr>
        <w:t>Journal of Environmental Management</w:t>
      </w:r>
      <w:r w:rsidRPr="00D01304">
        <w:rPr>
          <w:color w:val="222222"/>
        </w:rPr>
        <w:t xml:space="preserve">, </w:t>
      </w:r>
      <w:r w:rsidRPr="00D01304">
        <w:rPr>
          <w:i/>
          <w:color w:val="222222"/>
        </w:rPr>
        <w:t>65</w:t>
      </w:r>
      <w:r w:rsidRPr="00D01304">
        <w:rPr>
          <w:color w:val="222222"/>
        </w:rPr>
        <w:t>(4), 339-346.</w:t>
      </w:r>
    </w:p>
    <w:p w14:paraId="5CCD4CCF" w14:textId="77777777" w:rsidR="00227969" w:rsidRPr="00D01304" w:rsidRDefault="00227969" w:rsidP="00227969">
      <w:pPr>
        <w:numPr>
          <w:ilvl w:val="0"/>
          <w:numId w:val="2"/>
        </w:numPr>
        <w:spacing w:line="360" w:lineRule="auto"/>
        <w:jc w:val="both"/>
      </w:pPr>
      <w:r w:rsidRPr="00D01304">
        <w:lastRenderedPageBreak/>
        <w:t xml:space="preserve">Schuler, D., Rasche, A., Etzion, D., and Newton, L. (2017). Guest editors’ introduction: Corporate sustainability management and environmental ethics. </w:t>
      </w:r>
      <w:r w:rsidRPr="00D01304">
        <w:rPr>
          <w:i/>
        </w:rPr>
        <w:t>Business Ethics Quarterly</w:t>
      </w:r>
      <w:r w:rsidRPr="00D01304">
        <w:t>, 27(2), 213-237.</w:t>
      </w:r>
    </w:p>
    <w:p w14:paraId="4B088E72" w14:textId="77777777" w:rsidR="00227969" w:rsidRPr="00D01304" w:rsidRDefault="00227969" w:rsidP="00227969">
      <w:pPr>
        <w:numPr>
          <w:ilvl w:val="0"/>
          <w:numId w:val="2"/>
        </w:numPr>
        <w:spacing w:after="120" w:line="360" w:lineRule="auto"/>
        <w:jc w:val="both"/>
      </w:pPr>
      <w:r w:rsidRPr="00D01304">
        <w:rPr>
          <w:color w:val="222222"/>
        </w:rPr>
        <w:t xml:space="preserve">Shahzad, M., Qu, Y., Zafar, A. U., Ding, X., &amp; Rehman, S. U. (2020). Translating stakeholders’ pressure into environmental practices–The mediating role of knowledge management. </w:t>
      </w:r>
      <w:r w:rsidRPr="00D01304">
        <w:rPr>
          <w:i/>
          <w:color w:val="222222"/>
        </w:rPr>
        <w:t>Journal of Cleaner Production</w:t>
      </w:r>
      <w:r w:rsidRPr="00D01304">
        <w:rPr>
          <w:color w:val="222222"/>
        </w:rPr>
        <w:t xml:space="preserve">, </w:t>
      </w:r>
      <w:r w:rsidRPr="00D01304">
        <w:rPr>
          <w:i/>
          <w:color w:val="222222"/>
        </w:rPr>
        <w:t>275</w:t>
      </w:r>
      <w:r w:rsidRPr="00D01304">
        <w:rPr>
          <w:color w:val="222222"/>
        </w:rPr>
        <w:t>, 124163.</w:t>
      </w:r>
    </w:p>
    <w:p w14:paraId="224D7ED0" w14:textId="77777777" w:rsidR="00227969" w:rsidRPr="00D01304" w:rsidRDefault="00227969" w:rsidP="00227969">
      <w:pPr>
        <w:numPr>
          <w:ilvl w:val="0"/>
          <w:numId w:val="2"/>
        </w:numPr>
        <w:spacing w:before="120" w:line="360" w:lineRule="auto"/>
        <w:jc w:val="both"/>
      </w:pPr>
      <w:r w:rsidRPr="00D01304">
        <w:rPr>
          <w:color w:val="222222"/>
        </w:rPr>
        <w:t xml:space="preserve">Sharma, S., &amp; Vredenburg, H. (1998). Proactive corporate environmental strategy and the development of competitively valuable organizational capabilities. </w:t>
      </w:r>
      <w:r w:rsidRPr="00D01304">
        <w:rPr>
          <w:i/>
          <w:color w:val="222222"/>
        </w:rPr>
        <w:t>Strategic Management Journal</w:t>
      </w:r>
      <w:r w:rsidRPr="00D01304">
        <w:rPr>
          <w:color w:val="222222"/>
        </w:rPr>
        <w:t xml:space="preserve">, </w:t>
      </w:r>
      <w:r w:rsidRPr="00D01304">
        <w:rPr>
          <w:i/>
          <w:color w:val="222222"/>
        </w:rPr>
        <w:t>19</w:t>
      </w:r>
      <w:r w:rsidRPr="00D01304">
        <w:rPr>
          <w:color w:val="222222"/>
        </w:rPr>
        <w:t>(8), 729-753.</w:t>
      </w:r>
      <w:r w:rsidRPr="00D01304">
        <w:t xml:space="preserve">     </w:t>
      </w:r>
    </w:p>
    <w:p w14:paraId="1206AB69" w14:textId="77777777" w:rsidR="00227969" w:rsidRPr="00D01304" w:rsidRDefault="00227969" w:rsidP="00227969">
      <w:pPr>
        <w:numPr>
          <w:ilvl w:val="0"/>
          <w:numId w:val="2"/>
        </w:numPr>
        <w:spacing w:line="360" w:lineRule="auto"/>
        <w:jc w:val="both"/>
      </w:pPr>
      <w:r w:rsidRPr="00D01304">
        <w:rPr>
          <w:color w:val="222222"/>
          <w:lang w:val="fr-FR"/>
        </w:rPr>
        <w:t xml:space="preserve">Singh, J., de los </w:t>
      </w:r>
      <w:proofErr w:type="spellStart"/>
      <w:r w:rsidRPr="00D01304">
        <w:rPr>
          <w:color w:val="222222"/>
          <w:lang w:val="fr-FR"/>
        </w:rPr>
        <w:t>Salmones</w:t>
      </w:r>
      <w:proofErr w:type="spellEnd"/>
      <w:r w:rsidRPr="00D01304">
        <w:rPr>
          <w:color w:val="222222"/>
          <w:lang w:val="fr-FR"/>
        </w:rPr>
        <w:t xml:space="preserve"> Sanchez, M. D. M. G., &amp; </w:t>
      </w:r>
      <w:proofErr w:type="spellStart"/>
      <w:r w:rsidRPr="00D01304">
        <w:rPr>
          <w:color w:val="222222"/>
          <w:lang w:val="fr-FR"/>
        </w:rPr>
        <w:t>del</w:t>
      </w:r>
      <w:proofErr w:type="spellEnd"/>
      <w:r w:rsidRPr="00D01304">
        <w:rPr>
          <w:color w:val="222222"/>
          <w:lang w:val="fr-FR"/>
        </w:rPr>
        <w:t xml:space="preserve"> Bosque, I. R. (2008). </w:t>
      </w:r>
      <w:r w:rsidRPr="00D01304">
        <w:rPr>
          <w:color w:val="222222"/>
        </w:rPr>
        <w:t xml:space="preserve">Understanding corporate social responsibility and product perceptions in consumer markets: A cross-cultural evaluation. </w:t>
      </w:r>
      <w:r w:rsidRPr="00D01304">
        <w:rPr>
          <w:i/>
          <w:color w:val="222222"/>
        </w:rPr>
        <w:t>Journal of Business Ethics</w:t>
      </w:r>
      <w:r w:rsidRPr="00D01304">
        <w:rPr>
          <w:color w:val="222222"/>
        </w:rPr>
        <w:t xml:space="preserve">, </w:t>
      </w:r>
      <w:r w:rsidRPr="00D01304">
        <w:rPr>
          <w:i/>
          <w:color w:val="222222"/>
        </w:rPr>
        <w:t>80</w:t>
      </w:r>
      <w:r w:rsidRPr="00D01304">
        <w:rPr>
          <w:color w:val="222222"/>
        </w:rPr>
        <w:t>, 597-611.</w:t>
      </w:r>
    </w:p>
    <w:p w14:paraId="24EA9750" w14:textId="77777777" w:rsidR="00227969" w:rsidRPr="00D01304" w:rsidRDefault="00227969" w:rsidP="00227969">
      <w:pPr>
        <w:numPr>
          <w:ilvl w:val="0"/>
          <w:numId w:val="2"/>
        </w:numPr>
        <w:spacing w:line="360" w:lineRule="auto"/>
        <w:jc w:val="both"/>
      </w:pPr>
      <w:r w:rsidRPr="00D01304">
        <w:rPr>
          <w:color w:val="222222"/>
        </w:rPr>
        <w:t xml:space="preserve">Stefan, A., &amp; Paul, L. (2008). Does it pay to be green? A systematic overview. </w:t>
      </w:r>
      <w:r w:rsidRPr="00D01304">
        <w:rPr>
          <w:i/>
          <w:color w:val="222222"/>
        </w:rPr>
        <w:t>Academy of Management Perspectives</w:t>
      </w:r>
      <w:r w:rsidRPr="00D01304">
        <w:rPr>
          <w:color w:val="222222"/>
        </w:rPr>
        <w:t xml:space="preserve">, </w:t>
      </w:r>
      <w:r w:rsidRPr="00D01304">
        <w:rPr>
          <w:i/>
          <w:color w:val="222222"/>
        </w:rPr>
        <w:t>22</w:t>
      </w:r>
      <w:r w:rsidRPr="00D01304">
        <w:rPr>
          <w:color w:val="222222"/>
        </w:rPr>
        <w:t>(4), 45-62.</w:t>
      </w:r>
    </w:p>
    <w:p w14:paraId="56BBAC6E" w14:textId="77777777" w:rsidR="00227969" w:rsidRPr="00D01304" w:rsidRDefault="00227969" w:rsidP="00227969">
      <w:pPr>
        <w:numPr>
          <w:ilvl w:val="0"/>
          <w:numId w:val="2"/>
        </w:numPr>
        <w:spacing w:line="360" w:lineRule="auto"/>
        <w:jc w:val="both"/>
      </w:pPr>
      <w:r w:rsidRPr="00D01304">
        <w:rPr>
          <w:color w:val="222222"/>
        </w:rPr>
        <w:t>Stone, M. (1974). Cross‐validatory choice and assessment of statistical predictions. </w:t>
      </w:r>
      <w:r w:rsidRPr="00D01304">
        <w:rPr>
          <w:i/>
          <w:color w:val="222222"/>
        </w:rPr>
        <w:t>Journal of the Royal Statistical Society: Series B (Methodological)</w:t>
      </w:r>
      <w:r w:rsidRPr="00D01304">
        <w:rPr>
          <w:color w:val="222222"/>
        </w:rPr>
        <w:t>, </w:t>
      </w:r>
      <w:r w:rsidRPr="00D01304">
        <w:rPr>
          <w:i/>
          <w:color w:val="222222"/>
        </w:rPr>
        <w:t>36</w:t>
      </w:r>
      <w:r w:rsidRPr="00D01304">
        <w:rPr>
          <w:color w:val="222222"/>
        </w:rPr>
        <w:t>(2), 111-133.</w:t>
      </w:r>
    </w:p>
    <w:p w14:paraId="78D2E607" w14:textId="77777777" w:rsidR="00227969" w:rsidRPr="00D01304" w:rsidRDefault="00227969" w:rsidP="00227969">
      <w:pPr>
        <w:numPr>
          <w:ilvl w:val="0"/>
          <w:numId w:val="2"/>
        </w:numPr>
        <w:spacing w:after="120" w:line="360" w:lineRule="auto"/>
        <w:jc w:val="both"/>
      </w:pPr>
      <w:r w:rsidRPr="00D01304">
        <w:rPr>
          <w:color w:val="222222"/>
        </w:rPr>
        <w:t xml:space="preserve">Svensson, G., &amp; Wood, G. (2008). A model of business ethics. </w:t>
      </w:r>
      <w:r w:rsidRPr="00D01304">
        <w:rPr>
          <w:i/>
          <w:color w:val="222222"/>
        </w:rPr>
        <w:t>Journal of Business Ethics</w:t>
      </w:r>
      <w:r w:rsidRPr="00D01304">
        <w:rPr>
          <w:color w:val="222222"/>
        </w:rPr>
        <w:t xml:space="preserve">, </w:t>
      </w:r>
      <w:r w:rsidRPr="00D01304">
        <w:rPr>
          <w:i/>
          <w:color w:val="222222"/>
        </w:rPr>
        <w:t>77</w:t>
      </w:r>
      <w:r w:rsidRPr="00D01304">
        <w:rPr>
          <w:color w:val="222222"/>
        </w:rPr>
        <w:t>, 303-322.</w:t>
      </w:r>
    </w:p>
    <w:p w14:paraId="4DCF943A" w14:textId="77777777" w:rsidR="00227969" w:rsidRPr="00D01304" w:rsidRDefault="00227969" w:rsidP="00227969">
      <w:pPr>
        <w:numPr>
          <w:ilvl w:val="0"/>
          <w:numId w:val="2"/>
        </w:numPr>
        <w:spacing w:before="120" w:line="360" w:lineRule="auto"/>
        <w:jc w:val="both"/>
      </w:pPr>
      <w:r w:rsidRPr="00D01304">
        <w:rPr>
          <w:color w:val="222222"/>
        </w:rPr>
        <w:t xml:space="preserve">Tamimi, N., &amp; Sebastianelli, R. (2017). Transparency among S&amp;P 500 companies: An analysis of ESG disclosure scores. </w:t>
      </w:r>
      <w:r w:rsidRPr="00D01304">
        <w:rPr>
          <w:i/>
          <w:color w:val="222222"/>
        </w:rPr>
        <w:t>Management decision</w:t>
      </w:r>
      <w:r w:rsidRPr="00D01304">
        <w:rPr>
          <w:color w:val="222222"/>
        </w:rPr>
        <w:t xml:space="preserve">, </w:t>
      </w:r>
      <w:r w:rsidRPr="00D01304">
        <w:rPr>
          <w:i/>
          <w:color w:val="222222"/>
        </w:rPr>
        <w:t>55</w:t>
      </w:r>
      <w:r w:rsidRPr="00D01304">
        <w:rPr>
          <w:color w:val="222222"/>
        </w:rPr>
        <w:t>(8), 1660-1680.</w:t>
      </w:r>
    </w:p>
    <w:p w14:paraId="2F764E50" w14:textId="77777777" w:rsidR="00227969" w:rsidRPr="00D01304" w:rsidRDefault="00227969" w:rsidP="00227969">
      <w:pPr>
        <w:numPr>
          <w:ilvl w:val="0"/>
          <w:numId w:val="2"/>
        </w:numPr>
        <w:spacing w:line="360" w:lineRule="auto"/>
        <w:jc w:val="both"/>
      </w:pPr>
      <w:proofErr w:type="spellStart"/>
      <w:r w:rsidRPr="00D01304">
        <w:rPr>
          <w:color w:val="222222"/>
        </w:rPr>
        <w:t>Toukabri</w:t>
      </w:r>
      <w:proofErr w:type="spellEnd"/>
      <w:r w:rsidRPr="00D01304">
        <w:rPr>
          <w:color w:val="222222"/>
        </w:rPr>
        <w:t xml:space="preserve">, M., &amp; Mohamed Youssef, M. A. (2023). Climate change disclosure and sustainable development goals (SDGs) of the 2030 agenda: the moderating role of corporate governance. </w:t>
      </w:r>
      <w:r w:rsidRPr="00D01304">
        <w:rPr>
          <w:i/>
          <w:color w:val="222222"/>
        </w:rPr>
        <w:t>Journal of Information, Communication and Ethics in Society</w:t>
      </w:r>
      <w:r w:rsidRPr="00D01304">
        <w:rPr>
          <w:color w:val="222222"/>
        </w:rPr>
        <w:t xml:space="preserve">, </w:t>
      </w:r>
      <w:r w:rsidRPr="00D01304">
        <w:rPr>
          <w:i/>
          <w:color w:val="222222"/>
        </w:rPr>
        <w:t>21</w:t>
      </w:r>
      <w:r w:rsidRPr="00D01304">
        <w:rPr>
          <w:color w:val="222222"/>
        </w:rPr>
        <w:t>(1), 30-62.</w:t>
      </w:r>
      <w:r w:rsidRPr="00D01304">
        <w:t xml:space="preserve">     </w:t>
      </w:r>
    </w:p>
    <w:p w14:paraId="68A71359" w14:textId="77777777" w:rsidR="00227969" w:rsidRPr="00D01304" w:rsidRDefault="00227969" w:rsidP="00227969">
      <w:pPr>
        <w:numPr>
          <w:ilvl w:val="0"/>
          <w:numId w:val="2"/>
        </w:numPr>
        <w:spacing w:before="240" w:after="240" w:line="360" w:lineRule="auto"/>
        <w:jc w:val="both"/>
      </w:pPr>
      <w:r w:rsidRPr="00D01304">
        <w:rPr>
          <w:color w:val="222222"/>
          <w:lang w:val="fr-FR"/>
        </w:rPr>
        <w:t xml:space="preserve">Treviño, L. K., &amp; Nelson, K. A. (2017). </w:t>
      </w:r>
      <w:r w:rsidRPr="00D01304">
        <w:rPr>
          <w:color w:val="222222"/>
        </w:rPr>
        <w:t>Managing business ethics: Straight talk about how to do it right (7th ed.). Wiley, Hoboken, NJ, USA.</w:t>
      </w:r>
    </w:p>
    <w:p w14:paraId="6C9E37B0" w14:textId="77777777" w:rsidR="00227969" w:rsidRPr="00D01304" w:rsidRDefault="00227969" w:rsidP="00227969">
      <w:pPr>
        <w:numPr>
          <w:ilvl w:val="0"/>
          <w:numId w:val="2"/>
        </w:numPr>
        <w:spacing w:line="360" w:lineRule="auto"/>
        <w:jc w:val="both"/>
      </w:pPr>
      <w:r w:rsidRPr="00D01304">
        <w:rPr>
          <w:color w:val="222222"/>
        </w:rPr>
        <w:lastRenderedPageBreak/>
        <w:t xml:space="preserve">Ullah, R., Ahmad, H., Rehman, F. U., &amp; Fawad, A. (2023). Green innovation and Sustainable Development Goals in SMEs: The moderating role of government incentives. </w:t>
      </w:r>
      <w:r w:rsidRPr="00D01304">
        <w:rPr>
          <w:i/>
          <w:color w:val="222222"/>
        </w:rPr>
        <w:t>Journal of Economic and Administrative Sciences</w:t>
      </w:r>
      <w:r w:rsidRPr="00D01304">
        <w:rPr>
          <w:color w:val="222222"/>
        </w:rPr>
        <w:t xml:space="preserve">, </w:t>
      </w:r>
      <w:r w:rsidRPr="00D01304">
        <w:rPr>
          <w:i/>
          <w:color w:val="222222"/>
        </w:rPr>
        <w:t>39</w:t>
      </w:r>
      <w:r w:rsidRPr="00D01304">
        <w:rPr>
          <w:color w:val="222222"/>
        </w:rPr>
        <w:t>(4), 830-846.</w:t>
      </w:r>
    </w:p>
    <w:p w14:paraId="0CCB4C88" w14:textId="77777777" w:rsidR="00227969" w:rsidRPr="00D01304" w:rsidRDefault="00227969" w:rsidP="00227969">
      <w:pPr>
        <w:numPr>
          <w:ilvl w:val="0"/>
          <w:numId w:val="2"/>
        </w:numPr>
        <w:spacing w:after="120" w:line="360" w:lineRule="auto"/>
        <w:jc w:val="both"/>
      </w:pPr>
      <w:r w:rsidRPr="00D01304">
        <w:rPr>
          <w:color w:val="222222"/>
        </w:rPr>
        <w:t xml:space="preserve">United Nations. (2015). Transforming our world: The 2030 agenda for sustainable development. </w:t>
      </w:r>
      <w:r w:rsidRPr="00D01304">
        <w:rPr>
          <w:i/>
          <w:color w:val="222222"/>
        </w:rPr>
        <w:t>New York: United Nations, Department of Economic and Social Affairs</w:t>
      </w:r>
      <w:r w:rsidRPr="00D01304">
        <w:rPr>
          <w:color w:val="222222"/>
        </w:rPr>
        <w:t xml:space="preserve">, </w:t>
      </w:r>
      <w:r w:rsidRPr="00D01304">
        <w:rPr>
          <w:i/>
          <w:color w:val="222222"/>
        </w:rPr>
        <w:t>1</w:t>
      </w:r>
      <w:r w:rsidRPr="00D01304">
        <w:rPr>
          <w:color w:val="222222"/>
        </w:rPr>
        <w:t>, 41.</w:t>
      </w:r>
    </w:p>
    <w:p w14:paraId="6E43BEF7" w14:textId="77777777" w:rsidR="00227969" w:rsidRPr="00D01304" w:rsidRDefault="00227969" w:rsidP="00227969">
      <w:pPr>
        <w:numPr>
          <w:ilvl w:val="0"/>
          <w:numId w:val="2"/>
        </w:numPr>
        <w:spacing w:before="120" w:line="360" w:lineRule="auto"/>
        <w:jc w:val="both"/>
      </w:pPr>
      <w:r w:rsidRPr="00D01304">
        <w:t xml:space="preserve">United Nations. (2024). </w:t>
      </w:r>
      <w:r w:rsidRPr="00D01304">
        <w:rPr>
          <w:i/>
        </w:rPr>
        <w:t>The Sustainable Development Goals Report 2024</w:t>
      </w:r>
      <w:r w:rsidRPr="00D01304">
        <w:t>. United Nations Department of Economic and Social Affairs.</w:t>
      </w:r>
      <w:hyperlink r:id="rId14">
        <w:r w:rsidRPr="00D01304">
          <w:t xml:space="preserve"> </w:t>
        </w:r>
      </w:hyperlink>
      <w:hyperlink r:id="rId15">
        <w:r w:rsidRPr="00D01304">
          <w:rPr>
            <w:color w:val="1155CC"/>
            <w:u w:val="single"/>
          </w:rPr>
          <w:t>https://unstats.un.org/sdgs/report/2024/</w:t>
        </w:r>
      </w:hyperlink>
    </w:p>
    <w:p w14:paraId="38020776" w14:textId="77777777" w:rsidR="00227969" w:rsidRPr="00D01304" w:rsidRDefault="00227969" w:rsidP="00227969">
      <w:pPr>
        <w:numPr>
          <w:ilvl w:val="0"/>
          <w:numId w:val="2"/>
        </w:numPr>
        <w:spacing w:line="360" w:lineRule="auto"/>
        <w:jc w:val="both"/>
      </w:pPr>
      <w:r w:rsidRPr="00D01304">
        <w:rPr>
          <w:color w:val="222222"/>
        </w:rPr>
        <w:t xml:space="preserve">Valentinov, V., &amp; Hajdu, A. (2021). Integrating instrumental and normative stakeholder theories: a systems theory approach. </w:t>
      </w:r>
      <w:r w:rsidRPr="00D01304">
        <w:rPr>
          <w:i/>
          <w:color w:val="222222"/>
        </w:rPr>
        <w:t>Journal of Organizational Change Management</w:t>
      </w:r>
      <w:r w:rsidRPr="00D01304">
        <w:rPr>
          <w:color w:val="222222"/>
        </w:rPr>
        <w:t xml:space="preserve">, </w:t>
      </w:r>
      <w:r w:rsidRPr="00D01304">
        <w:rPr>
          <w:i/>
          <w:color w:val="222222"/>
        </w:rPr>
        <w:t>34</w:t>
      </w:r>
      <w:r w:rsidRPr="00D01304">
        <w:rPr>
          <w:color w:val="222222"/>
        </w:rPr>
        <w:t>(4), 699-712.</w:t>
      </w:r>
    </w:p>
    <w:p w14:paraId="40E50BC4" w14:textId="77777777" w:rsidR="00227969" w:rsidRPr="00D01304" w:rsidRDefault="00227969" w:rsidP="00227969">
      <w:pPr>
        <w:numPr>
          <w:ilvl w:val="0"/>
          <w:numId w:val="2"/>
        </w:numPr>
        <w:spacing w:line="360" w:lineRule="auto"/>
        <w:jc w:val="both"/>
      </w:pPr>
      <w:r w:rsidRPr="00D01304">
        <w:rPr>
          <w:color w:val="222222"/>
        </w:rPr>
        <w:t xml:space="preserve">van der Waal, J. W., &amp; </w:t>
      </w:r>
      <w:proofErr w:type="spellStart"/>
      <w:r w:rsidRPr="00D01304">
        <w:rPr>
          <w:color w:val="222222"/>
        </w:rPr>
        <w:t>Thijssens</w:t>
      </w:r>
      <w:proofErr w:type="spellEnd"/>
      <w:r w:rsidRPr="00D01304">
        <w:rPr>
          <w:color w:val="222222"/>
        </w:rPr>
        <w:t xml:space="preserve">, T. (2020). Corporate involvement in sustainable development goals: Exploring the territory. </w:t>
      </w:r>
      <w:r w:rsidRPr="00D01304">
        <w:rPr>
          <w:i/>
          <w:color w:val="222222"/>
        </w:rPr>
        <w:t>Journal of Cleaner Production</w:t>
      </w:r>
      <w:r w:rsidRPr="00D01304">
        <w:rPr>
          <w:color w:val="222222"/>
        </w:rPr>
        <w:t xml:space="preserve">, </w:t>
      </w:r>
      <w:r w:rsidRPr="00D01304">
        <w:rPr>
          <w:i/>
          <w:color w:val="222222"/>
        </w:rPr>
        <w:t>252</w:t>
      </w:r>
      <w:r w:rsidRPr="00D01304">
        <w:rPr>
          <w:color w:val="222222"/>
        </w:rPr>
        <w:t>, 119625.</w:t>
      </w:r>
    </w:p>
    <w:p w14:paraId="2E012623" w14:textId="77777777" w:rsidR="00227969" w:rsidRPr="00D01304" w:rsidRDefault="00227969" w:rsidP="00227969">
      <w:pPr>
        <w:numPr>
          <w:ilvl w:val="0"/>
          <w:numId w:val="2"/>
        </w:numPr>
        <w:spacing w:line="360" w:lineRule="auto"/>
        <w:jc w:val="both"/>
      </w:pPr>
      <w:r w:rsidRPr="00D01304">
        <w:rPr>
          <w:color w:val="222222"/>
        </w:rPr>
        <w:t xml:space="preserve">van </w:t>
      </w:r>
      <w:proofErr w:type="spellStart"/>
      <w:r w:rsidRPr="00D01304">
        <w:rPr>
          <w:color w:val="222222"/>
        </w:rPr>
        <w:t>Tulder</w:t>
      </w:r>
      <w:proofErr w:type="spellEnd"/>
      <w:r w:rsidRPr="00D01304">
        <w:rPr>
          <w:color w:val="222222"/>
        </w:rPr>
        <w:t xml:space="preserve">, R. (2024). International Business and SDG8: Are We on Course?. In </w:t>
      </w:r>
      <w:r w:rsidRPr="00D01304">
        <w:rPr>
          <w:i/>
          <w:color w:val="222222"/>
        </w:rPr>
        <w:t>International Business and SDG 8: Exploring the Relationship between IB and Society</w:t>
      </w:r>
      <w:r w:rsidRPr="00D01304">
        <w:rPr>
          <w:color w:val="222222"/>
        </w:rPr>
        <w:t xml:space="preserve"> (pp. 9-31). Cham: Springer Nature Switzerland.</w:t>
      </w:r>
    </w:p>
    <w:p w14:paraId="7D20CE93" w14:textId="77777777" w:rsidR="00227969" w:rsidRPr="00D01304" w:rsidRDefault="00227969" w:rsidP="00227969">
      <w:pPr>
        <w:numPr>
          <w:ilvl w:val="0"/>
          <w:numId w:val="2"/>
        </w:numPr>
        <w:spacing w:line="360" w:lineRule="auto"/>
        <w:jc w:val="both"/>
      </w:pPr>
      <w:r w:rsidRPr="00D01304">
        <w:rPr>
          <w:color w:val="222222"/>
        </w:rPr>
        <w:t xml:space="preserve">van </w:t>
      </w:r>
      <w:proofErr w:type="spellStart"/>
      <w:r w:rsidRPr="00D01304">
        <w:rPr>
          <w:color w:val="222222"/>
        </w:rPr>
        <w:t>Tulder</w:t>
      </w:r>
      <w:proofErr w:type="spellEnd"/>
      <w:r w:rsidRPr="00D01304">
        <w:rPr>
          <w:color w:val="222222"/>
        </w:rPr>
        <w:t xml:space="preserve">, R., &amp; Keen, N. (2018). Capturing collaborative challenges: Designing complexity-sensitive theories of change for cross-sector partnerships. </w:t>
      </w:r>
      <w:r w:rsidRPr="00D01304">
        <w:rPr>
          <w:i/>
          <w:color w:val="222222"/>
        </w:rPr>
        <w:t>Journal of Business Ethics</w:t>
      </w:r>
      <w:r w:rsidRPr="00D01304">
        <w:rPr>
          <w:color w:val="222222"/>
        </w:rPr>
        <w:t xml:space="preserve">, </w:t>
      </w:r>
      <w:r w:rsidRPr="00D01304">
        <w:rPr>
          <w:i/>
          <w:color w:val="222222"/>
        </w:rPr>
        <w:t>150</w:t>
      </w:r>
      <w:r w:rsidRPr="00D01304">
        <w:rPr>
          <w:color w:val="222222"/>
        </w:rPr>
        <w:t>(2), 315-332.</w:t>
      </w:r>
    </w:p>
    <w:p w14:paraId="6EA1D0A4" w14:textId="77777777" w:rsidR="00227969" w:rsidRPr="00D01304" w:rsidRDefault="00227969" w:rsidP="00227969">
      <w:pPr>
        <w:numPr>
          <w:ilvl w:val="0"/>
          <w:numId w:val="2"/>
        </w:numPr>
        <w:spacing w:line="360" w:lineRule="auto"/>
        <w:jc w:val="both"/>
      </w:pPr>
      <w:r w:rsidRPr="00D01304">
        <w:rPr>
          <w:color w:val="222222"/>
        </w:rPr>
        <w:t xml:space="preserve">van </w:t>
      </w:r>
      <w:proofErr w:type="spellStart"/>
      <w:r w:rsidRPr="00D01304">
        <w:rPr>
          <w:color w:val="222222"/>
        </w:rPr>
        <w:t>Tulder</w:t>
      </w:r>
      <w:proofErr w:type="spellEnd"/>
      <w:r w:rsidRPr="00D01304">
        <w:rPr>
          <w:color w:val="222222"/>
        </w:rPr>
        <w:t xml:space="preserve">, R., &amp; van Mil, E. (2023). </w:t>
      </w:r>
      <w:r w:rsidRPr="00D01304">
        <w:rPr>
          <w:i/>
          <w:color w:val="222222"/>
        </w:rPr>
        <w:t>Principles of sustainable business: Frameworks for corporate action on the SDGs</w:t>
      </w:r>
      <w:r w:rsidRPr="00D01304">
        <w:rPr>
          <w:color w:val="222222"/>
        </w:rPr>
        <w:t>. Routledge.</w:t>
      </w:r>
    </w:p>
    <w:p w14:paraId="50CE0B5A" w14:textId="77777777" w:rsidR="00227969" w:rsidRPr="00D01304" w:rsidRDefault="00227969" w:rsidP="00227969">
      <w:pPr>
        <w:numPr>
          <w:ilvl w:val="0"/>
          <w:numId w:val="2"/>
        </w:numPr>
        <w:spacing w:line="360" w:lineRule="auto"/>
        <w:jc w:val="both"/>
      </w:pPr>
      <w:r w:rsidRPr="00D01304">
        <w:t xml:space="preserve">van </w:t>
      </w:r>
      <w:proofErr w:type="spellStart"/>
      <w:r w:rsidRPr="00D01304">
        <w:t>Tulder</w:t>
      </w:r>
      <w:proofErr w:type="spellEnd"/>
      <w:r w:rsidRPr="00D01304">
        <w:t xml:space="preserve">, R., Rodrigues, S. B., Mirza, H., and Sexsmith, K. (2021). The UN’s sustainable development goals: Can multinational enterprises lead the Decade of Action? </w:t>
      </w:r>
      <w:r w:rsidRPr="00D01304">
        <w:rPr>
          <w:i/>
        </w:rPr>
        <w:t>Journal of International Business Policy</w:t>
      </w:r>
      <w:r w:rsidRPr="00D01304">
        <w:t>, 4(1):1–21.</w:t>
      </w:r>
    </w:p>
    <w:p w14:paraId="0B966B91" w14:textId="77777777" w:rsidR="00227969" w:rsidRPr="00D01304" w:rsidRDefault="00227969" w:rsidP="00227969">
      <w:pPr>
        <w:numPr>
          <w:ilvl w:val="0"/>
          <w:numId w:val="2"/>
        </w:numPr>
        <w:spacing w:line="360" w:lineRule="auto"/>
        <w:jc w:val="both"/>
      </w:pPr>
      <w:r w:rsidRPr="00D01304">
        <w:t xml:space="preserve">van Zanten, J. A., and Van Tulder, R. (2018). Multinational enterprises and the sustainable development goals: An institutional approach to corporate engagement. </w:t>
      </w:r>
      <w:r w:rsidRPr="00D01304">
        <w:rPr>
          <w:i/>
        </w:rPr>
        <w:t>Journal of International Business Policy</w:t>
      </w:r>
      <w:r w:rsidRPr="00D01304">
        <w:t>, 1(3-4):208–233.</w:t>
      </w:r>
    </w:p>
    <w:p w14:paraId="24A9546C" w14:textId="77777777" w:rsidR="00227969" w:rsidRPr="00D01304" w:rsidRDefault="00227969" w:rsidP="00227969">
      <w:pPr>
        <w:numPr>
          <w:ilvl w:val="0"/>
          <w:numId w:val="2"/>
        </w:numPr>
        <w:spacing w:line="360" w:lineRule="auto"/>
        <w:jc w:val="both"/>
      </w:pPr>
      <w:r w:rsidRPr="00D01304">
        <w:t xml:space="preserve">van Zanten, J. A., and van </w:t>
      </w:r>
      <w:proofErr w:type="spellStart"/>
      <w:r w:rsidRPr="00D01304">
        <w:t>Tulder</w:t>
      </w:r>
      <w:proofErr w:type="spellEnd"/>
      <w:r w:rsidRPr="00D01304">
        <w:t xml:space="preserve">, R. (2021). Improving companies’ impacts on sustainable development: A nexus approach to the SDGs. </w:t>
      </w:r>
      <w:r w:rsidRPr="00D01304">
        <w:rPr>
          <w:i/>
        </w:rPr>
        <w:t>Business Strategy and the Environment</w:t>
      </w:r>
      <w:r w:rsidRPr="00D01304">
        <w:t>, 30(8):3703–3720.</w:t>
      </w:r>
    </w:p>
    <w:p w14:paraId="0F18764C" w14:textId="77777777" w:rsidR="00227969" w:rsidRPr="00D01304" w:rsidRDefault="00227969" w:rsidP="00227969">
      <w:pPr>
        <w:numPr>
          <w:ilvl w:val="0"/>
          <w:numId w:val="2"/>
        </w:numPr>
        <w:spacing w:line="360" w:lineRule="auto"/>
        <w:jc w:val="both"/>
      </w:pPr>
      <w:r w:rsidRPr="00D01304">
        <w:rPr>
          <w:color w:val="222222"/>
        </w:rPr>
        <w:lastRenderedPageBreak/>
        <w:t>Waheed, A., &amp; Zhang, Q. (2022). Effect of CSR and ethical practices on sustainable competitive performance: A case of emerging markets from stakeholder theory perspective. </w:t>
      </w:r>
      <w:r w:rsidRPr="00D01304">
        <w:rPr>
          <w:i/>
          <w:color w:val="222222"/>
        </w:rPr>
        <w:t>Journal of Business Ethics</w:t>
      </w:r>
      <w:r w:rsidRPr="00D01304">
        <w:rPr>
          <w:color w:val="222222"/>
        </w:rPr>
        <w:t>, </w:t>
      </w:r>
      <w:r w:rsidRPr="00D01304">
        <w:rPr>
          <w:i/>
          <w:color w:val="222222"/>
        </w:rPr>
        <w:t>175</w:t>
      </w:r>
      <w:r w:rsidRPr="00D01304">
        <w:rPr>
          <w:color w:val="222222"/>
        </w:rPr>
        <w:t>(4), 837-855.</w:t>
      </w:r>
    </w:p>
    <w:p w14:paraId="387F0AE4" w14:textId="77777777" w:rsidR="00227969" w:rsidRPr="00D01304" w:rsidRDefault="00227969" w:rsidP="00227969">
      <w:pPr>
        <w:numPr>
          <w:ilvl w:val="0"/>
          <w:numId w:val="2"/>
        </w:numPr>
        <w:spacing w:line="360" w:lineRule="auto"/>
        <w:jc w:val="both"/>
      </w:pPr>
      <w:r w:rsidRPr="00D01304">
        <w:t xml:space="preserve">Wiessner, Y. T., Giuliani, E., </w:t>
      </w:r>
      <w:proofErr w:type="spellStart"/>
      <w:r w:rsidRPr="00D01304">
        <w:t>Wijen</w:t>
      </w:r>
      <w:proofErr w:type="spellEnd"/>
      <w:r w:rsidRPr="00D01304">
        <w:t>, F., &amp; Doh, J. (2024). Towards a more comprehensive assessment of FDI’s societal impact. Journal of International Business Studies, 55(1), 50-70.</w:t>
      </w:r>
    </w:p>
    <w:p w14:paraId="7CD19907" w14:textId="77777777" w:rsidR="00227969" w:rsidRPr="00D01304" w:rsidRDefault="00227969" w:rsidP="00227969">
      <w:pPr>
        <w:numPr>
          <w:ilvl w:val="0"/>
          <w:numId w:val="2"/>
        </w:numPr>
        <w:spacing w:after="120" w:line="360" w:lineRule="auto"/>
        <w:jc w:val="both"/>
      </w:pPr>
      <w:r w:rsidRPr="00D01304">
        <w:rPr>
          <w:color w:val="222222"/>
        </w:rPr>
        <w:t xml:space="preserve">Williams, A., &amp; Blasberg, L. A. (2022). SDG platforms as strategic innovation through partnerships. </w:t>
      </w:r>
      <w:r w:rsidRPr="00D01304">
        <w:rPr>
          <w:i/>
        </w:rPr>
        <w:t>Journal of Business Ethics</w:t>
      </w:r>
      <w:r w:rsidRPr="00D01304">
        <w:t xml:space="preserve">, </w:t>
      </w:r>
      <w:r w:rsidRPr="00D01304">
        <w:rPr>
          <w:i/>
        </w:rPr>
        <w:t>180</w:t>
      </w:r>
      <w:r w:rsidRPr="00D01304">
        <w:t>(4), 1041-1057.</w:t>
      </w:r>
    </w:p>
    <w:p w14:paraId="0FE89755" w14:textId="77777777" w:rsidR="00227969" w:rsidRPr="00D01304" w:rsidRDefault="00227969" w:rsidP="00227969">
      <w:pPr>
        <w:numPr>
          <w:ilvl w:val="0"/>
          <w:numId w:val="2"/>
        </w:numPr>
        <w:spacing w:before="120" w:line="360" w:lineRule="auto"/>
        <w:jc w:val="both"/>
      </w:pPr>
      <w:r w:rsidRPr="00D01304">
        <w:t xml:space="preserve">World Bank. (2018). </w:t>
      </w:r>
      <w:r w:rsidRPr="00D01304">
        <w:rPr>
          <w:i/>
        </w:rPr>
        <w:t>Middle East and North Africa Economic Monitor, April 2018: Economic Transformation</w:t>
      </w:r>
      <w:r w:rsidRPr="00D01304">
        <w:t>. Washington, DC: World Bank Group. Retrieved from</w:t>
      </w:r>
      <w:hyperlink r:id="rId16">
        <w:r w:rsidRPr="00D01304">
          <w:t xml:space="preserve"> </w:t>
        </w:r>
      </w:hyperlink>
      <w:hyperlink r:id="rId17">
        <w:r w:rsidRPr="00D01304">
          <w:rPr>
            <w:color w:val="1155CC"/>
            <w:u w:val="single"/>
          </w:rPr>
          <w:t>https://www.worldbank.org/en/region/mena/publication/mena-economic-monitor-april-2018-economic-transformation</w:t>
        </w:r>
      </w:hyperlink>
    </w:p>
    <w:p w14:paraId="69026008" w14:textId="77777777" w:rsidR="00227969" w:rsidRPr="00D01304" w:rsidRDefault="00227969" w:rsidP="00227969">
      <w:pPr>
        <w:numPr>
          <w:ilvl w:val="0"/>
          <w:numId w:val="2"/>
        </w:numPr>
        <w:spacing w:line="360" w:lineRule="auto"/>
        <w:jc w:val="both"/>
      </w:pPr>
      <w:r w:rsidRPr="00D01304">
        <w:rPr>
          <w:color w:val="222222"/>
        </w:rPr>
        <w:t xml:space="preserve">Wu, L. Z., Kwan, H. K., Yim, F. H. K., Chiu, R. K., &amp; He, X. (2015). CEO ethical leadership and corporate social responsibility: A moderated mediation model. </w:t>
      </w:r>
      <w:r w:rsidRPr="00D01304">
        <w:rPr>
          <w:i/>
          <w:color w:val="222222"/>
        </w:rPr>
        <w:t>Journal of Business Ethics</w:t>
      </w:r>
      <w:r w:rsidRPr="00D01304">
        <w:rPr>
          <w:color w:val="222222"/>
        </w:rPr>
        <w:t xml:space="preserve">, </w:t>
      </w:r>
      <w:r w:rsidRPr="00D01304">
        <w:rPr>
          <w:i/>
          <w:color w:val="222222"/>
        </w:rPr>
        <w:t>130</w:t>
      </w:r>
      <w:r w:rsidRPr="00D01304">
        <w:rPr>
          <w:color w:val="222222"/>
        </w:rPr>
        <w:t>, 819-831.</w:t>
      </w:r>
    </w:p>
    <w:p w14:paraId="1B2B100A" w14:textId="77777777" w:rsidR="00227969" w:rsidRPr="00D01304" w:rsidRDefault="00227969" w:rsidP="00227969">
      <w:pPr>
        <w:numPr>
          <w:ilvl w:val="0"/>
          <w:numId w:val="2"/>
        </w:numPr>
        <w:spacing w:after="120" w:line="360" w:lineRule="auto"/>
        <w:jc w:val="both"/>
        <w:rPr>
          <w:sz w:val="36"/>
          <w:szCs w:val="36"/>
        </w:rPr>
      </w:pPr>
      <w:r w:rsidRPr="00D01304">
        <w:rPr>
          <w:color w:val="222222"/>
          <w:shd w:val="clear" w:color="auto" w:fill="FFFFFF"/>
          <w:lang w:val="fr-FR"/>
        </w:rPr>
        <w:t xml:space="preserve">Xie, X., </w:t>
      </w:r>
      <w:proofErr w:type="spellStart"/>
      <w:r w:rsidRPr="00D01304">
        <w:rPr>
          <w:color w:val="222222"/>
          <w:shd w:val="clear" w:color="auto" w:fill="FFFFFF"/>
          <w:lang w:val="fr-FR"/>
        </w:rPr>
        <w:t>Alnafrah</w:t>
      </w:r>
      <w:proofErr w:type="spellEnd"/>
      <w:r w:rsidRPr="00D01304">
        <w:rPr>
          <w:color w:val="222222"/>
          <w:shd w:val="clear" w:color="auto" w:fill="FFFFFF"/>
          <w:lang w:val="fr-FR"/>
        </w:rPr>
        <w:t xml:space="preserve">, I., &amp; </w:t>
      </w:r>
      <w:proofErr w:type="spellStart"/>
      <w:r w:rsidRPr="00D01304">
        <w:rPr>
          <w:color w:val="222222"/>
          <w:shd w:val="clear" w:color="auto" w:fill="FFFFFF"/>
          <w:lang w:val="fr-FR"/>
        </w:rPr>
        <w:t>Dagestani</w:t>
      </w:r>
      <w:proofErr w:type="spellEnd"/>
      <w:r w:rsidRPr="00D01304">
        <w:rPr>
          <w:color w:val="222222"/>
          <w:shd w:val="clear" w:color="auto" w:fill="FFFFFF"/>
          <w:lang w:val="fr-FR"/>
        </w:rPr>
        <w:t xml:space="preserve">, A. A. (2025). </w:t>
      </w:r>
      <w:r w:rsidRPr="00D01304">
        <w:rPr>
          <w:color w:val="222222"/>
          <w:shd w:val="clear" w:color="auto" w:fill="FFFFFF"/>
        </w:rPr>
        <w:t>Tokenizing Innovation: A Blockchain‐Based Innovation System as a Step Toward Achieving Sustainable Development. </w:t>
      </w:r>
      <w:r w:rsidRPr="00D01304">
        <w:rPr>
          <w:i/>
          <w:iCs/>
          <w:color w:val="222222"/>
          <w:shd w:val="clear" w:color="auto" w:fill="FFFFFF"/>
        </w:rPr>
        <w:t>Sustainable Development</w:t>
      </w:r>
      <w:r w:rsidRPr="00D01304">
        <w:rPr>
          <w:color w:val="222222"/>
          <w:shd w:val="clear" w:color="auto" w:fill="FFFFFF"/>
        </w:rPr>
        <w:t>.</w:t>
      </w:r>
    </w:p>
    <w:p w14:paraId="5E131025" w14:textId="77777777" w:rsidR="00227969" w:rsidRPr="00D01304" w:rsidRDefault="00227969" w:rsidP="00227969">
      <w:pPr>
        <w:numPr>
          <w:ilvl w:val="0"/>
          <w:numId w:val="2"/>
        </w:numPr>
        <w:spacing w:line="360" w:lineRule="auto"/>
        <w:jc w:val="both"/>
      </w:pPr>
      <w:r w:rsidRPr="00D01304">
        <w:rPr>
          <w:color w:val="222222"/>
        </w:rPr>
        <w:t xml:space="preserve">Yang, X., &amp; Rivers, C. (2009). Antecedents of CSR practices in MNCs’ subsidiaries: A stakeholder and institutional perspective. </w:t>
      </w:r>
      <w:r w:rsidRPr="00D01304">
        <w:rPr>
          <w:i/>
          <w:color w:val="222222"/>
        </w:rPr>
        <w:t>Journal of Business Ethics</w:t>
      </w:r>
      <w:r w:rsidRPr="00D01304">
        <w:rPr>
          <w:color w:val="222222"/>
        </w:rPr>
        <w:t xml:space="preserve">, </w:t>
      </w:r>
      <w:r w:rsidRPr="00D01304">
        <w:rPr>
          <w:i/>
          <w:color w:val="222222"/>
        </w:rPr>
        <w:t>86</w:t>
      </w:r>
      <w:r w:rsidRPr="00D01304">
        <w:rPr>
          <w:color w:val="222222"/>
        </w:rPr>
        <w:t>, 155-169.</w:t>
      </w:r>
    </w:p>
    <w:p w14:paraId="1C5F4458" w14:textId="77777777" w:rsidR="00227969" w:rsidRPr="00D01304" w:rsidRDefault="00227969" w:rsidP="00227969">
      <w:pPr>
        <w:numPr>
          <w:ilvl w:val="0"/>
          <w:numId w:val="2"/>
        </w:numPr>
        <w:spacing w:line="360" w:lineRule="auto"/>
        <w:jc w:val="both"/>
      </w:pPr>
      <w:r w:rsidRPr="00D01304">
        <w:rPr>
          <w:color w:val="222222"/>
        </w:rPr>
        <w:t xml:space="preserve">Yildiz Çankaya, S., &amp; Sezen, B. (2019). Effects of green supply chain management practices on sustainability performance. </w:t>
      </w:r>
      <w:r w:rsidRPr="00D01304">
        <w:rPr>
          <w:i/>
          <w:color w:val="222222"/>
        </w:rPr>
        <w:t>Journal of Manufacturing Technology Management</w:t>
      </w:r>
      <w:r w:rsidRPr="00D01304">
        <w:rPr>
          <w:color w:val="222222"/>
        </w:rPr>
        <w:t xml:space="preserve">, </w:t>
      </w:r>
      <w:r w:rsidRPr="00D01304">
        <w:rPr>
          <w:i/>
          <w:color w:val="222222"/>
        </w:rPr>
        <w:t>30</w:t>
      </w:r>
      <w:r w:rsidRPr="00D01304">
        <w:rPr>
          <w:color w:val="222222"/>
        </w:rPr>
        <w:t>(1), 98-121.</w:t>
      </w:r>
    </w:p>
    <w:p w14:paraId="0DCDA2D6" w14:textId="77777777" w:rsidR="00227969" w:rsidRPr="00D01304" w:rsidRDefault="00227969" w:rsidP="00227969">
      <w:pPr>
        <w:numPr>
          <w:ilvl w:val="0"/>
          <w:numId w:val="2"/>
        </w:numPr>
        <w:spacing w:line="360" w:lineRule="auto"/>
        <w:jc w:val="both"/>
      </w:pPr>
      <w:proofErr w:type="spellStart"/>
      <w:r w:rsidRPr="00D01304">
        <w:rPr>
          <w:color w:val="222222"/>
          <w:lang w:val="fr-FR"/>
        </w:rPr>
        <w:t>Zampone</w:t>
      </w:r>
      <w:proofErr w:type="spellEnd"/>
      <w:r w:rsidRPr="00D01304">
        <w:rPr>
          <w:color w:val="222222"/>
          <w:lang w:val="fr-FR"/>
        </w:rPr>
        <w:t xml:space="preserve">, G., Nicolò, G., Sannino, G., &amp; De Iorio, S. (2024). </w:t>
      </w:r>
      <w:r w:rsidRPr="00D01304">
        <w:rPr>
          <w:color w:val="222222"/>
        </w:rPr>
        <w:t xml:space="preserve">Gender diversity and SDG disclosure: the mediating role of the sustainability committee. </w:t>
      </w:r>
      <w:r w:rsidRPr="00D01304">
        <w:rPr>
          <w:i/>
          <w:color w:val="222222"/>
        </w:rPr>
        <w:t>Journal of Applied Accounting Research</w:t>
      </w:r>
      <w:r w:rsidRPr="00D01304">
        <w:rPr>
          <w:color w:val="222222"/>
        </w:rPr>
        <w:t xml:space="preserve">, </w:t>
      </w:r>
      <w:r w:rsidRPr="00D01304">
        <w:rPr>
          <w:i/>
          <w:color w:val="222222"/>
        </w:rPr>
        <w:t>25</w:t>
      </w:r>
      <w:r w:rsidRPr="00D01304">
        <w:rPr>
          <w:color w:val="222222"/>
        </w:rPr>
        <w:t>(1), 171-193.</w:t>
      </w:r>
    </w:p>
    <w:p w14:paraId="000000A7" w14:textId="28D69AB5" w:rsidR="00E07592" w:rsidRDefault="00227969" w:rsidP="00227969">
      <w:pPr>
        <w:numPr>
          <w:ilvl w:val="0"/>
          <w:numId w:val="2"/>
        </w:numPr>
        <w:spacing w:after="120" w:line="360" w:lineRule="auto"/>
        <w:jc w:val="both"/>
      </w:pPr>
      <w:r w:rsidRPr="00D01304">
        <w:rPr>
          <w:color w:val="222222"/>
        </w:rPr>
        <w:t xml:space="preserve">Zhang, Q., &amp; Ma, Y. (2021). The impact of environmental management on firm economic performance: The mediating effect of green innovation and the moderating effect of environmental leadership. </w:t>
      </w:r>
      <w:r w:rsidRPr="00D01304">
        <w:rPr>
          <w:i/>
          <w:color w:val="222222"/>
        </w:rPr>
        <w:t>Journal of Cleaner Production</w:t>
      </w:r>
      <w:r w:rsidRPr="00D01304">
        <w:rPr>
          <w:color w:val="222222"/>
        </w:rPr>
        <w:t xml:space="preserve">, </w:t>
      </w:r>
      <w:r w:rsidRPr="00D01304">
        <w:rPr>
          <w:i/>
          <w:color w:val="222222"/>
        </w:rPr>
        <w:t>292</w:t>
      </w:r>
      <w:r w:rsidRPr="00D01304">
        <w:rPr>
          <w:color w:val="222222"/>
        </w:rPr>
        <w:t>, 126057.</w:t>
      </w:r>
    </w:p>
    <w:p w14:paraId="000000AB" w14:textId="77777777" w:rsidR="00E07592" w:rsidRDefault="00E07592">
      <w:pPr>
        <w:spacing w:before="120" w:after="120" w:line="360" w:lineRule="auto"/>
        <w:jc w:val="both"/>
      </w:pPr>
    </w:p>
    <w:sectPr w:rsidR="00E07592" w:rsidSect="00C806BF">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5704A" w14:textId="77777777" w:rsidR="003140CD" w:rsidRDefault="003140CD">
      <w:r>
        <w:separator/>
      </w:r>
    </w:p>
  </w:endnote>
  <w:endnote w:type="continuationSeparator" w:id="0">
    <w:p w14:paraId="20E2232E" w14:textId="77777777" w:rsidR="003140CD" w:rsidRDefault="00314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933BE84A-09BC-4C92-84C1-782283207F81}"/>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embedRegular r:id="rId2" w:fontKey="{CC9D0120-105F-40D1-9B72-67C56D712638}"/>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77777777" w:rsidR="00E07592" w:rsidRDefault="00C6744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B2" w14:textId="77777777" w:rsidR="00E07592" w:rsidRDefault="00E07592">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6162AE85" w:rsidR="00E07592" w:rsidRDefault="00C6744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50455B">
      <w:rPr>
        <w:noProof/>
        <w:color w:val="000000"/>
      </w:rPr>
      <w:t>2</w:t>
    </w:r>
    <w:r>
      <w:rPr>
        <w:color w:val="000000"/>
      </w:rPr>
      <w:fldChar w:fldCharType="end"/>
    </w:r>
  </w:p>
  <w:p w14:paraId="000000B0" w14:textId="77777777" w:rsidR="00E07592" w:rsidRDefault="00E07592">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3503158"/>
      <w:docPartObj>
        <w:docPartGallery w:val="Page Numbers (Bottom of Page)"/>
        <w:docPartUnique/>
      </w:docPartObj>
    </w:sdtPr>
    <w:sdtEndPr>
      <w:rPr>
        <w:rStyle w:val="PageNumber"/>
      </w:rPr>
    </w:sdtEndPr>
    <w:sdtContent>
      <w:p w14:paraId="76328AAC" w14:textId="7B11D710" w:rsidR="00C806BF" w:rsidRDefault="00C806BF" w:rsidP="00A85E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6392BC54" w14:textId="77777777" w:rsidR="00C806BF" w:rsidRPr="00C806BF" w:rsidRDefault="00C806BF" w:rsidP="00C806BF">
    <w:pPr>
      <w:pStyle w:val="Footer"/>
      <w:ind w:right="360"/>
      <w:jc w:val="righ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64EC" w14:textId="77777777" w:rsidR="003140CD" w:rsidRDefault="003140CD">
      <w:r>
        <w:separator/>
      </w:r>
    </w:p>
  </w:footnote>
  <w:footnote w:type="continuationSeparator" w:id="0">
    <w:p w14:paraId="7A2E807A" w14:textId="77777777" w:rsidR="003140CD" w:rsidRDefault="003140CD">
      <w:r>
        <w:continuationSeparator/>
      </w:r>
    </w:p>
  </w:footnote>
  <w:footnote w:id="1">
    <w:p w14:paraId="555A44D1" w14:textId="77777777" w:rsidR="00EA733E" w:rsidRDefault="00EA733E" w:rsidP="00EA733E">
      <w:pPr>
        <w:jc w:val="both"/>
        <w:rPr>
          <w:sz w:val="16"/>
          <w:szCs w:val="16"/>
        </w:rPr>
      </w:pPr>
      <w:r>
        <w:rPr>
          <w:vertAlign w:val="superscript"/>
        </w:rPr>
        <w:footnoteRef/>
      </w:r>
      <w:r>
        <w:rPr>
          <w:sz w:val="16"/>
          <w:szCs w:val="16"/>
        </w:rPr>
        <w:t xml:space="preserve"> IRG refers to the disparity or disconnect between the intentions or goals that individuals, </w:t>
      </w:r>
      <w:proofErr w:type="spellStart"/>
      <w:r>
        <w:rPr>
          <w:sz w:val="16"/>
          <w:szCs w:val="16"/>
        </w:rPr>
        <w:t>organisations</w:t>
      </w:r>
      <w:proofErr w:type="spellEnd"/>
      <w:r>
        <w:rPr>
          <w:sz w:val="16"/>
          <w:szCs w:val="16"/>
        </w:rPr>
        <w:t>, or policymakers set and the actual outcomes or results that are achieved. It reflects a situation where there is a failure to effectively translate or implement intentions into concrete actions and desired outcomes (Sheeran &amp; Webb, 2016; Dau &amp; Moore, 2023).</w:t>
      </w:r>
    </w:p>
  </w:footnote>
  <w:footnote w:id="2">
    <w:p w14:paraId="23DEEA75" w14:textId="77777777" w:rsidR="0050455B" w:rsidRDefault="0050455B" w:rsidP="0050455B">
      <w:pPr>
        <w:jc w:val="both"/>
        <w:rPr>
          <w:sz w:val="16"/>
          <w:szCs w:val="16"/>
        </w:rPr>
      </w:pPr>
      <w:r>
        <w:rPr>
          <w:vertAlign w:val="superscript"/>
        </w:rPr>
        <w:footnoteRef/>
      </w:r>
      <w:r>
        <w:rPr>
          <w:sz w:val="16"/>
          <w:szCs w:val="16"/>
        </w:rPr>
        <w:t xml:space="preserve"> Refinitiv’s extensive dataset covers more than 12,500 companies globally, with over 800 ESG metrics, representing over 90% of global market capitalization, offering detailed insights into corporate practices.</w:t>
      </w:r>
    </w:p>
  </w:footnote>
  <w:footnote w:id="3">
    <w:p w14:paraId="63497376" w14:textId="4408FD5F" w:rsidR="0050455B" w:rsidRDefault="0050455B" w:rsidP="0050455B">
      <w:pPr>
        <w:jc w:val="both"/>
        <w:rPr>
          <w:sz w:val="16"/>
          <w:szCs w:val="16"/>
        </w:rPr>
      </w:pPr>
      <w:r>
        <w:rPr>
          <w:vertAlign w:val="superscript"/>
        </w:rPr>
        <w:footnoteRef/>
      </w:r>
      <w:r>
        <w:rPr>
          <w:sz w:val="16"/>
          <w:szCs w:val="16"/>
        </w:rPr>
        <w:t xml:space="preserve"> </w:t>
      </w:r>
      <w:r w:rsidRPr="0050455B">
        <w:rPr>
          <w:sz w:val="16"/>
          <w:szCs w:val="16"/>
        </w:rPr>
        <w:t xml:space="preserve">Per </w:t>
      </w:r>
      <w:hyperlink r:id="rId1" w:history="1">
        <w:r w:rsidRPr="0050455B">
          <w:rPr>
            <w:rStyle w:val="Hyperlink"/>
            <w:sz w:val="16"/>
            <w:szCs w:val="16"/>
          </w:rPr>
          <w:t>UNCTAD</w:t>
        </w:r>
      </w:hyperlink>
      <w:r w:rsidRPr="0050455B">
        <w:rPr>
          <w:sz w:val="16"/>
          <w:szCs w:val="16"/>
        </w:rPr>
        <w:t>, a foreign affiliate is typically identified by a direct investment stake of at least 10% of voting power or ordinary shares, indicating a lasting interest and some control. A parent firm that owns at least one such affiliate is treated as a transnational corporation/multinational enterprise. In our sample, firms are classified as MNEs when they are headquartered in MENA and disclose at least one foreign affiliate consistent with this threshold.</w:t>
      </w:r>
    </w:p>
  </w:footnote>
  <w:footnote w:id="4">
    <w:p w14:paraId="01AF8FB0" w14:textId="020A243C" w:rsidR="00CD213E" w:rsidRDefault="00CD213E" w:rsidP="00CD213E">
      <w:pPr>
        <w:jc w:val="both"/>
        <w:rPr>
          <w:sz w:val="16"/>
          <w:szCs w:val="16"/>
        </w:rPr>
      </w:pPr>
      <w:r>
        <w:rPr>
          <w:vertAlign w:val="superscript"/>
        </w:rPr>
        <w:footnoteRef/>
      </w:r>
      <w:r>
        <w:rPr>
          <w:sz w:val="16"/>
          <w:szCs w:val="16"/>
        </w:rPr>
        <w:t xml:space="preserve"> </w:t>
      </w:r>
      <w:r w:rsidRPr="00CD213E">
        <w:rPr>
          <w:sz w:val="16"/>
          <w:szCs w:val="16"/>
        </w:rPr>
        <w:t>World Bank WGI “Government Effectiveness” estimate is a standardized score (≈ −2.5 to +2.5; 0 ≈ world average) where higher values indicate more effective public services, policy implementation, and credible government commitment.</w:t>
      </w:r>
    </w:p>
  </w:footnote>
  <w:footnote w:id="5">
    <w:p w14:paraId="1BE4D970" w14:textId="3307F94C" w:rsidR="00CD213E" w:rsidRDefault="00CD213E" w:rsidP="00CD213E">
      <w:pPr>
        <w:jc w:val="both"/>
        <w:rPr>
          <w:sz w:val="16"/>
          <w:szCs w:val="16"/>
        </w:rPr>
      </w:pPr>
      <w:r>
        <w:rPr>
          <w:vertAlign w:val="superscript"/>
        </w:rPr>
        <w:footnoteRef/>
      </w:r>
      <w:r>
        <w:rPr>
          <w:sz w:val="16"/>
          <w:szCs w:val="16"/>
        </w:rPr>
        <w:t xml:space="preserve"> </w:t>
      </w:r>
      <w:r w:rsidRPr="00CD213E">
        <w:rPr>
          <w:sz w:val="16"/>
          <w:szCs w:val="16"/>
        </w:rPr>
        <w:t>Share of GDP from economic rents on oil, gas, coal, minerals, and forests; higher percentages indicate greater dependence on extractives and exposure to commodity-price volatility.</w:t>
      </w:r>
    </w:p>
  </w:footnote>
  <w:footnote w:id="6">
    <w:p w14:paraId="5C84CB98" w14:textId="1864D724" w:rsidR="00CD213E" w:rsidRDefault="00CD213E" w:rsidP="00CD213E">
      <w:pPr>
        <w:jc w:val="both"/>
        <w:rPr>
          <w:sz w:val="16"/>
          <w:szCs w:val="16"/>
        </w:rPr>
      </w:pPr>
      <w:r>
        <w:rPr>
          <w:vertAlign w:val="superscript"/>
        </w:rPr>
        <w:footnoteRef/>
      </w:r>
      <w:r>
        <w:rPr>
          <w:sz w:val="16"/>
          <w:szCs w:val="16"/>
        </w:rPr>
        <w:t xml:space="preserve"> We use the </w:t>
      </w:r>
      <w:r w:rsidRPr="00CD213E">
        <w:rPr>
          <w:sz w:val="16"/>
          <w:szCs w:val="16"/>
        </w:rPr>
        <w:t>CIVICUS rating /100</w:t>
      </w:r>
      <w:r>
        <w:rPr>
          <w:sz w:val="16"/>
          <w:szCs w:val="16"/>
        </w:rPr>
        <w:t>:</w:t>
      </w:r>
      <w:r w:rsidRPr="00CD213E">
        <w:rPr>
          <w:sz w:val="16"/>
          <w:szCs w:val="16"/>
        </w:rPr>
        <w:t xml:space="preserve"> 0–100 score (higher = more open) mapped to categories: Open (80–100), Narrowed (60–79), Obstructed (40–59), Repressed (20–39), Closed (0–19).</w:t>
      </w:r>
    </w:p>
  </w:footnote>
  <w:footnote w:id="7">
    <w:p w14:paraId="27847328" w14:textId="089D39F8" w:rsidR="00CD213E" w:rsidRDefault="00CD213E" w:rsidP="00CD213E">
      <w:pPr>
        <w:jc w:val="both"/>
        <w:rPr>
          <w:sz w:val="16"/>
          <w:szCs w:val="16"/>
        </w:rPr>
      </w:pPr>
      <w:r>
        <w:rPr>
          <w:vertAlign w:val="superscript"/>
        </w:rPr>
        <w:footnoteRef/>
      </w:r>
      <w:r>
        <w:rPr>
          <w:sz w:val="16"/>
          <w:szCs w:val="16"/>
        </w:rPr>
        <w:t xml:space="preserve"> </w:t>
      </w:r>
      <w:r w:rsidRPr="00CD213E">
        <w:rPr>
          <w:sz w:val="16"/>
          <w:szCs w:val="16"/>
        </w:rPr>
        <w:t>World Bank WGI Political Stability estimate is a standardized score (≈ −2.5 to +2.5; 0 ≈ world average) where higher values indicate greater stability and lower likelihood of violence/terrorism.</w:t>
      </w:r>
    </w:p>
  </w:footnote>
  <w:footnote w:id="8">
    <w:p w14:paraId="32A69F05" w14:textId="11856A6F" w:rsidR="00CD213E" w:rsidRDefault="00CD213E" w:rsidP="00CD213E">
      <w:pPr>
        <w:jc w:val="both"/>
        <w:rPr>
          <w:sz w:val="16"/>
          <w:szCs w:val="16"/>
        </w:rPr>
      </w:pPr>
      <w:r>
        <w:rPr>
          <w:vertAlign w:val="superscript"/>
        </w:rPr>
        <w:footnoteRef/>
      </w:r>
      <w:r>
        <w:rPr>
          <w:sz w:val="16"/>
          <w:szCs w:val="16"/>
        </w:rPr>
        <w:t xml:space="preserve"> </w:t>
      </w:r>
      <w:r w:rsidRPr="00CD213E">
        <w:rPr>
          <w:sz w:val="16"/>
          <w:szCs w:val="16"/>
        </w:rPr>
        <w:t xml:space="preserve">Gross national income per </w:t>
      </w:r>
      <w:r>
        <w:rPr>
          <w:sz w:val="16"/>
          <w:szCs w:val="16"/>
        </w:rPr>
        <w:t>capita</w:t>
      </w:r>
      <w:r w:rsidRPr="00CD213E">
        <w:rPr>
          <w:sz w:val="16"/>
          <w:szCs w:val="16"/>
        </w:rPr>
        <w:t xml:space="preserve"> using the Atlas method (current US$), the World Bank’s smoothed dollar measure for income-level classification; higher values indicate higher average income.</w:t>
      </w:r>
    </w:p>
  </w:footnote>
  <w:footnote w:id="9">
    <w:p w14:paraId="000000AE" w14:textId="77777777" w:rsidR="00E07592" w:rsidRDefault="00C67442">
      <w:pPr>
        <w:jc w:val="both"/>
        <w:rPr>
          <w:sz w:val="16"/>
          <w:szCs w:val="16"/>
        </w:rPr>
      </w:pPr>
      <w:r>
        <w:rPr>
          <w:vertAlign w:val="superscript"/>
        </w:rPr>
        <w:footnoteRef/>
      </w:r>
      <w:r>
        <w:rPr>
          <w:sz w:val="16"/>
          <w:szCs w:val="16"/>
        </w:rPr>
        <w:t xml:space="preserve"> Using both the Fornell-Larcker criterion, as a traditional benchmark, and HTMT provides a robust assessment of discriminant validity, confirming that EP, EMP, SP, and SDG Adoption are distinct constructs (Fornell &amp; Larcker, 1981; Henseler et al., 2015). </w:t>
      </w:r>
    </w:p>
  </w:footnote>
  <w:footnote w:id="10">
    <w:p w14:paraId="7AB142A2" w14:textId="77777777" w:rsidR="000851C0" w:rsidRDefault="000851C0" w:rsidP="000851C0">
      <w:pPr>
        <w:jc w:val="both"/>
        <w:rPr>
          <w:sz w:val="16"/>
          <w:szCs w:val="16"/>
        </w:rPr>
      </w:pPr>
      <w:r>
        <w:rPr>
          <w:vertAlign w:val="superscript"/>
        </w:rPr>
        <w:footnoteRef/>
      </w:r>
      <w:r>
        <w:rPr>
          <w:sz w:val="16"/>
          <w:szCs w:val="16"/>
        </w:rPr>
        <w:t xml:space="preserve"> </w:t>
      </w:r>
      <w:r w:rsidRPr="00365E3A">
        <w:rPr>
          <w:sz w:val="16"/>
          <w:szCs w:val="16"/>
        </w:rPr>
        <w:t xml:space="preserve">To address the concern that </w:t>
      </w:r>
      <w:r>
        <w:rPr>
          <w:sz w:val="16"/>
          <w:szCs w:val="16"/>
        </w:rPr>
        <w:t>MNEs</w:t>
      </w:r>
      <w:r w:rsidRPr="00365E3A">
        <w:rPr>
          <w:sz w:val="16"/>
          <w:szCs w:val="16"/>
        </w:rPr>
        <w:t xml:space="preserve"> with poorer SP might adopt SDGs symbolically, we ran an IV specification using industry-level SDG norms (the leave-one-out average of SDG adoption among other firms in the same 2-digit industry, Refinitiv 2023, MENA) as an instrument for firm-level SDG adoption. The IV estimates are consistent with the baseline—the negative indirect effect remains—and were obtained controlling for firm size (revenue) and HQ-country economic development (GNI per capita).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756F"/>
    <w:multiLevelType w:val="multilevel"/>
    <w:tmpl w:val="5B22B298"/>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7D59064E"/>
    <w:multiLevelType w:val="multilevel"/>
    <w:tmpl w:val="2592DEC0"/>
    <w:lvl w:ilvl="0">
      <w:start w:val="1"/>
      <w:numFmt w:val="decimal"/>
      <w:lvlText w:val="(%1)"/>
      <w:lvlJc w:val="left"/>
      <w:pPr>
        <w:ind w:left="760" w:hanging="40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2218864">
    <w:abstractNumId w:val="1"/>
  </w:num>
  <w:num w:numId="2" w16cid:durableId="188478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92"/>
    <w:rsid w:val="000851C0"/>
    <w:rsid w:val="000F6546"/>
    <w:rsid w:val="00227969"/>
    <w:rsid w:val="002A7562"/>
    <w:rsid w:val="003140CD"/>
    <w:rsid w:val="0033619A"/>
    <w:rsid w:val="00365E3A"/>
    <w:rsid w:val="0050455B"/>
    <w:rsid w:val="005234A4"/>
    <w:rsid w:val="00563B4F"/>
    <w:rsid w:val="00565EA1"/>
    <w:rsid w:val="00610307"/>
    <w:rsid w:val="00640E24"/>
    <w:rsid w:val="006F0604"/>
    <w:rsid w:val="00830099"/>
    <w:rsid w:val="008F3736"/>
    <w:rsid w:val="00A162B6"/>
    <w:rsid w:val="00A44FFF"/>
    <w:rsid w:val="00A91226"/>
    <w:rsid w:val="00B55F6E"/>
    <w:rsid w:val="00B605EE"/>
    <w:rsid w:val="00BC3E46"/>
    <w:rsid w:val="00C67442"/>
    <w:rsid w:val="00C806BF"/>
    <w:rsid w:val="00C877B1"/>
    <w:rsid w:val="00CD213E"/>
    <w:rsid w:val="00E07592"/>
    <w:rsid w:val="00E36AC3"/>
    <w:rsid w:val="00EA733E"/>
    <w:rsid w:val="00EC6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887F"/>
  <w15:docId w15:val="{A33DCA05-C93D-5A47-ADFA-D0D0FA81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5E"/>
  </w:style>
  <w:style w:type="paragraph" w:styleId="Heading1">
    <w:name w:val="heading 1"/>
    <w:basedOn w:val="Normal"/>
    <w:next w:val="Normal"/>
    <w:link w:val="Heading1Char"/>
    <w:uiPriority w:val="9"/>
    <w:qFormat/>
    <w:rsid w:val="00917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7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7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4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4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4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4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91748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17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48B"/>
    <w:rPr>
      <w:rFonts w:eastAsiaTheme="majorEastAsia" w:cstheme="majorBidi"/>
      <w:color w:val="272727" w:themeColor="text1" w:themeTint="D8"/>
    </w:rPr>
  </w:style>
  <w:style w:type="character" w:customStyle="1" w:styleId="TitleChar">
    <w:name w:val="Title Char"/>
    <w:basedOn w:val="DefaultParagraphFont"/>
    <w:link w:val="Title"/>
    <w:uiPriority w:val="10"/>
    <w:rsid w:val="00917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917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48B"/>
    <w:pPr>
      <w:spacing w:before="160"/>
      <w:jc w:val="center"/>
    </w:pPr>
    <w:rPr>
      <w:i/>
      <w:iCs/>
      <w:color w:val="404040" w:themeColor="text1" w:themeTint="BF"/>
    </w:rPr>
  </w:style>
  <w:style w:type="character" w:customStyle="1" w:styleId="QuoteChar">
    <w:name w:val="Quote Char"/>
    <w:basedOn w:val="DefaultParagraphFont"/>
    <w:link w:val="Quote"/>
    <w:uiPriority w:val="29"/>
    <w:rsid w:val="0091748B"/>
    <w:rPr>
      <w:i/>
      <w:iCs/>
      <w:color w:val="404040" w:themeColor="text1" w:themeTint="BF"/>
    </w:rPr>
  </w:style>
  <w:style w:type="paragraph" w:styleId="ListParagraph">
    <w:name w:val="List Paragraph"/>
    <w:basedOn w:val="Normal"/>
    <w:uiPriority w:val="34"/>
    <w:qFormat/>
    <w:rsid w:val="0091748B"/>
    <w:pPr>
      <w:ind w:left="720"/>
      <w:contextualSpacing/>
    </w:pPr>
  </w:style>
  <w:style w:type="character" w:styleId="IntenseEmphasis">
    <w:name w:val="Intense Emphasis"/>
    <w:basedOn w:val="DefaultParagraphFont"/>
    <w:uiPriority w:val="21"/>
    <w:qFormat/>
    <w:rsid w:val="0091748B"/>
    <w:rPr>
      <w:i/>
      <w:iCs/>
      <w:color w:val="0F4761" w:themeColor="accent1" w:themeShade="BF"/>
    </w:rPr>
  </w:style>
  <w:style w:type="paragraph" w:styleId="IntenseQuote">
    <w:name w:val="Intense Quote"/>
    <w:basedOn w:val="Normal"/>
    <w:next w:val="Normal"/>
    <w:link w:val="IntenseQuoteChar"/>
    <w:uiPriority w:val="30"/>
    <w:qFormat/>
    <w:rsid w:val="00917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48B"/>
    <w:rPr>
      <w:i/>
      <w:iCs/>
      <w:color w:val="0F4761" w:themeColor="accent1" w:themeShade="BF"/>
    </w:rPr>
  </w:style>
  <w:style w:type="character" w:styleId="IntenseReference">
    <w:name w:val="Intense Reference"/>
    <w:basedOn w:val="DefaultParagraphFont"/>
    <w:uiPriority w:val="32"/>
    <w:qFormat/>
    <w:rsid w:val="0091748B"/>
    <w:rPr>
      <w:b/>
      <w:bCs/>
      <w:smallCaps/>
      <w:color w:val="0F4761" w:themeColor="accent1" w:themeShade="BF"/>
      <w:spacing w:val="5"/>
    </w:rPr>
  </w:style>
  <w:style w:type="paragraph" w:styleId="NormalWeb">
    <w:name w:val="Normal (Web)"/>
    <w:basedOn w:val="Normal"/>
    <w:uiPriority w:val="99"/>
    <w:unhideWhenUsed/>
    <w:rsid w:val="0091748B"/>
    <w:pPr>
      <w:spacing w:before="100" w:beforeAutospacing="1" w:after="100" w:afterAutospacing="1"/>
    </w:pPr>
  </w:style>
  <w:style w:type="character" w:styleId="Strong">
    <w:name w:val="Strong"/>
    <w:basedOn w:val="DefaultParagraphFont"/>
    <w:uiPriority w:val="22"/>
    <w:qFormat/>
    <w:rsid w:val="0091748B"/>
    <w:rPr>
      <w:b/>
      <w:bCs/>
    </w:rPr>
  </w:style>
  <w:style w:type="paragraph" w:styleId="Revision">
    <w:name w:val="Revision"/>
    <w:hidden/>
    <w:uiPriority w:val="99"/>
    <w:semiHidden/>
    <w:rsid w:val="00C97370"/>
  </w:style>
  <w:style w:type="character" w:styleId="Emphasis">
    <w:name w:val="Emphasis"/>
    <w:basedOn w:val="DefaultParagraphFont"/>
    <w:uiPriority w:val="20"/>
    <w:qFormat/>
    <w:rsid w:val="001020F2"/>
    <w:rPr>
      <w:i/>
      <w:iCs/>
    </w:rPr>
  </w:style>
  <w:style w:type="paragraph" w:styleId="Header">
    <w:name w:val="header"/>
    <w:basedOn w:val="Normal"/>
    <w:link w:val="HeaderChar"/>
    <w:uiPriority w:val="99"/>
    <w:unhideWhenUsed/>
    <w:rsid w:val="00280487"/>
    <w:pPr>
      <w:tabs>
        <w:tab w:val="center" w:pos="4680"/>
        <w:tab w:val="right" w:pos="9360"/>
      </w:tabs>
    </w:pPr>
  </w:style>
  <w:style w:type="character" w:customStyle="1" w:styleId="HeaderChar">
    <w:name w:val="Header Char"/>
    <w:basedOn w:val="DefaultParagraphFont"/>
    <w:link w:val="Header"/>
    <w:uiPriority w:val="99"/>
    <w:rsid w:val="00280487"/>
  </w:style>
  <w:style w:type="paragraph" w:styleId="Footer">
    <w:name w:val="footer"/>
    <w:basedOn w:val="Normal"/>
    <w:link w:val="FooterChar"/>
    <w:uiPriority w:val="99"/>
    <w:unhideWhenUsed/>
    <w:rsid w:val="00280487"/>
    <w:pPr>
      <w:tabs>
        <w:tab w:val="center" w:pos="4680"/>
        <w:tab w:val="right" w:pos="9360"/>
      </w:tabs>
    </w:pPr>
  </w:style>
  <w:style w:type="character" w:customStyle="1" w:styleId="FooterChar">
    <w:name w:val="Footer Char"/>
    <w:basedOn w:val="DefaultParagraphFont"/>
    <w:link w:val="Footer"/>
    <w:uiPriority w:val="99"/>
    <w:rsid w:val="00280487"/>
  </w:style>
  <w:style w:type="character" w:styleId="PageNumber">
    <w:name w:val="page number"/>
    <w:basedOn w:val="DefaultParagraphFont"/>
    <w:uiPriority w:val="99"/>
    <w:semiHidden/>
    <w:unhideWhenUsed/>
    <w:rsid w:val="00C84AC6"/>
  </w:style>
  <w:style w:type="paragraph" w:customStyle="1" w:styleId="c-article-referencestext">
    <w:name w:val="c-article-references__text"/>
    <w:basedOn w:val="Normal"/>
    <w:rsid w:val="00C84AC6"/>
    <w:pPr>
      <w:spacing w:before="100" w:beforeAutospacing="1" w:after="100" w:afterAutospacing="1"/>
    </w:pPr>
  </w:style>
  <w:style w:type="paragraph" w:customStyle="1" w:styleId="c-article-referenceslinks">
    <w:name w:val="c-article-references__links"/>
    <w:basedOn w:val="Normal"/>
    <w:rsid w:val="00C84AC6"/>
    <w:pPr>
      <w:spacing w:before="100" w:beforeAutospacing="1" w:after="100" w:afterAutospacing="1"/>
    </w:pPr>
  </w:style>
  <w:style w:type="table" w:styleId="TableGrid">
    <w:name w:val="Table Grid"/>
    <w:basedOn w:val="TableNormal"/>
    <w:uiPriority w:val="39"/>
    <w:rsid w:val="00C84A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84AC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katex-mathml">
    <w:name w:val="katex-mathml"/>
    <w:basedOn w:val="DefaultParagraphFont"/>
    <w:rsid w:val="0050455B"/>
  </w:style>
  <w:style w:type="character" w:customStyle="1" w:styleId="mord">
    <w:name w:val="mord"/>
    <w:basedOn w:val="DefaultParagraphFont"/>
    <w:rsid w:val="0050455B"/>
  </w:style>
  <w:style w:type="character" w:styleId="Hyperlink">
    <w:name w:val="Hyperlink"/>
    <w:basedOn w:val="DefaultParagraphFont"/>
    <w:uiPriority w:val="99"/>
    <w:unhideWhenUsed/>
    <w:rsid w:val="0050455B"/>
    <w:rPr>
      <w:color w:val="467886" w:themeColor="hyperlink"/>
      <w:u w:val="single"/>
    </w:rPr>
  </w:style>
  <w:style w:type="character" w:styleId="UnresolvedMention">
    <w:name w:val="Unresolved Mention"/>
    <w:basedOn w:val="DefaultParagraphFont"/>
    <w:uiPriority w:val="99"/>
    <w:semiHidden/>
    <w:unhideWhenUsed/>
    <w:rsid w:val="0050455B"/>
    <w:rPr>
      <w:color w:val="605E5C"/>
      <w:shd w:val="clear" w:color="auto" w:fill="E1DFDD"/>
    </w:rPr>
  </w:style>
  <w:style w:type="character" w:styleId="FollowedHyperlink">
    <w:name w:val="FollowedHyperlink"/>
    <w:basedOn w:val="DefaultParagraphFont"/>
    <w:uiPriority w:val="99"/>
    <w:semiHidden/>
    <w:unhideWhenUsed/>
    <w:rsid w:val="0050455B"/>
    <w:rPr>
      <w:color w:val="96607D" w:themeColor="followedHyperlink"/>
      <w:u w:val="single"/>
    </w:rPr>
  </w:style>
  <w:style w:type="paragraph" w:styleId="FootnoteText">
    <w:name w:val="footnote text"/>
    <w:basedOn w:val="Normal"/>
    <w:link w:val="FootnoteTextChar"/>
    <w:uiPriority w:val="99"/>
    <w:semiHidden/>
    <w:unhideWhenUsed/>
    <w:rsid w:val="00365E3A"/>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65E3A"/>
    <w:rPr>
      <w:rFonts w:asciiTheme="minorHAnsi" w:eastAsiaTheme="minorHAnsi" w:hAnsiTheme="minorHAnsi" w:cstheme="minorBidi"/>
      <w:kern w:val="2"/>
      <w:sz w:val="20"/>
      <w:szCs w:val="20"/>
      <w14:ligatures w14:val="standardContextual"/>
    </w:rPr>
  </w:style>
  <w:style w:type="character" w:styleId="FootnoteReference">
    <w:name w:val="footnote reference"/>
    <w:basedOn w:val="DefaultParagraphFont"/>
    <w:uiPriority w:val="99"/>
    <w:semiHidden/>
    <w:unhideWhenUsed/>
    <w:rsid w:val="00365E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762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www.worldbank.org/en/region/mena/publication/mena-economic-monitor-april-2018-economic-transformation" TargetMode="External"/><Relationship Id="rId2" Type="http://schemas.openxmlformats.org/officeDocument/2006/relationships/numbering" Target="numbering.xml"/><Relationship Id="rId16" Type="http://schemas.openxmlformats.org/officeDocument/2006/relationships/hyperlink" Target="https://www.worldbank.org/en/region/mena/publication/mena-economic-monitor-april-2018-economic-trans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unstats.un.org/sdgs/report/2024/"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nstats.un.org/sdgs/report/2024/"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1" Type="http://schemas.openxmlformats.org/officeDocument/2006/relationships/hyperlink" Target="https://unctad.org/system/files/official-document/wir2007p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nL0FN837LAc+l/dQpaP7hf52w==">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14196</Words>
  <Characters>80918</Characters>
  <Application>Microsoft Office Word</Application>
  <DocSecurity>0</DocSecurity>
  <Lines>674</Lines>
  <Paragraphs>189</Paragraphs>
  <ScaleCrop>false</ScaleCrop>
  <Company/>
  <LinksUpToDate>false</LinksUpToDate>
  <CharactersWithSpaces>94925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Hicham NACHIT</dc:creator>
  <cp:lastModifiedBy>Tom Miles</cp:lastModifiedBy>
  <cp:revision>2</cp:revision>
  <dcterms:created xsi:type="dcterms:W3CDTF">2026-03-06T10:18:00Z</dcterms:created>
  <dcterms:modified xsi:type="dcterms:W3CDTF">2026-03-06T10:18:00Z</dcterms:modified>
</cp:coreProperties>
</file>