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1A1F" w14:textId="56361EF2" w:rsidR="00566277" w:rsidRDefault="00566277" w:rsidP="00566277">
      <w:pPr>
        <w:rPr>
          <w:rFonts w:cstheme="minorHAnsi"/>
          <w:i/>
          <w:iCs/>
          <w:sz w:val="28"/>
          <w:szCs w:val="28"/>
        </w:rPr>
      </w:pPr>
      <w:r w:rsidRPr="00CF0992">
        <w:rPr>
          <w:rFonts w:cstheme="minorHAnsi"/>
          <w:i/>
          <w:iCs/>
          <w:sz w:val="28"/>
          <w:szCs w:val="28"/>
        </w:rPr>
        <w:t>The uses and values of copper alloy artefacts in the late to post-Roman transition period in Britain</w:t>
      </w:r>
    </w:p>
    <w:p w14:paraId="05C8CA7D" w14:textId="2D1D2BEB" w:rsidR="00CF0992" w:rsidRPr="00CF0992" w:rsidRDefault="00CF0992" w:rsidP="00566277">
      <w:pPr>
        <w:rPr>
          <w:rFonts w:cstheme="minorHAnsi"/>
          <w:sz w:val="28"/>
          <w:szCs w:val="28"/>
        </w:rPr>
      </w:pPr>
      <w:r w:rsidRPr="00CF0992">
        <w:rPr>
          <w:rFonts w:cstheme="minorHAnsi"/>
          <w:sz w:val="28"/>
          <w:szCs w:val="28"/>
        </w:rPr>
        <w:t>Ellen Swift</w:t>
      </w:r>
    </w:p>
    <w:p w14:paraId="2E870B83" w14:textId="74CD5DA2" w:rsidR="00C66715" w:rsidRPr="00CF0992" w:rsidRDefault="00C66715" w:rsidP="00566277">
      <w:pPr>
        <w:rPr>
          <w:rFonts w:cstheme="minorHAnsi"/>
        </w:rPr>
      </w:pPr>
      <w:r w:rsidRPr="00CF0992">
        <w:rPr>
          <w:rFonts w:cstheme="minorHAnsi"/>
        </w:rPr>
        <w:t>In the Roman period, copper-alloy objects were widely available</w:t>
      </w:r>
      <w:r w:rsidR="00C33582">
        <w:rPr>
          <w:rFonts w:cstheme="minorHAnsi"/>
        </w:rPr>
        <w:t>,</w:t>
      </w:r>
      <w:r w:rsidRPr="00CF0992">
        <w:rPr>
          <w:rFonts w:cstheme="minorHAnsi"/>
        </w:rPr>
        <w:t xml:space="preserve"> and</w:t>
      </w:r>
      <w:r w:rsidR="00C33582">
        <w:rPr>
          <w:rFonts w:cstheme="minorHAnsi"/>
        </w:rPr>
        <w:t xml:space="preserve"> they </w:t>
      </w:r>
      <w:r w:rsidRPr="00CF0992">
        <w:rPr>
          <w:rFonts w:cstheme="minorHAnsi"/>
        </w:rPr>
        <w:t xml:space="preserve">are common excavation and metal-detected finds from both urban and rural sites. We can trace significant changes, however, in how </w:t>
      </w:r>
      <w:r w:rsidR="00A06CC3" w:rsidRPr="00CF0992">
        <w:rPr>
          <w:rFonts w:cstheme="minorHAnsi"/>
        </w:rPr>
        <w:t xml:space="preserve">they </w:t>
      </w:r>
      <w:r w:rsidRPr="00CF0992">
        <w:rPr>
          <w:rFonts w:cstheme="minorHAnsi"/>
        </w:rPr>
        <w:t>were used and valued in the late-to-post Roman transition period</w:t>
      </w:r>
      <w:r w:rsidR="003D6A81" w:rsidRPr="00CF0992">
        <w:rPr>
          <w:rFonts w:cstheme="minorHAnsi"/>
        </w:rPr>
        <w:t xml:space="preserve"> in Britain</w:t>
      </w:r>
      <w:r w:rsidRPr="00CF0992">
        <w:rPr>
          <w:rFonts w:cstheme="minorHAnsi"/>
        </w:rPr>
        <w:t>.</w:t>
      </w:r>
      <w:r w:rsidR="00E93667" w:rsidRPr="00CF0992">
        <w:rPr>
          <w:rFonts w:cstheme="minorHAnsi"/>
        </w:rPr>
        <w:t xml:space="preserve"> </w:t>
      </w:r>
      <w:r w:rsidR="00D94F20" w:rsidRPr="00CF0992">
        <w:rPr>
          <w:rFonts w:cstheme="minorHAnsi"/>
        </w:rPr>
        <w:t>I</w:t>
      </w:r>
      <w:r w:rsidR="00E93667" w:rsidRPr="00CF0992">
        <w:rPr>
          <w:rFonts w:cstheme="minorHAnsi"/>
        </w:rPr>
        <w:t xml:space="preserve">t was a period of economic </w:t>
      </w:r>
      <w:r w:rsidR="00D94F20" w:rsidRPr="00CF0992">
        <w:rPr>
          <w:rFonts w:cstheme="minorHAnsi"/>
        </w:rPr>
        <w:t xml:space="preserve">collapse and political breakdown, </w:t>
      </w:r>
      <w:r w:rsidR="00DB1367" w:rsidRPr="00CF0992">
        <w:rPr>
          <w:rFonts w:cstheme="minorHAnsi"/>
        </w:rPr>
        <w:t xml:space="preserve">affecting </w:t>
      </w:r>
      <w:r w:rsidR="00D94F20" w:rsidRPr="00CF0992">
        <w:rPr>
          <w:rFonts w:cstheme="minorHAnsi"/>
        </w:rPr>
        <w:t>how objects were valued in both practical and cultural terms. In this overview, following a preliminary consideration of how value is created for objects, I will examine some different types of artefacts and discuss examples that illustrate the range of ways they were used and valued</w:t>
      </w:r>
      <w:r w:rsidR="00DB1367" w:rsidRPr="00CF0992">
        <w:rPr>
          <w:rFonts w:cstheme="minorHAnsi"/>
        </w:rPr>
        <w:t>, focusing on</w:t>
      </w:r>
      <w:r w:rsidR="00842A40" w:rsidRPr="00CF0992">
        <w:rPr>
          <w:rFonts w:cstheme="minorHAnsi"/>
        </w:rPr>
        <w:t xml:space="preserve"> the late to post-Roman transition period</w:t>
      </w:r>
      <w:r w:rsidR="00D94F20" w:rsidRPr="00CF0992">
        <w:rPr>
          <w:rFonts w:cstheme="minorHAnsi"/>
        </w:rPr>
        <w:t>.</w:t>
      </w:r>
    </w:p>
    <w:p w14:paraId="1FD54358" w14:textId="07D9FDC0" w:rsidR="0079025C" w:rsidRPr="0003750B" w:rsidRDefault="00D94F20" w:rsidP="00566277">
      <w:pPr>
        <w:rPr>
          <w:rFonts w:cstheme="minorHAnsi"/>
          <w:b/>
          <w:bCs/>
        </w:rPr>
      </w:pPr>
      <w:r w:rsidRPr="0003750B">
        <w:rPr>
          <w:rFonts w:cstheme="minorHAnsi"/>
          <w:b/>
          <w:bCs/>
        </w:rPr>
        <w:t>Questions of Value</w:t>
      </w:r>
    </w:p>
    <w:p w14:paraId="3DE306FC" w14:textId="26DC66E8" w:rsidR="00EF024C" w:rsidRPr="00CF0992" w:rsidRDefault="00A06CC3" w:rsidP="00EF024C">
      <w:pPr>
        <w:rPr>
          <w:rFonts w:cstheme="minorHAnsi"/>
        </w:rPr>
      </w:pPr>
      <w:r w:rsidRPr="00CF0992">
        <w:rPr>
          <w:rFonts w:cstheme="minorHAnsi"/>
        </w:rPr>
        <w:t>V</w:t>
      </w:r>
      <w:r w:rsidR="00EF024C" w:rsidRPr="00CF0992">
        <w:rPr>
          <w:rFonts w:cstheme="minorHAnsi"/>
        </w:rPr>
        <w:t>alue can be created for objects</w:t>
      </w:r>
      <w:r w:rsidRPr="00CF0992">
        <w:rPr>
          <w:rFonts w:cstheme="minorHAnsi"/>
        </w:rPr>
        <w:t xml:space="preserve"> in many ways</w:t>
      </w:r>
      <w:r w:rsidR="00EF024C" w:rsidRPr="00CF0992">
        <w:rPr>
          <w:rFonts w:cstheme="minorHAnsi"/>
        </w:rPr>
        <w:t xml:space="preserve">. An object may have a use-value related to its function, for example the requirement for a sharp cutting tool. Sometimes the use-value may be social rather than practical, for instance a ritual crown that is part of religious equipment. </w:t>
      </w:r>
    </w:p>
    <w:p w14:paraId="5FFF6CB2" w14:textId="1CC64AC0" w:rsidR="00313AF4" w:rsidRPr="00CF0992" w:rsidRDefault="00EF024C" w:rsidP="00385242">
      <w:pPr>
        <w:rPr>
          <w:rFonts w:cstheme="minorHAnsi"/>
        </w:rPr>
      </w:pPr>
      <w:r w:rsidRPr="00CF0992">
        <w:rPr>
          <w:rFonts w:cstheme="minorHAnsi"/>
        </w:rPr>
        <w:t>An object may have an economic value stemming from the value of the raw materials</w:t>
      </w:r>
      <w:r w:rsidR="00C33582">
        <w:rPr>
          <w:rFonts w:cstheme="minorHAnsi"/>
        </w:rPr>
        <w:t>,</w:t>
      </w:r>
      <w:r w:rsidR="007B58D9" w:rsidRPr="00CF0992">
        <w:rPr>
          <w:rFonts w:cstheme="minorHAnsi"/>
        </w:rPr>
        <w:t xml:space="preserve"> which in turn depends on factors such as their utility and availability, and how they were judged culturally</w:t>
      </w:r>
      <w:r w:rsidR="00385242" w:rsidRPr="00CF0992">
        <w:rPr>
          <w:rFonts w:cstheme="minorHAnsi"/>
        </w:rPr>
        <w:t>, for instance</w:t>
      </w:r>
      <w:r w:rsidR="007B58D9" w:rsidRPr="00CF0992">
        <w:rPr>
          <w:rFonts w:cstheme="minorHAnsi"/>
        </w:rPr>
        <w:t xml:space="preserve"> in aesthetic terms</w:t>
      </w:r>
      <w:r w:rsidRPr="00CF0992">
        <w:rPr>
          <w:rFonts w:cstheme="minorHAnsi"/>
        </w:rPr>
        <w:t>.</w:t>
      </w:r>
      <w:r w:rsidR="00C33582">
        <w:rPr>
          <w:rFonts w:cstheme="minorHAnsi"/>
        </w:rPr>
        <w:t xml:space="preserve"> </w:t>
      </w:r>
      <w:proofErr w:type="gramStart"/>
      <w:r w:rsidR="00262D4A" w:rsidRPr="00CF0992">
        <w:rPr>
          <w:rFonts w:cstheme="minorHAnsi"/>
        </w:rPr>
        <w:t>With regard to</w:t>
      </w:r>
      <w:proofErr w:type="gramEnd"/>
      <w:r w:rsidR="00262D4A" w:rsidRPr="00CF0992">
        <w:rPr>
          <w:rFonts w:cstheme="minorHAnsi"/>
        </w:rPr>
        <w:t xml:space="preserve"> materials</w:t>
      </w:r>
      <w:r w:rsidR="008858A0" w:rsidRPr="00CF0992">
        <w:rPr>
          <w:rFonts w:cstheme="minorHAnsi"/>
        </w:rPr>
        <w:t>,</w:t>
      </w:r>
      <w:r w:rsidR="00262D4A" w:rsidRPr="00CF0992">
        <w:rPr>
          <w:rFonts w:cstheme="minorHAnsi"/>
        </w:rPr>
        <w:t xml:space="preserve"> we can also consider how</w:t>
      </w:r>
      <w:r w:rsidR="008858A0" w:rsidRPr="00CF0992">
        <w:rPr>
          <w:rFonts w:cstheme="minorHAnsi"/>
        </w:rPr>
        <w:t xml:space="preserve"> an action such as the </w:t>
      </w:r>
      <w:r w:rsidR="00AE14D2" w:rsidRPr="00CF0992">
        <w:rPr>
          <w:rFonts w:cstheme="minorHAnsi"/>
        </w:rPr>
        <w:t>manufacture</w:t>
      </w:r>
      <w:r w:rsidR="008858A0" w:rsidRPr="00CF0992">
        <w:rPr>
          <w:rFonts w:cstheme="minorHAnsi"/>
        </w:rPr>
        <w:t xml:space="preserve"> of an alloy brings different materials together and creates </w:t>
      </w:r>
      <w:r w:rsidR="00AE14D2" w:rsidRPr="00CF0992">
        <w:rPr>
          <w:rFonts w:cstheme="minorHAnsi"/>
        </w:rPr>
        <w:t xml:space="preserve">new types of value that may be different from those of the constituent elements (Jones 2012, </w:t>
      </w:r>
      <w:r w:rsidR="00682E32" w:rsidRPr="00CF0992">
        <w:rPr>
          <w:rFonts w:cstheme="minorHAnsi"/>
        </w:rPr>
        <w:t>143</w:t>
      </w:r>
      <w:r w:rsidR="00AE14D2" w:rsidRPr="00CF0992">
        <w:rPr>
          <w:rFonts w:cstheme="minorHAnsi"/>
        </w:rPr>
        <w:t>)</w:t>
      </w:r>
      <w:r w:rsidR="00262D4A" w:rsidRPr="00CF0992">
        <w:rPr>
          <w:rFonts w:cstheme="minorHAnsi"/>
        </w:rPr>
        <w:t>.</w:t>
      </w:r>
      <w:r w:rsidR="00385242" w:rsidRPr="00CF0992">
        <w:rPr>
          <w:rFonts w:cstheme="minorHAnsi"/>
        </w:rPr>
        <w:t xml:space="preserve"> </w:t>
      </w:r>
      <w:r w:rsidRPr="00CF0992">
        <w:rPr>
          <w:rFonts w:cstheme="minorHAnsi"/>
        </w:rPr>
        <w:t>There may also be ‘added value’</w:t>
      </w:r>
      <w:r w:rsidR="00EC5DC9" w:rsidRPr="00CF0992">
        <w:rPr>
          <w:rFonts w:cstheme="minorHAnsi"/>
        </w:rPr>
        <w:t xml:space="preserve"> for objects</w:t>
      </w:r>
      <w:r w:rsidR="00E7556D">
        <w:rPr>
          <w:rFonts w:cstheme="minorHAnsi"/>
        </w:rPr>
        <w:t>,</w:t>
      </w:r>
      <w:r w:rsidRPr="00CF0992">
        <w:rPr>
          <w:rFonts w:cstheme="minorHAnsi"/>
        </w:rPr>
        <w:t xml:space="preserve"> such as the age of antiques that increases their monetary value</w:t>
      </w:r>
      <w:r w:rsidR="00C33582">
        <w:rPr>
          <w:rFonts w:cstheme="minorHAnsi"/>
        </w:rPr>
        <w:t>;</w:t>
      </w:r>
      <w:r w:rsidRPr="00CF0992">
        <w:rPr>
          <w:rFonts w:cstheme="minorHAnsi"/>
        </w:rPr>
        <w:t xml:space="preserve"> </w:t>
      </w:r>
      <w:r w:rsidR="00EC5DC9" w:rsidRPr="00CF0992">
        <w:rPr>
          <w:rFonts w:cstheme="minorHAnsi"/>
        </w:rPr>
        <w:t>work and time that goes into the production or maintenance of objects</w:t>
      </w:r>
      <w:r w:rsidR="00C33582">
        <w:rPr>
          <w:rFonts w:cstheme="minorHAnsi"/>
        </w:rPr>
        <w:t>;</w:t>
      </w:r>
      <w:r w:rsidR="00EC5DC9" w:rsidRPr="00CF0992">
        <w:rPr>
          <w:rFonts w:cstheme="minorHAnsi"/>
        </w:rPr>
        <w:t xml:space="preserve"> </w:t>
      </w:r>
      <w:r w:rsidRPr="00CF0992">
        <w:rPr>
          <w:rFonts w:cstheme="minorHAnsi"/>
        </w:rPr>
        <w:t xml:space="preserve">or </w:t>
      </w:r>
      <w:r w:rsidR="00E7556D">
        <w:rPr>
          <w:rFonts w:cstheme="minorHAnsi"/>
        </w:rPr>
        <w:t>artefact</w:t>
      </w:r>
      <w:r w:rsidRPr="00CF0992">
        <w:rPr>
          <w:rFonts w:cstheme="minorHAnsi"/>
        </w:rPr>
        <w:t xml:space="preserve">s </w:t>
      </w:r>
      <w:r w:rsidR="00C27DA7" w:rsidRPr="00CF0992">
        <w:rPr>
          <w:rFonts w:cstheme="minorHAnsi"/>
        </w:rPr>
        <w:t>whose value in part stems from their currency</w:t>
      </w:r>
      <w:r w:rsidR="005C26B2" w:rsidRPr="00CF0992">
        <w:rPr>
          <w:rFonts w:cstheme="minorHAnsi"/>
        </w:rPr>
        <w:t xml:space="preserve"> (that is, their</w:t>
      </w:r>
      <w:r w:rsidR="00C27DA7" w:rsidRPr="00CF0992">
        <w:rPr>
          <w:rFonts w:cstheme="minorHAnsi"/>
        </w:rPr>
        <w:t xml:space="preserve"> </w:t>
      </w:r>
      <w:r w:rsidRPr="00CF0992">
        <w:rPr>
          <w:rFonts w:cstheme="minorHAnsi"/>
        </w:rPr>
        <w:t>fashion</w:t>
      </w:r>
      <w:r w:rsidR="00C27DA7" w:rsidRPr="00CF0992">
        <w:rPr>
          <w:rFonts w:cstheme="minorHAnsi"/>
        </w:rPr>
        <w:t>able nature</w:t>
      </w:r>
      <w:r w:rsidR="005C26B2" w:rsidRPr="00CF0992">
        <w:rPr>
          <w:rFonts w:cstheme="minorHAnsi"/>
        </w:rPr>
        <w:t>)</w:t>
      </w:r>
      <w:r w:rsidRPr="00CF0992">
        <w:rPr>
          <w:rFonts w:cstheme="minorHAnsi"/>
        </w:rPr>
        <w:t xml:space="preserve">. </w:t>
      </w:r>
      <w:r w:rsidR="00385242" w:rsidRPr="00CF0992">
        <w:rPr>
          <w:rFonts w:cstheme="minorHAnsi"/>
        </w:rPr>
        <w:t xml:space="preserve"> </w:t>
      </w:r>
      <w:r w:rsidRPr="00CF0992">
        <w:rPr>
          <w:rFonts w:cstheme="minorHAnsi"/>
        </w:rPr>
        <w:t xml:space="preserve">An object might also be valued because of its particular </w:t>
      </w:r>
      <w:proofErr w:type="gramStart"/>
      <w:r w:rsidRPr="00CF0992">
        <w:rPr>
          <w:rFonts w:cstheme="minorHAnsi"/>
        </w:rPr>
        <w:t>history</w:t>
      </w:r>
      <w:r w:rsidR="00DD2524">
        <w:rPr>
          <w:rFonts w:cstheme="minorHAnsi"/>
        </w:rPr>
        <w:t>:</w:t>
      </w:r>
      <w:proofErr w:type="gramEnd"/>
      <w:r w:rsidR="00DD2524">
        <w:rPr>
          <w:rFonts w:cstheme="minorHAnsi"/>
        </w:rPr>
        <w:t xml:space="preserve"> </w:t>
      </w:r>
      <w:r w:rsidRPr="00CF0992">
        <w:rPr>
          <w:rFonts w:cstheme="minorHAnsi"/>
        </w:rPr>
        <w:t>given as a gift, treasured as an heirloom</w:t>
      </w:r>
      <w:r w:rsidR="0074514A">
        <w:rPr>
          <w:rFonts w:cstheme="minorHAnsi"/>
        </w:rPr>
        <w:t xml:space="preserve"> </w:t>
      </w:r>
      <w:r w:rsidRPr="00CF0992">
        <w:rPr>
          <w:rFonts w:cstheme="minorHAnsi"/>
        </w:rPr>
        <w:t>or valued as a personal memento</w:t>
      </w:r>
      <w:r w:rsidR="00E7556D">
        <w:rPr>
          <w:rFonts w:cstheme="minorHAnsi"/>
        </w:rPr>
        <w:t xml:space="preserve"> (see </w:t>
      </w:r>
      <w:r w:rsidR="00E7556D" w:rsidRPr="00CF0992">
        <w:rPr>
          <w:rFonts w:cstheme="minorHAnsi"/>
        </w:rPr>
        <w:t>Stoner 2019</w:t>
      </w:r>
      <w:r w:rsidR="00E7556D">
        <w:rPr>
          <w:rFonts w:cstheme="minorHAnsi"/>
        </w:rPr>
        <w:t>)</w:t>
      </w:r>
      <w:r w:rsidRPr="00CF0992">
        <w:rPr>
          <w:rFonts w:cstheme="minorHAnsi"/>
        </w:rPr>
        <w:t xml:space="preserve">. </w:t>
      </w:r>
      <w:r w:rsidR="00313AF4" w:rsidRPr="00CF0992">
        <w:rPr>
          <w:rFonts w:cstheme="minorHAnsi"/>
        </w:rPr>
        <w:t xml:space="preserve">Some types of value or potential value </w:t>
      </w:r>
      <w:r w:rsidR="00385242" w:rsidRPr="00CF0992">
        <w:rPr>
          <w:rFonts w:cstheme="minorHAnsi"/>
        </w:rPr>
        <w:t xml:space="preserve">can </w:t>
      </w:r>
      <w:r w:rsidR="00313AF4" w:rsidRPr="00CF0992">
        <w:rPr>
          <w:rFonts w:cstheme="minorHAnsi"/>
        </w:rPr>
        <w:t>depend on the object’s status as alienable or inalienable</w:t>
      </w:r>
      <w:r w:rsidR="00385242" w:rsidRPr="00CF0992">
        <w:rPr>
          <w:rFonts w:cstheme="minorHAnsi"/>
        </w:rPr>
        <w:t xml:space="preserve"> </w:t>
      </w:r>
      <w:r w:rsidR="00313AF4" w:rsidRPr="00CF0992">
        <w:rPr>
          <w:rFonts w:cstheme="minorHAnsi"/>
        </w:rPr>
        <w:t>(Chapman 2000, 30</w:t>
      </w:r>
      <w:r w:rsidR="00D06F9F">
        <w:rPr>
          <w:rFonts w:cstheme="minorHAnsi"/>
        </w:rPr>
        <w:t>–</w:t>
      </w:r>
      <w:r w:rsidR="00313AF4" w:rsidRPr="00CF0992">
        <w:rPr>
          <w:rFonts w:cstheme="minorHAnsi"/>
        </w:rPr>
        <w:t>32)</w:t>
      </w:r>
      <w:r w:rsidR="00842A40" w:rsidRPr="00CF0992">
        <w:rPr>
          <w:rFonts w:cstheme="minorHAnsi"/>
        </w:rPr>
        <w:t xml:space="preserve">, that is, </w:t>
      </w:r>
      <w:r w:rsidR="00494763" w:rsidRPr="00CF0992">
        <w:rPr>
          <w:rFonts w:cstheme="minorHAnsi"/>
        </w:rPr>
        <w:t>its</w:t>
      </w:r>
      <w:r w:rsidR="00842A40" w:rsidRPr="00CF0992">
        <w:rPr>
          <w:rFonts w:cstheme="minorHAnsi"/>
        </w:rPr>
        <w:t xml:space="preserve"> ability to be transferred to new ownership</w:t>
      </w:r>
      <w:r w:rsidR="00313AF4" w:rsidRPr="00CF0992">
        <w:rPr>
          <w:rFonts w:cstheme="minorHAnsi"/>
        </w:rPr>
        <w:t xml:space="preserve">. </w:t>
      </w:r>
    </w:p>
    <w:p w14:paraId="3A44B210" w14:textId="25225214" w:rsidR="007B58D9" w:rsidRPr="00CF0992" w:rsidRDefault="00E3542B" w:rsidP="007B58D9">
      <w:pPr>
        <w:rPr>
          <w:rFonts w:cstheme="minorHAnsi"/>
        </w:rPr>
      </w:pPr>
      <w:r w:rsidRPr="00CF0992">
        <w:rPr>
          <w:rFonts w:cstheme="minorHAnsi"/>
        </w:rPr>
        <w:t>Anthropological and historical studies show t</w:t>
      </w:r>
      <w:r w:rsidR="00385242" w:rsidRPr="00CF0992">
        <w:rPr>
          <w:rFonts w:cstheme="minorHAnsi"/>
        </w:rPr>
        <w:t xml:space="preserve">hese means of value creation </w:t>
      </w:r>
      <w:r w:rsidR="00717580" w:rsidRPr="00CF0992">
        <w:rPr>
          <w:rFonts w:cstheme="minorHAnsi"/>
        </w:rPr>
        <w:t>occur cross-culturally</w:t>
      </w:r>
      <w:r w:rsidR="00385242" w:rsidRPr="00CF0992">
        <w:rPr>
          <w:rFonts w:cstheme="minorHAnsi"/>
        </w:rPr>
        <w:t xml:space="preserve"> and through time</w:t>
      </w:r>
      <w:r w:rsidR="00717580" w:rsidRPr="00CF0992">
        <w:rPr>
          <w:rFonts w:cstheme="minorHAnsi"/>
        </w:rPr>
        <w:t>, a</w:t>
      </w:r>
      <w:r w:rsidR="007B3AE3" w:rsidRPr="00CF0992">
        <w:rPr>
          <w:rFonts w:cstheme="minorHAnsi"/>
        </w:rPr>
        <w:t>s well as being</w:t>
      </w:r>
      <w:r w:rsidR="007B58D9" w:rsidRPr="00CF0992">
        <w:rPr>
          <w:rFonts w:cstheme="minorHAnsi"/>
        </w:rPr>
        <w:t xml:space="preserve"> attested in written sources for the Roman and /or wider Classical period, most notably in Pliny’s Natural History (</w:t>
      </w:r>
      <w:r w:rsidR="002B1EA9">
        <w:rPr>
          <w:rFonts w:cstheme="minorHAnsi"/>
        </w:rPr>
        <w:t xml:space="preserve">HN 33; </w:t>
      </w:r>
      <w:r w:rsidR="007B58D9" w:rsidRPr="00CF0992">
        <w:rPr>
          <w:rFonts w:cstheme="minorHAnsi"/>
        </w:rPr>
        <w:t xml:space="preserve">he is one of the few ancient authors interested in the qualities and properties of objects), but also in a wide range of other material such as ancient literary and historical writings, law codes, </w:t>
      </w:r>
      <w:r w:rsidR="00BC2CAC" w:rsidRPr="00CF0992">
        <w:rPr>
          <w:rFonts w:cstheme="minorHAnsi"/>
        </w:rPr>
        <w:t xml:space="preserve">and </w:t>
      </w:r>
      <w:r w:rsidR="007B58D9" w:rsidRPr="00CF0992">
        <w:rPr>
          <w:rFonts w:cstheme="minorHAnsi"/>
        </w:rPr>
        <w:t>personal letters</w:t>
      </w:r>
      <w:r w:rsidR="00BC2CAC" w:rsidRPr="00CF0992">
        <w:rPr>
          <w:rFonts w:cstheme="minorHAnsi"/>
        </w:rPr>
        <w:t xml:space="preserve"> (discussed in Swift 2022, 205; </w:t>
      </w:r>
      <w:proofErr w:type="spellStart"/>
      <w:r w:rsidR="00BC2CAC" w:rsidRPr="00CF0992">
        <w:rPr>
          <w:rFonts w:cstheme="minorHAnsi"/>
        </w:rPr>
        <w:t>Baloglou</w:t>
      </w:r>
      <w:proofErr w:type="spellEnd"/>
      <w:r w:rsidR="00BC2CAC" w:rsidRPr="00CF0992">
        <w:rPr>
          <w:rFonts w:cstheme="minorHAnsi"/>
        </w:rPr>
        <w:t xml:space="preserve"> 2012, 46)</w:t>
      </w:r>
      <w:r w:rsidR="00CF0992">
        <w:rPr>
          <w:rFonts w:cstheme="minorHAnsi"/>
        </w:rPr>
        <w:t>.</w:t>
      </w:r>
    </w:p>
    <w:p w14:paraId="1716AA4A" w14:textId="7CDCCF59" w:rsidR="003D6A81" w:rsidRPr="00CF0992" w:rsidRDefault="00385242" w:rsidP="001905BE">
      <w:pPr>
        <w:autoSpaceDE w:val="0"/>
        <w:autoSpaceDN w:val="0"/>
        <w:adjustRightInd w:val="0"/>
        <w:rPr>
          <w:rFonts w:cstheme="minorHAnsi"/>
        </w:rPr>
      </w:pPr>
      <w:r w:rsidRPr="00CF0992">
        <w:rPr>
          <w:rFonts w:cstheme="minorHAnsi"/>
        </w:rPr>
        <w:t>Value is always contextual. D</w:t>
      </w:r>
      <w:r w:rsidR="005E0176" w:rsidRPr="00CF0992">
        <w:rPr>
          <w:rFonts w:cstheme="minorHAnsi"/>
        </w:rPr>
        <w:t>ifferent owners</w:t>
      </w:r>
      <w:r w:rsidR="00B4066A" w:rsidRPr="00CF0992">
        <w:rPr>
          <w:rFonts w:cstheme="minorHAnsi"/>
        </w:rPr>
        <w:t xml:space="preserve">, </w:t>
      </w:r>
      <w:r w:rsidR="005E0176" w:rsidRPr="00CF0992">
        <w:rPr>
          <w:rFonts w:cstheme="minorHAnsi"/>
        </w:rPr>
        <w:t>users</w:t>
      </w:r>
      <w:r w:rsidR="00B4066A" w:rsidRPr="00CF0992">
        <w:rPr>
          <w:rFonts w:cstheme="minorHAnsi"/>
        </w:rPr>
        <w:t xml:space="preserve"> or social groups</w:t>
      </w:r>
      <w:r w:rsidR="005E0176" w:rsidRPr="00CF0992">
        <w:rPr>
          <w:rFonts w:cstheme="minorHAnsi"/>
        </w:rPr>
        <w:t xml:space="preserve"> might value things in different ways</w:t>
      </w:r>
      <w:r w:rsidR="0005316C" w:rsidRPr="00CF0992">
        <w:rPr>
          <w:rFonts w:cstheme="minorHAnsi"/>
        </w:rPr>
        <w:t>,</w:t>
      </w:r>
      <w:r w:rsidR="005E0176" w:rsidRPr="00CF0992">
        <w:rPr>
          <w:rFonts w:cstheme="minorHAnsi"/>
        </w:rPr>
        <w:t xml:space="preserve"> or the same user might value something differently according to a particular context</w:t>
      </w:r>
      <w:r w:rsidR="00875A50" w:rsidRPr="00CF0992">
        <w:rPr>
          <w:rFonts w:cstheme="minorHAnsi"/>
        </w:rPr>
        <w:t xml:space="preserve"> of use</w:t>
      </w:r>
      <w:r w:rsidR="005E0176" w:rsidRPr="00CF0992">
        <w:rPr>
          <w:rFonts w:cstheme="minorHAnsi"/>
        </w:rPr>
        <w:t xml:space="preserve">. </w:t>
      </w:r>
      <w:r w:rsidR="003E33C6" w:rsidRPr="00CF0992">
        <w:rPr>
          <w:rFonts w:cstheme="minorHAnsi"/>
        </w:rPr>
        <w:t xml:space="preserve">Value that is related to social meanings can frequently change as </w:t>
      </w:r>
      <w:r w:rsidR="00E7556D">
        <w:rPr>
          <w:rFonts w:cstheme="minorHAnsi"/>
        </w:rPr>
        <w:t>such meanings</w:t>
      </w:r>
      <w:r w:rsidR="003E33C6" w:rsidRPr="00CF0992">
        <w:rPr>
          <w:rFonts w:cstheme="minorHAnsi"/>
        </w:rPr>
        <w:t xml:space="preserve"> develop and transform.</w:t>
      </w:r>
      <w:r w:rsidR="00DB1367" w:rsidRPr="00CF0992">
        <w:rPr>
          <w:rFonts w:cstheme="minorHAnsi"/>
        </w:rPr>
        <w:t xml:space="preserve"> </w:t>
      </w:r>
      <w:r w:rsidR="001905BE" w:rsidRPr="00CF0992">
        <w:rPr>
          <w:rFonts w:cstheme="minorHAnsi"/>
        </w:rPr>
        <w:t>We can also consider not only current value, but also the future potentiality that</w:t>
      </w:r>
      <w:r w:rsidR="00842A40" w:rsidRPr="00CF0992">
        <w:rPr>
          <w:rFonts w:cstheme="minorHAnsi"/>
        </w:rPr>
        <w:t xml:space="preserve"> </w:t>
      </w:r>
      <w:r w:rsidR="001905BE" w:rsidRPr="00CF0992">
        <w:rPr>
          <w:rFonts w:cstheme="minorHAnsi"/>
        </w:rPr>
        <w:t>objects held for different kinds of use and value (Robinson 2017, 160</w:t>
      </w:r>
      <w:r w:rsidR="00D06F9F">
        <w:rPr>
          <w:rFonts w:cstheme="minorHAnsi"/>
        </w:rPr>
        <w:t>–</w:t>
      </w:r>
      <w:r w:rsidR="001905BE" w:rsidRPr="00CF0992">
        <w:rPr>
          <w:rFonts w:cstheme="minorHAnsi"/>
        </w:rPr>
        <w:t>161; Graeber 2001, 163).</w:t>
      </w:r>
      <w:r w:rsidR="005E0176" w:rsidRPr="00CF0992">
        <w:rPr>
          <w:rFonts w:cstheme="minorHAnsi"/>
        </w:rPr>
        <w:t xml:space="preserve"> </w:t>
      </w:r>
      <w:r w:rsidR="003D6A81" w:rsidRPr="00CF0992">
        <w:rPr>
          <w:rFonts w:cstheme="minorHAnsi"/>
        </w:rPr>
        <w:t>It has even been suggested that we should view meaning, which would include value, as continually produced in the present in moments of interaction, rather than being static and enduring (Jones 2012,199</w:t>
      </w:r>
      <w:r w:rsidR="00D06F9F">
        <w:rPr>
          <w:rFonts w:cstheme="minorHAnsi"/>
        </w:rPr>
        <w:t>–</w:t>
      </w:r>
      <w:r w:rsidR="003D6A81" w:rsidRPr="00CF0992">
        <w:rPr>
          <w:rFonts w:cstheme="minorHAnsi"/>
        </w:rPr>
        <w:t>200; Joy 2009, 543</w:t>
      </w:r>
      <w:r w:rsidR="00D06F9F">
        <w:rPr>
          <w:rFonts w:cstheme="minorHAnsi"/>
        </w:rPr>
        <w:t>–</w:t>
      </w:r>
      <w:r w:rsidR="003D6A81" w:rsidRPr="00CF0992">
        <w:rPr>
          <w:rFonts w:cstheme="minorHAnsi"/>
        </w:rPr>
        <w:t>4).</w:t>
      </w:r>
    </w:p>
    <w:p w14:paraId="5886E036" w14:textId="6732AA0B" w:rsidR="00810FAD" w:rsidRPr="00CF0992" w:rsidRDefault="001905BE" w:rsidP="008858A0">
      <w:pPr>
        <w:autoSpaceDE w:val="0"/>
        <w:autoSpaceDN w:val="0"/>
        <w:adjustRightInd w:val="0"/>
        <w:rPr>
          <w:rFonts w:cstheme="minorHAnsi"/>
        </w:rPr>
      </w:pPr>
      <w:r w:rsidRPr="00CF0992">
        <w:rPr>
          <w:rFonts w:cstheme="minorHAnsi"/>
        </w:rPr>
        <w:t>From an archaeological perspective</w:t>
      </w:r>
      <w:r w:rsidR="005E0176" w:rsidRPr="00CF0992">
        <w:rPr>
          <w:rFonts w:cstheme="minorHAnsi"/>
        </w:rPr>
        <w:t xml:space="preserve">, </w:t>
      </w:r>
      <w:r w:rsidR="00842A40" w:rsidRPr="00CF0992">
        <w:rPr>
          <w:rFonts w:cstheme="minorHAnsi"/>
        </w:rPr>
        <w:t xml:space="preserve">this constant transformation is hard to study, but </w:t>
      </w:r>
      <w:r w:rsidR="005E0176" w:rsidRPr="00CF0992">
        <w:rPr>
          <w:rFonts w:cstheme="minorHAnsi"/>
        </w:rPr>
        <w:t>we can potentially</w:t>
      </w:r>
      <w:r w:rsidRPr="00CF0992">
        <w:rPr>
          <w:rFonts w:cstheme="minorHAnsi"/>
        </w:rPr>
        <w:t xml:space="preserve"> trace </w:t>
      </w:r>
      <w:r w:rsidR="00842A40" w:rsidRPr="00CF0992">
        <w:rPr>
          <w:rFonts w:cstheme="minorHAnsi"/>
        </w:rPr>
        <w:t xml:space="preserve">some </w:t>
      </w:r>
      <w:r w:rsidR="00223D28" w:rsidRPr="00CF0992">
        <w:rPr>
          <w:rFonts w:cstheme="minorHAnsi"/>
        </w:rPr>
        <w:t>v</w:t>
      </w:r>
      <w:r w:rsidR="00EF024C" w:rsidRPr="00CF0992">
        <w:rPr>
          <w:rFonts w:cstheme="minorHAnsi"/>
        </w:rPr>
        <w:t>alue change</w:t>
      </w:r>
      <w:r w:rsidR="00F76D5D" w:rsidRPr="00CF0992">
        <w:rPr>
          <w:rFonts w:cstheme="minorHAnsi"/>
        </w:rPr>
        <w:t>s</w:t>
      </w:r>
      <w:r w:rsidR="00EF024C" w:rsidRPr="00CF0992">
        <w:rPr>
          <w:rFonts w:cstheme="minorHAnsi"/>
        </w:rPr>
        <w:t xml:space="preserve"> during an object’s lifespan</w:t>
      </w:r>
      <w:r w:rsidR="00BD6135" w:rsidRPr="00CF0992">
        <w:rPr>
          <w:rFonts w:cstheme="minorHAnsi"/>
        </w:rPr>
        <w:t xml:space="preserve"> (its ‘object biography’, see Kopytoff 1986; Joy 2009) by examining evidence relating to its appearance or context</w:t>
      </w:r>
      <w:r w:rsidRPr="00CF0992">
        <w:rPr>
          <w:rFonts w:cstheme="minorHAnsi"/>
        </w:rPr>
        <w:t xml:space="preserve">. </w:t>
      </w:r>
      <w:r w:rsidR="00842A40" w:rsidRPr="00CF0992">
        <w:rPr>
          <w:rFonts w:cstheme="minorHAnsi"/>
        </w:rPr>
        <w:t xml:space="preserve">We can identify </w:t>
      </w:r>
      <w:r w:rsidR="00717580" w:rsidRPr="00CF0992">
        <w:rPr>
          <w:rFonts w:cstheme="minorHAnsi"/>
        </w:rPr>
        <w:lastRenderedPageBreak/>
        <w:t xml:space="preserve">changes in </w:t>
      </w:r>
      <w:r w:rsidR="00F76D5D" w:rsidRPr="00CF0992">
        <w:rPr>
          <w:rFonts w:cstheme="minorHAnsi"/>
        </w:rPr>
        <w:t xml:space="preserve">both </w:t>
      </w:r>
      <w:r w:rsidR="00717580" w:rsidRPr="00CF0992">
        <w:rPr>
          <w:rFonts w:cstheme="minorHAnsi"/>
        </w:rPr>
        <w:t xml:space="preserve">how objects were valued, </w:t>
      </w:r>
      <w:r w:rsidR="00275818" w:rsidRPr="00CF0992">
        <w:rPr>
          <w:rFonts w:cstheme="minorHAnsi"/>
        </w:rPr>
        <w:t>a</w:t>
      </w:r>
      <w:r w:rsidR="00A06CC3" w:rsidRPr="00CF0992">
        <w:rPr>
          <w:rFonts w:cstheme="minorHAnsi"/>
        </w:rPr>
        <w:t xml:space="preserve">nd </w:t>
      </w:r>
      <w:r w:rsidR="00717580" w:rsidRPr="00CF0992">
        <w:rPr>
          <w:rFonts w:cstheme="minorHAnsi"/>
        </w:rPr>
        <w:t>whether they were valued at all.</w:t>
      </w:r>
      <w:r w:rsidR="003D6414" w:rsidRPr="00CF0992">
        <w:rPr>
          <w:rFonts w:cstheme="minorHAnsi"/>
        </w:rPr>
        <w:t xml:space="preserve"> </w:t>
      </w:r>
      <w:r w:rsidR="00810FAD" w:rsidRPr="00CF0992">
        <w:rPr>
          <w:rFonts w:cstheme="minorHAnsi"/>
        </w:rPr>
        <w:t>Objects can return to their earlier status as raw materials, intended for recycling, or be disposed of altogether. Alternatively, there can be curation and repair of objects, which can prompt further changes in value and meaning.</w:t>
      </w:r>
    </w:p>
    <w:p w14:paraId="235BA62A" w14:textId="40623FE1" w:rsidR="00070BD9" w:rsidRPr="00CF0992" w:rsidRDefault="00070BD9" w:rsidP="008858A0">
      <w:pPr>
        <w:autoSpaceDE w:val="0"/>
        <w:autoSpaceDN w:val="0"/>
        <w:adjustRightInd w:val="0"/>
        <w:rPr>
          <w:rFonts w:cstheme="minorHAnsi"/>
        </w:rPr>
      </w:pPr>
      <w:r w:rsidRPr="00CF0992">
        <w:rPr>
          <w:rFonts w:cstheme="minorHAnsi"/>
        </w:rPr>
        <w:t xml:space="preserve">These perspectives can inform the interpretation of examples when thinking about </w:t>
      </w:r>
      <w:r w:rsidR="003D6A81" w:rsidRPr="00CF0992">
        <w:rPr>
          <w:rFonts w:cstheme="minorHAnsi"/>
        </w:rPr>
        <w:t xml:space="preserve">the </w:t>
      </w:r>
      <w:r w:rsidRPr="00CF0992">
        <w:rPr>
          <w:rFonts w:eastAsia="Brill-Roman" w:cstheme="minorHAnsi"/>
        </w:rPr>
        <w:t xml:space="preserve">end of the Roman period in Britain. </w:t>
      </w:r>
      <w:r w:rsidRPr="00CF0992">
        <w:rPr>
          <w:rFonts w:cstheme="minorHAnsi"/>
        </w:rPr>
        <w:t>Before examining some</w:t>
      </w:r>
      <w:r w:rsidR="00DB1367" w:rsidRPr="00CF0992">
        <w:rPr>
          <w:rFonts w:cstheme="minorHAnsi"/>
        </w:rPr>
        <w:t xml:space="preserve"> case studies</w:t>
      </w:r>
      <w:r w:rsidRPr="00CF0992">
        <w:rPr>
          <w:rFonts w:cstheme="minorHAnsi"/>
        </w:rPr>
        <w:t>, though, we need to consider the wider context of the period.</w:t>
      </w:r>
    </w:p>
    <w:p w14:paraId="7D0FEE4D" w14:textId="11A18217" w:rsidR="00070BD9" w:rsidRPr="0003750B" w:rsidRDefault="00070BD9" w:rsidP="008858A0">
      <w:pPr>
        <w:autoSpaceDE w:val="0"/>
        <w:autoSpaceDN w:val="0"/>
        <w:adjustRightInd w:val="0"/>
        <w:rPr>
          <w:rFonts w:cstheme="minorHAnsi"/>
          <w:b/>
          <w:bCs/>
        </w:rPr>
      </w:pPr>
      <w:r w:rsidRPr="0003750B">
        <w:rPr>
          <w:rFonts w:cstheme="minorHAnsi"/>
          <w:b/>
          <w:bCs/>
        </w:rPr>
        <w:t xml:space="preserve">The Late to Post-Roman </w:t>
      </w:r>
      <w:r w:rsidR="00A77F71" w:rsidRPr="0003750B">
        <w:rPr>
          <w:rFonts w:cstheme="minorHAnsi"/>
          <w:b/>
          <w:bCs/>
        </w:rPr>
        <w:t>C</w:t>
      </w:r>
      <w:r w:rsidRPr="0003750B">
        <w:rPr>
          <w:rFonts w:cstheme="minorHAnsi"/>
          <w:b/>
          <w:bCs/>
        </w:rPr>
        <w:t>ontext</w:t>
      </w:r>
    </w:p>
    <w:p w14:paraId="5C809FA7" w14:textId="25EB7606" w:rsidR="00EF27F0" w:rsidRPr="00CF0992" w:rsidRDefault="00070BD9" w:rsidP="008858A0">
      <w:pPr>
        <w:autoSpaceDE w:val="0"/>
        <w:autoSpaceDN w:val="0"/>
        <w:adjustRightInd w:val="0"/>
        <w:rPr>
          <w:rFonts w:cstheme="minorHAnsi"/>
        </w:rPr>
      </w:pPr>
      <w:r w:rsidRPr="00CF0992">
        <w:rPr>
          <w:rFonts w:cstheme="minorHAnsi"/>
        </w:rPr>
        <w:t>The late to post-Roman period in Britain was a p</w:t>
      </w:r>
      <w:r w:rsidR="00EF27F0" w:rsidRPr="00CF0992">
        <w:rPr>
          <w:rFonts w:cstheme="minorHAnsi"/>
        </w:rPr>
        <w:t>eriod of transformation</w:t>
      </w:r>
      <w:r w:rsidRPr="00CF0992">
        <w:rPr>
          <w:rFonts w:cstheme="minorHAnsi"/>
        </w:rPr>
        <w:t>. By the early 5</w:t>
      </w:r>
      <w:r w:rsidRPr="00CF0992">
        <w:rPr>
          <w:rFonts w:cstheme="minorHAnsi"/>
          <w:vertAlign w:val="superscript"/>
        </w:rPr>
        <w:t>th</w:t>
      </w:r>
      <w:r w:rsidRPr="00CF0992">
        <w:rPr>
          <w:rFonts w:cstheme="minorHAnsi"/>
        </w:rPr>
        <w:t xml:space="preserve"> century, Roman government of Britain had ceased, there was political and economic crisis, and many towns were apparently deserted</w:t>
      </w:r>
      <w:r w:rsidR="00B4066A" w:rsidRPr="00CF0992">
        <w:rPr>
          <w:rFonts w:cstheme="minorHAnsi"/>
        </w:rPr>
        <w:t xml:space="preserve"> (Esmonde-Cleary 2013; 1989)</w:t>
      </w:r>
      <w:r w:rsidRPr="00CF0992">
        <w:rPr>
          <w:rFonts w:cstheme="minorHAnsi"/>
        </w:rPr>
        <w:t>. What survived of Roman economic organisation, culture</w:t>
      </w:r>
      <w:r w:rsidR="00DD2524">
        <w:rPr>
          <w:rFonts w:cstheme="minorHAnsi"/>
        </w:rPr>
        <w:t>,</w:t>
      </w:r>
      <w:r w:rsidRPr="00CF0992">
        <w:rPr>
          <w:rFonts w:cstheme="minorHAnsi"/>
        </w:rPr>
        <w:t xml:space="preserve"> and lifestyles is hotly debated among scholars (Gerrard 2013 provides an overview). Artefacts constitute important evidence, but there is a dramatic reduction in objects that normally survive well in the archaeological record. Burial rites change, so that grave-goods, an important source of artefact evidence, become scarce. </w:t>
      </w:r>
      <w:r w:rsidR="00EF27F0" w:rsidRPr="00CF0992">
        <w:rPr>
          <w:rFonts w:cstheme="minorHAnsi"/>
        </w:rPr>
        <w:t>There is s</w:t>
      </w:r>
      <w:r w:rsidRPr="00CF0992">
        <w:rPr>
          <w:rFonts w:cstheme="minorHAnsi"/>
        </w:rPr>
        <w:t xml:space="preserve">ome evidence for </w:t>
      </w:r>
      <w:r w:rsidR="00EF27F0" w:rsidRPr="00CF0992">
        <w:rPr>
          <w:rFonts w:cstheme="minorHAnsi"/>
        </w:rPr>
        <w:t xml:space="preserve">the </w:t>
      </w:r>
      <w:r w:rsidRPr="00CF0992">
        <w:rPr>
          <w:rFonts w:cstheme="minorHAnsi"/>
        </w:rPr>
        <w:t xml:space="preserve">continued production </w:t>
      </w:r>
      <w:r w:rsidR="00EF27F0" w:rsidRPr="00CF0992">
        <w:rPr>
          <w:rFonts w:cstheme="minorHAnsi"/>
        </w:rPr>
        <w:t xml:space="preserve">of </w:t>
      </w:r>
      <w:r w:rsidRPr="00CF0992">
        <w:rPr>
          <w:rFonts w:cstheme="minorHAnsi"/>
        </w:rPr>
        <w:t>artefacts</w:t>
      </w:r>
      <w:r w:rsidR="00EF27F0" w:rsidRPr="00CF0992">
        <w:rPr>
          <w:rFonts w:cstheme="minorHAnsi"/>
        </w:rPr>
        <w:t xml:space="preserve"> (Cool 2000; Gerrard 201</w:t>
      </w:r>
      <w:r w:rsidR="005C26B2" w:rsidRPr="00CF0992">
        <w:rPr>
          <w:rFonts w:cstheme="minorHAnsi"/>
        </w:rPr>
        <w:t>3</w:t>
      </w:r>
      <w:r w:rsidR="00EF27F0" w:rsidRPr="00CF0992">
        <w:rPr>
          <w:rFonts w:cstheme="minorHAnsi"/>
        </w:rPr>
        <w:t xml:space="preserve">; Henig </w:t>
      </w:r>
      <w:r w:rsidR="00D14CE9" w:rsidRPr="00CF0992">
        <w:rPr>
          <w:rFonts w:cstheme="minorHAnsi"/>
        </w:rPr>
        <w:t>and</w:t>
      </w:r>
      <w:r w:rsidR="00EF27F0" w:rsidRPr="00CF0992">
        <w:rPr>
          <w:rFonts w:cstheme="minorHAnsi"/>
        </w:rPr>
        <w:t xml:space="preserve"> Gerrard 201</w:t>
      </w:r>
      <w:r w:rsidR="005C26B2" w:rsidRPr="00CF0992">
        <w:rPr>
          <w:rFonts w:cstheme="minorHAnsi"/>
        </w:rPr>
        <w:t>6</w:t>
      </w:r>
      <w:r w:rsidR="00EF27F0" w:rsidRPr="00CF0992">
        <w:rPr>
          <w:rFonts w:cstheme="minorHAnsi"/>
        </w:rPr>
        <w:t>)</w:t>
      </w:r>
      <w:r w:rsidR="003D6A81" w:rsidRPr="00CF0992">
        <w:rPr>
          <w:rFonts w:cstheme="minorHAnsi"/>
        </w:rPr>
        <w:t xml:space="preserve">, but </w:t>
      </w:r>
      <w:r w:rsidR="007B407A" w:rsidRPr="00CF0992">
        <w:rPr>
          <w:rFonts w:cstheme="minorHAnsi"/>
        </w:rPr>
        <w:t xml:space="preserve">artefact </w:t>
      </w:r>
      <w:r w:rsidR="00EF27F0" w:rsidRPr="00CF0992">
        <w:rPr>
          <w:rFonts w:cstheme="minorHAnsi"/>
        </w:rPr>
        <w:t>production appears to have been vastly reduced compared to the previous late Roman period.</w:t>
      </w:r>
      <w:r w:rsidR="00597D5A" w:rsidRPr="00CF0992">
        <w:rPr>
          <w:rFonts w:cstheme="minorHAnsi"/>
        </w:rPr>
        <w:t xml:space="preserve"> Some of the artefacts that are typical of very late-dating assemblages are made from materials other than metal</w:t>
      </w:r>
      <w:r w:rsidR="00C22AB4" w:rsidRPr="00CF0992">
        <w:rPr>
          <w:rFonts w:cstheme="minorHAnsi"/>
        </w:rPr>
        <w:t xml:space="preserve"> (bone, shale, jet)</w:t>
      </w:r>
      <w:r w:rsidR="00D64E6B" w:rsidRPr="00CF0992">
        <w:rPr>
          <w:rFonts w:cstheme="minorHAnsi"/>
        </w:rPr>
        <w:t xml:space="preserve"> and the proportions of non-metal objects are greater in such assemblages</w:t>
      </w:r>
      <w:r w:rsidR="0042131A" w:rsidRPr="00CF0992">
        <w:rPr>
          <w:rFonts w:cstheme="minorHAnsi"/>
        </w:rPr>
        <w:t xml:space="preserve"> than in early to mid-fourth century ones</w:t>
      </w:r>
      <w:r w:rsidR="00DD2524">
        <w:rPr>
          <w:rFonts w:cstheme="minorHAnsi"/>
        </w:rPr>
        <w:t>,</w:t>
      </w:r>
      <w:r w:rsidR="00494763" w:rsidRPr="00CF0992">
        <w:rPr>
          <w:rFonts w:cstheme="minorHAnsi"/>
        </w:rPr>
        <w:t xml:space="preserve"> </w:t>
      </w:r>
      <w:r w:rsidR="00DB1367" w:rsidRPr="00CF0992">
        <w:rPr>
          <w:rFonts w:cstheme="minorHAnsi"/>
        </w:rPr>
        <w:t xml:space="preserve">as Hilary Cool has shown </w:t>
      </w:r>
      <w:r w:rsidR="00494763" w:rsidRPr="00CF0992">
        <w:rPr>
          <w:rFonts w:cstheme="minorHAnsi"/>
        </w:rPr>
        <w:t>(Cool 2000, 49</w:t>
      </w:r>
      <w:r w:rsidR="00D06F9F">
        <w:rPr>
          <w:rFonts w:cstheme="minorHAnsi"/>
        </w:rPr>
        <w:t>–</w:t>
      </w:r>
      <w:r w:rsidR="00494763" w:rsidRPr="00CF0992">
        <w:rPr>
          <w:rFonts w:cstheme="minorHAnsi"/>
        </w:rPr>
        <w:t>50; see also Crummy 2006, 128</w:t>
      </w:r>
      <w:r w:rsidR="00D06F9F">
        <w:rPr>
          <w:rFonts w:cstheme="minorHAnsi"/>
        </w:rPr>
        <w:t>–</w:t>
      </w:r>
      <w:r w:rsidR="00494763" w:rsidRPr="00CF0992">
        <w:rPr>
          <w:rFonts w:cstheme="minorHAnsi"/>
        </w:rPr>
        <w:t>132)</w:t>
      </w:r>
      <w:r w:rsidR="00C33582">
        <w:rPr>
          <w:rFonts w:cstheme="minorHAnsi"/>
        </w:rPr>
        <w:t>.</w:t>
      </w:r>
      <w:r w:rsidR="00B4066A" w:rsidRPr="00CF0992">
        <w:rPr>
          <w:rFonts w:cstheme="minorHAnsi"/>
        </w:rPr>
        <w:t xml:space="preserve"> </w:t>
      </w:r>
      <w:r w:rsidR="00DB1367" w:rsidRPr="00CF0992">
        <w:rPr>
          <w:rFonts w:cstheme="minorHAnsi"/>
        </w:rPr>
        <w:t xml:space="preserve">I have suggested this </w:t>
      </w:r>
      <w:r w:rsidR="003D6A81" w:rsidRPr="00CF0992">
        <w:rPr>
          <w:rFonts w:cstheme="minorHAnsi"/>
        </w:rPr>
        <w:t xml:space="preserve">may be a consequence of </w:t>
      </w:r>
      <w:r w:rsidR="009574C5" w:rsidRPr="00CF0992">
        <w:rPr>
          <w:rFonts w:cstheme="minorHAnsi"/>
        </w:rPr>
        <w:t xml:space="preserve">metal technology </w:t>
      </w:r>
      <w:r w:rsidR="003D6A81" w:rsidRPr="00CF0992">
        <w:rPr>
          <w:rFonts w:cstheme="minorHAnsi"/>
        </w:rPr>
        <w:t xml:space="preserve">becoming more </w:t>
      </w:r>
      <w:r w:rsidR="009574C5" w:rsidRPr="00CF0992">
        <w:rPr>
          <w:rFonts w:cstheme="minorHAnsi"/>
        </w:rPr>
        <w:t>difficult</w:t>
      </w:r>
      <w:r w:rsidR="00184C5E" w:rsidRPr="00CF0992">
        <w:rPr>
          <w:rFonts w:cstheme="minorHAnsi"/>
        </w:rPr>
        <w:t xml:space="preserve"> </w:t>
      </w:r>
      <w:r w:rsidR="003D6A81" w:rsidRPr="00CF0992">
        <w:rPr>
          <w:rFonts w:cstheme="minorHAnsi"/>
        </w:rPr>
        <w:t xml:space="preserve">to access </w:t>
      </w:r>
      <w:r w:rsidR="00184C5E" w:rsidRPr="00CF0992">
        <w:rPr>
          <w:rFonts w:cstheme="minorHAnsi"/>
        </w:rPr>
        <w:t>for som</w:t>
      </w:r>
      <w:r w:rsidR="00D64E6B" w:rsidRPr="00CF0992">
        <w:rPr>
          <w:rFonts w:cstheme="minorHAnsi"/>
        </w:rPr>
        <w:t>e (S</w:t>
      </w:r>
      <w:r w:rsidR="00D14CE9" w:rsidRPr="00CF0992">
        <w:rPr>
          <w:rFonts w:cstheme="minorHAnsi"/>
        </w:rPr>
        <w:t>wift</w:t>
      </w:r>
      <w:r w:rsidR="00D64E6B" w:rsidRPr="00CF0992">
        <w:rPr>
          <w:rFonts w:cstheme="minorHAnsi"/>
        </w:rPr>
        <w:t xml:space="preserve"> 2012, 191</w:t>
      </w:r>
      <w:r w:rsidR="00D06F9F">
        <w:rPr>
          <w:rFonts w:cstheme="minorHAnsi"/>
        </w:rPr>
        <w:t>–</w:t>
      </w:r>
      <w:r w:rsidR="00D64E6B" w:rsidRPr="00CF0992">
        <w:rPr>
          <w:rFonts w:cstheme="minorHAnsi"/>
        </w:rPr>
        <w:t>2</w:t>
      </w:r>
      <w:r w:rsidR="00494763" w:rsidRPr="00CF0992">
        <w:rPr>
          <w:rFonts w:cstheme="minorHAnsi"/>
        </w:rPr>
        <w:t>).</w:t>
      </w:r>
      <w:r w:rsidR="00597D5A" w:rsidRPr="00CF0992">
        <w:rPr>
          <w:rFonts w:cstheme="minorHAnsi"/>
        </w:rPr>
        <w:t xml:space="preserve"> </w:t>
      </w:r>
      <w:r w:rsidR="00A14EAC" w:rsidRPr="00CF0992">
        <w:rPr>
          <w:rFonts w:cstheme="minorHAnsi"/>
        </w:rPr>
        <w:t>At the same time, it is widely recognised that the new metal objects that do exist from the late-to-post Roman transition period</w:t>
      </w:r>
      <w:r w:rsidR="00D64E6B" w:rsidRPr="00CF0992">
        <w:rPr>
          <w:rFonts w:cstheme="minorHAnsi"/>
        </w:rPr>
        <w:t xml:space="preserve"> and </w:t>
      </w:r>
      <w:r w:rsidR="00180FD1">
        <w:rPr>
          <w:rFonts w:cstheme="minorHAnsi"/>
        </w:rPr>
        <w:t xml:space="preserve">the early Anglo-Saxon period </w:t>
      </w:r>
      <w:r w:rsidR="00A14EAC" w:rsidRPr="00CF0992">
        <w:rPr>
          <w:rFonts w:cstheme="minorHAnsi"/>
        </w:rPr>
        <w:t xml:space="preserve">are mostly made from recycled Roman </w:t>
      </w:r>
      <w:r w:rsidR="00830DB2" w:rsidRPr="00CF0992">
        <w:rPr>
          <w:rFonts w:cstheme="minorHAnsi"/>
        </w:rPr>
        <w:t xml:space="preserve">coins and other </w:t>
      </w:r>
      <w:r w:rsidR="00A14EAC" w:rsidRPr="00CF0992">
        <w:rPr>
          <w:rFonts w:cstheme="minorHAnsi"/>
        </w:rPr>
        <w:t xml:space="preserve">objects melted down </w:t>
      </w:r>
      <w:r w:rsidR="00830DB2" w:rsidRPr="00CF0992">
        <w:rPr>
          <w:rFonts w:cstheme="minorHAnsi"/>
        </w:rPr>
        <w:t>(Swift 2012, 186</w:t>
      </w:r>
      <w:r w:rsidR="00D06F9F">
        <w:rPr>
          <w:rFonts w:cstheme="minorHAnsi"/>
        </w:rPr>
        <w:t>–</w:t>
      </w:r>
      <w:r w:rsidR="00830DB2" w:rsidRPr="00CF0992">
        <w:rPr>
          <w:rFonts w:cstheme="minorHAnsi"/>
        </w:rPr>
        <w:t xml:space="preserve">90; </w:t>
      </w:r>
      <w:proofErr w:type="spellStart"/>
      <w:r w:rsidR="00830DB2" w:rsidRPr="00CF0992">
        <w:rPr>
          <w:rFonts w:cstheme="minorHAnsi"/>
        </w:rPr>
        <w:t>Dungworth</w:t>
      </w:r>
      <w:proofErr w:type="spellEnd"/>
      <w:r w:rsidR="00830DB2" w:rsidRPr="00CF0992">
        <w:rPr>
          <w:rFonts w:cstheme="minorHAnsi"/>
        </w:rPr>
        <w:t xml:space="preserve"> 1997; Pollard et al 2015; Caple 2010, 313; Fleming 2012, 22</w:t>
      </w:r>
      <w:r w:rsidR="00D06F9F">
        <w:rPr>
          <w:rFonts w:cstheme="minorHAnsi"/>
        </w:rPr>
        <w:t>–</w:t>
      </w:r>
      <w:r w:rsidR="00830DB2" w:rsidRPr="00CF0992">
        <w:rPr>
          <w:rFonts w:cstheme="minorHAnsi"/>
        </w:rPr>
        <w:t>23)</w:t>
      </w:r>
      <w:r w:rsidR="00C33582">
        <w:rPr>
          <w:rFonts w:cstheme="minorHAnsi"/>
        </w:rPr>
        <w:t>. T</w:t>
      </w:r>
      <w:r w:rsidR="0042131A" w:rsidRPr="00CF0992">
        <w:rPr>
          <w:rFonts w:cstheme="minorHAnsi"/>
        </w:rPr>
        <w:t>o some extent</w:t>
      </w:r>
      <w:r w:rsidR="00C33582">
        <w:rPr>
          <w:rFonts w:cstheme="minorHAnsi"/>
        </w:rPr>
        <w:t>, this</w:t>
      </w:r>
      <w:r w:rsidR="0042131A" w:rsidRPr="00CF0992">
        <w:rPr>
          <w:rFonts w:cstheme="minorHAnsi"/>
        </w:rPr>
        <w:t xml:space="preserve"> follow</w:t>
      </w:r>
      <w:r w:rsidR="00C33582">
        <w:rPr>
          <w:rFonts w:cstheme="minorHAnsi"/>
        </w:rPr>
        <w:t>s</w:t>
      </w:r>
      <w:r w:rsidR="0042131A" w:rsidRPr="00CF0992">
        <w:rPr>
          <w:rFonts w:cstheme="minorHAnsi"/>
        </w:rPr>
        <w:t xml:space="preserve"> earlier recycling practices</w:t>
      </w:r>
      <w:r w:rsidR="00C33582">
        <w:rPr>
          <w:rFonts w:cstheme="minorHAnsi"/>
        </w:rPr>
        <w:t>.</w:t>
      </w:r>
    </w:p>
    <w:p w14:paraId="387A50B3" w14:textId="39698882" w:rsidR="0003750B" w:rsidRPr="0003750B" w:rsidRDefault="0003750B" w:rsidP="00B41AE0">
      <w:pPr>
        <w:autoSpaceDE w:val="0"/>
        <w:autoSpaceDN w:val="0"/>
        <w:adjustRightInd w:val="0"/>
        <w:rPr>
          <w:rFonts w:cstheme="minorHAnsi"/>
          <w:b/>
          <w:bCs/>
        </w:rPr>
      </w:pPr>
      <w:r w:rsidRPr="0003750B">
        <w:rPr>
          <w:rFonts w:cstheme="minorHAnsi"/>
          <w:b/>
          <w:bCs/>
        </w:rPr>
        <w:t xml:space="preserve">Reused objects in the late to post-Roman period </w:t>
      </w:r>
    </w:p>
    <w:p w14:paraId="1F59CD38" w14:textId="4FF8FB89" w:rsidR="0042131A" w:rsidRPr="00CF0992" w:rsidRDefault="00EF27F0" w:rsidP="00B41AE0">
      <w:pPr>
        <w:autoSpaceDE w:val="0"/>
        <w:autoSpaceDN w:val="0"/>
        <w:adjustRightInd w:val="0"/>
        <w:rPr>
          <w:rFonts w:cstheme="minorHAnsi"/>
        </w:rPr>
      </w:pPr>
      <w:r w:rsidRPr="00CF0992">
        <w:rPr>
          <w:rFonts w:cstheme="minorHAnsi"/>
        </w:rPr>
        <w:t xml:space="preserve">In previous work, I have documented the </w:t>
      </w:r>
      <w:r w:rsidR="00070BD9" w:rsidRPr="00CF0992">
        <w:rPr>
          <w:rFonts w:cstheme="minorHAnsi"/>
        </w:rPr>
        <w:t>reuse of extant objects</w:t>
      </w:r>
      <w:r w:rsidRPr="00CF0992">
        <w:rPr>
          <w:rFonts w:cstheme="minorHAnsi"/>
        </w:rPr>
        <w:t xml:space="preserve"> </w:t>
      </w:r>
      <w:r w:rsidR="009574C5" w:rsidRPr="00CF0992">
        <w:rPr>
          <w:rFonts w:cstheme="minorHAnsi"/>
        </w:rPr>
        <w:t xml:space="preserve">from this period </w:t>
      </w:r>
      <w:r w:rsidR="0042131A" w:rsidRPr="00CF0992">
        <w:rPr>
          <w:rFonts w:cstheme="minorHAnsi"/>
        </w:rPr>
        <w:t xml:space="preserve">focusing particularly on modification practices </w:t>
      </w:r>
      <w:r w:rsidR="009574C5" w:rsidRPr="00CF0992">
        <w:rPr>
          <w:rFonts w:cstheme="minorHAnsi"/>
        </w:rPr>
        <w:t>(Swift 2019; 2014; 2012; Swift 2013)</w:t>
      </w:r>
      <w:r w:rsidR="005857C5" w:rsidRPr="00CF0992">
        <w:rPr>
          <w:rFonts w:cstheme="minorHAnsi"/>
        </w:rPr>
        <w:t xml:space="preserve"> and I will just review this briefly</w:t>
      </w:r>
      <w:r w:rsidR="009574C5" w:rsidRPr="00CF0992">
        <w:rPr>
          <w:rFonts w:cstheme="minorHAnsi"/>
        </w:rPr>
        <w:t xml:space="preserve">. </w:t>
      </w:r>
      <w:r w:rsidR="00494763" w:rsidRPr="00CF0992">
        <w:rPr>
          <w:rFonts w:cstheme="minorHAnsi"/>
        </w:rPr>
        <w:t xml:space="preserve">Examples of simple repairs and the repurposing of objects in new ways can be found throughout the Roman period, of course. However, there is evidence that </w:t>
      </w:r>
      <w:r w:rsidR="00C33582">
        <w:rPr>
          <w:rFonts w:cstheme="minorHAnsi"/>
        </w:rPr>
        <w:t>this</w:t>
      </w:r>
      <w:r w:rsidR="00494763" w:rsidRPr="00CF0992">
        <w:rPr>
          <w:rFonts w:cstheme="minorHAnsi"/>
        </w:rPr>
        <w:t xml:space="preserve"> </w:t>
      </w:r>
      <w:r w:rsidR="009574C5" w:rsidRPr="00CF0992">
        <w:rPr>
          <w:rFonts w:cstheme="minorHAnsi"/>
        </w:rPr>
        <w:t>increase</w:t>
      </w:r>
      <w:r w:rsidR="00494763" w:rsidRPr="00CF0992">
        <w:rPr>
          <w:rFonts w:cstheme="minorHAnsi"/>
        </w:rPr>
        <w:t>s</w:t>
      </w:r>
      <w:r w:rsidR="009574C5" w:rsidRPr="00CF0992">
        <w:rPr>
          <w:rFonts w:cstheme="minorHAnsi"/>
        </w:rPr>
        <w:t xml:space="preserve"> </w:t>
      </w:r>
      <w:r w:rsidR="00494763" w:rsidRPr="00CF0992">
        <w:rPr>
          <w:rFonts w:cstheme="minorHAnsi"/>
        </w:rPr>
        <w:t xml:space="preserve">towards the end of the </w:t>
      </w:r>
      <w:r w:rsidR="009574C5" w:rsidRPr="00CF0992">
        <w:rPr>
          <w:rFonts w:cstheme="minorHAnsi"/>
        </w:rPr>
        <w:t>Roman period (Swift 2013, 107</w:t>
      </w:r>
      <w:r w:rsidR="00D06F9F">
        <w:rPr>
          <w:rFonts w:cstheme="minorHAnsi"/>
        </w:rPr>
        <w:t>–</w:t>
      </w:r>
      <w:r w:rsidR="009574C5" w:rsidRPr="00CF0992">
        <w:rPr>
          <w:rFonts w:cstheme="minorHAnsi"/>
        </w:rPr>
        <w:t>9)</w:t>
      </w:r>
      <w:r w:rsidR="00070BD9" w:rsidRPr="00CF0992">
        <w:rPr>
          <w:rFonts w:cstheme="minorHAnsi"/>
        </w:rPr>
        <w:t>.</w:t>
      </w:r>
      <w:r w:rsidR="00B41AE0" w:rsidRPr="00CF0992">
        <w:rPr>
          <w:rFonts w:cstheme="minorHAnsi"/>
        </w:rPr>
        <w:t xml:space="preserve"> There is</w:t>
      </w:r>
      <w:r w:rsidR="005857C5" w:rsidRPr="00CF0992">
        <w:rPr>
          <w:rFonts w:cstheme="minorHAnsi"/>
        </w:rPr>
        <w:t xml:space="preserve"> much reuse in a wide range of materials, and</w:t>
      </w:r>
      <w:r w:rsidR="00B41AE0" w:rsidRPr="00CF0992">
        <w:rPr>
          <w:rFonts w:cstheme="minorHAnsi"/>
        </w:rPr>
        <w:t xml:space="preserve"> </w:t>
      </w:r>
      <w:r w:rsidR="005857C5" w:rsidRPr="00CF0992">
        <w:rPr>
          <w:rFonts w:cstheme="minorHAnsi"/>
        </w:rPr>
        <w:t>of interest to this</w:t>
      </w:r>
      <w:r w:rsidR="00CF0992">
        <w:rPr>
          <w:rFonts w:cstheme="minorHAnsi"/>
        </w:rPr>
        <w:t xml:space="preserve"> volume</w:t>
      </w:r>
      <w:r w:rsidR="005857C5" w:rsidRPr="00CF0992">
        <w:rPr>
          <w:rFonts w:cstheme="minorHAnsi"/>
        </w:rPr>
        <w:t xml:space="preserve">, </w:t>
      </w:r>
      <w:r w:rsidR="00B41AE0" w:rsidRPr="00CF0992">
        <w:rPr>
          <w:rFonts w:cstheme="minorHAnsi"/>
        </w:rPr>
        <w:t xml:space="preserve">copper-alloy objects being </w:t>
      </w:r>
      <w:r w:rsidR="003D6A81" w:rsidRPr="00CF0992">
        <w:rPr>
          <w:rFonts w:cstheme="minorHAnsi"/>
        </w:rPr>
        <w:t>re</w:t>
      </w:r>
      <w:r w:rsidR="00B41AE0" w:rsidRPr="00CF0992">
        <w:rPr>
          <w:rFonts w:cstheme="minorHAnsi"/>
        </w:rPr>
        <w:t>used and valued in a range of different ways</w:t>
      </w:r>
      <w:r w:rsidR="00DC2E32">
        <w:rPr>
          <w:rFonts w:cstheme="minorHAnsi"/>
        </w:rPr>
        <w:t>, for example:</w:t>
      </w:r>
      <w:r w:rsidR="00AE4253" w:rsidRPr="00CF0992">
        <w:rPr>
          <w:rFonts w:cstheme="minorHAnsi"/>
        </w:rPr>
        <w:t xml:space="preserve"> </w:t>
      </w:r>
    </w:p>
    <w:p w14:paraId="1739248C" w14:textId="704F0F24" w:rsidR="00DC2E32" w:rsidRPr="00DC2E32" w:rsidRDefault="0042131A" w:rsidP="00DC2E32">
      <w:pPr>
        <w:pStyle w:val="ListParagraph"/>
        <w:numPr>
          <w:ilvl w:val="0"/>
          <w:numId w:val="8"/>
        </w:numPr>
        <w:autoSpaceDE w:val="0"/>
        <w:autoSpaceDN w:val="0"/>
        <w:adjustRightInd w:val="0"/>
        <w:rPr>
          <w:rFonts w:asciiTheme="minorHAnsi" w:hAnsiTheme="minorHAnsi" w:cstheme="minorHAnsi"/>
          <w:sz w:val="22"/>
          <w:szCs w:val="22"/>
        </w:rPr>
      </w:pPr>
      <w:r w:rsidRPr="00DC2E32">
        <w:rPr>
          <w:rFonts w:asciiTheme="minorHAnsi" w:hAnsiTheme="minorHAnsi" w:cstheme="minorHAnsi"/>
          <w:sz w:val="22"/>
          <w:szCs w:val="22"/>
        </w:rPr>
        <w:t>evidence for curation, but the form of the object is preserved</w:t>
      </w:r>
      <w:r w:rsidR="00DC2E32">
        <w:rPr>
          <w:rFonts w:asciiTheme="minorHAnsi" w:hAnsiTheme="minorHAnsi" w:cstheme="minorHAnsi"/>
          <w:sz w:val="22"/>
          <w:szCs w:val="22"/>
        </w:rPr>
        <w:t>.</w:t>
      </w:r>
      <w:r w:rsidRPr="00DC2E32">
        <w:rPr>
          <w:rFonts w:asciiTheme="minorHAnsi" w:hAnsiTheme="minorHAnsi" w:cstheme="minorHAnsi"/>
          <w:sz w:val="22"/>
          <w:szCs w:val="22"/>
        </w:rPr>
        <w:t xml:space="preserve"> </w:t>
      </w:r>
    </w:p>
    <w:p w14:paraId="40896D29" w14:textId="7BA889BB" w:rsidR="00DC2E32" w:rsidRPr="00DC2E32" w:rsidRDefault="0042131A" w:rsidP="00DC2E32">
      <w:pPr>
        <w:pStyle w:val="ListParagraph"/>
        <w:numPr>
          <w:ilvl w:val="0"/>
          <w:numId w:val="8"/>
        </w:numPr>
        <w:autoSpaceDE w:val="0"/>
        <w:autoSpaceDN w:val="0"/>
        <w:adjustRightInd w:val="0"/>
        <w:rPr>
          <w:rFonts w:asciiTheme="minorHAnsi" w:hAnsiTheme="minorHAnsi" w:cstheme="minorHAnsi"/>
          <w:sz w:val="22"/>
          <w:szCs w:val="22"/>
        </w:rPr>
      </w:pPr>
      <w:r w:rsidRPr="00DC2E32">
        <w:rPr>
          <w:rFonts w:asciiTheme="minorHAnsi" w:hAnsiTheme="minorHAnsi" w:cstheme="minorHAnsi"/>
          <w:sz w:val="22"/>
          <w:szCs w:val="22"/>
        </w:rPr>
        <w:t>the object is modified but used similarly to its original function</w:t>
      </w:r>
      <w:r w:rsidR="00DC2E32">
        <w:rPr>
          <w:rFonts w:asciiTheme="minorHAnsi" w:hAnsiTheme="minorHAnsi" w:cstheme="minorHAnsi"/>
          <w:sz w:val="22"/>
          <w:szCs w:val="22"/>
        </w:rPr>
        <w:t>.</w:t>
      </w:r>
    </w:p>
    <w:p w14:paraId="65FDECEC" w14:textId="0BB8D2B5" w:rsidR="0042131A" w:rsidRPr="00DC2E32" w:rsidRDefault="0042131A" w:rsidP="0042131A">
      <w:pPr>
        <w:pStyle w:val="ListParagraph"/>
        <w:numPr>
          <w:ilvl w:val="0"/>
          <w:numId w:val="8"/>
        </w:numPr>
        <w:autoSpaceDE w:val="0"/>
        <w:autoSpaceDN w:val="0"/>
        <w:adjustRightInd w:val="0"/>
        <w:rPr>
          <w:rFonts w:asciiTheme="minorHAnsi" w:hAnsiTheme="minorHAnsi" w:cstheme="minorHAnsi"/>
          <w:sz w:val="22"/>
          <w:szCs w:val="22"/>
        </w:rPr>
      </w:pPr>
      <w:r w:rsidRPr="00DC2E32">
        <w:rPr>
          <w:rFonts w:asciiTheme="minorHAnsi" w:hAnsiTheme="minorHAnsi" w:cstheme="minorHAnsi"/>
          <w:sz w:val="22"/>
          <w:szCs w:val="22"/>
        </w:rPr>
        <w:t>the object is made into a different artefact with selective use of previous features</w:t>
      </w:r>
      <w:r w:rsidR="00DC2E32">
        <w:rPr>
          <w:rFonts w:asciiTheme="minorHAnsi" w:hAnsiTheme="minorHAnsi" w:cstheme="minorHAnsi"/>
          <w:sz w:val="22"/>
          <w:szCs w:val="22"/>
        </w:rPr>
        <w:t>.</w:t>
      </w:r>
      <w:r w:rsidRPr="00DC2E32">
        <w:rPr>
          <w:rFonts w:asciiTheme="minorHAnsi" w:hAnsiTheme="minorHAnsi" w:cstheme="minorHAnsi"/>
          <w:sz w:val="22"/>
          <w:szCs w:val="22"/>
        </w:rPr>
        <w:t xml:space="preserve"> </w:t>
      </w:r>
    </w:p>
    <w:p w14:paraId="60E3CF6F" w14:textId="77777777" w:rsidR="005C26B2" w:rsidRPr="00CF0992" w:rsidRDefault="005C26B2" w:rsidP="00B41AE0">
      <w:pPr>
        <w:autoSpaceDE w:val="0"/>
        <w:autoSpaceDN w:val="0"/>
        <w:adjustRightInd w:val="0"/>
        <w:rPr>
          <w:rFonts w:cstheme="minorHAnsi"/>
        </w:rPr>
      </w:pPr>
    </w:p>
    <w:p w14:paraId="5A247B09" w14:textId="61C0F520" w:rsidR="00B41AE0" w:rsidRPr="00CF0992" w:rsidRDefault="00AE4253" w:rsidP="00B41AE0">
      <w:pPr>
        <w:autoSpaceDE w:val="0"/>
        <w:autoSpaceDN w:val="0"/>
        <w:adjustRightInd w:val="0"/>
        <w:rPr>
          <w:rFonts w:cstheme="minorHAnsi"/>
        </w:rPr>
      </w:pPr>
      <w:r w:rsidRPr="00CF0992">
        <w:rPr>
          <w:rFonts w:cstheme="minorHAnsi"/>
        </w:rPr>
        <w:t xml:space="preserve">Some of the objects, such as bracelets, were probably produced in the fourth century and curated into the fifth; others, such as belt-fittings or penannular brooches, were made in both the fourth and fifth centuries. An important class of material is quoit brooch style (QBS) objects (Swift 2019; Suzuki 2000; Ager 1985; Evison 1965). These were made within the fifth century and the earliest objects derive from late Roman belt fittings. They have distinctive decoration used on a limited range of </w:t>
      </w:r>
      <w:r w:rsidRPr="00CF0992">
        <w:rPr>
          <w:rFonts w:cstheme="minorHAnsi"/>
        </w:rPr>
        <w:lastRenderedPageBreak/>
        <w:t>object forms including the quoit brooches from which the style is named. A large proportion of them show evidence of repair, modification, or transformation into other artefacts</w:t>
      </w:r>
      <w:r w:rsidR="004D1863">
        <w:rPr>
          <w:rFonts w:cstheme="minorHAnsi"/>
        </w:rPr>
        <w:t xml:space="preserve"> (see Swift 2019)</w:t>
      </w:r>
      <w:r w:rsidRPr="00CF0992">
        <w:rPr>
          <w:rFonts w:cstheme="minorHAnsi"/>
        </w:rPr>
        <w:t>.</w:t>
      </w:r>
    </w:p>
    <w:p w14:paraId="7308E1F7" w14:textId="77777777" w:rsidR="00BF4D38" w:rsidRPr="00CF0992" w:rsidRDefault="00BF4D38" w:rsidP="00DD2DBB">
      <w:pPr>
        <w:pStyle w:val="ListParagraph"/>
        <w:autoSpaceDE w:val="0"/>
        <w:autoSpaceDN w:val="0"/>
        <w:adjustRightInd w:val="0"/>
        <w:rPr>
          <w:rFonts w:asciiTheme="minorHAnsi" w:hAnsiTheme="minorHAnsi" w:cstheme="minorHAnsi"/>
          <w:sz w:val="22"/>
          <w:szCs w:val="22"/>
        </w:rPr>
      </w:pPr>
    </w:p>
    <w:p w14:paraId="58E40EC6" w14:textId="54CBC506" w:rsidR="00DD2DBB" w:rsidRPr="00CF0992" w:rsidRDefault="0042131A" w:rsidP="00DD2DBB">
      <w:pPr>
        <w:autoSpaceDE w:val="0"/>
        <w:autoSpaceDN w:val="0"/>
        <w:adjustRightInd w:val="0"/>
        <w:rPr>
          <w:rFonts w:cstheme="minorHAnsi"/>
        </w:rPr>
      </w:pPr>
      <w:r w:rsidRPr="00CF0992">
        <w:rPr>
          <w:rFonts w:cstheme="minorHAnsi"/>
        </w:rPr>
        <w:t xml:space="preserve">SLIDE </w:t>
      </w:r>
      <w:r w:rsidR="00DD2DBB" w:rsidRPr="00CF0992">
        <w:rPr>
          <w:rFonts w:cstheme="minorHAnsi"/>
        </w:rPr>
        <w:t>Examples of the reuse of copper-alloy objects</w:t>
      </w:r>
      <w:r w:rsidR="002D667D" w:rsidRPr="00CF0992">
        <w:rPr>
          <w:rFonts w:cstheme="minorHAnsi"/>
        </w:rPr>
        <w:t xml:space="preserve"> </w:t>
      </w:r>
      <w:r w:rsidR="00501C94" w:rsidRPr="00CF0992">
        <w:rPr>
          <w:rFonts w:cstheme="minorHAnsi"/>
        </w:rPr>
        <w:t>(Table 1)</w:t>
      </w:r>
    </w:p>
    <w:p w14:paraId="652161D7" w14:textId="77777777" w:rsidR="00DD2DBB" w:rsidRPr="00CF0992" w:rsidRDefault="00DD2DBB" w:rsidP="00DD2DBB">
      <w:pPr>
        <w:pStyle w:val="ListParagraph"/>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122"/>
        <w:gridCol w:w="2976"/>
        <w:gridCol w:w="3918"/>
      </w:tblGrid>
      <w:tr w:rsidR="0094283A" w:rsidRPr="00CF0992" w14:paraId="0FE2B25A" w14:textId="77777777" w:rsidTr="00C87CD6">
        <w:tc>
          <w:tcPr>
            <w:tcW w:w="2122" w:type="dxa"/>
          </w:tcPr>
          <w:p w14:paraId="08A97071" w14:textId="2B37BC39" w:rsidR="0094283A" w:rsidRPr="00B922B2" w:rsidRDefault="00623F23" w:rsidP="00B41AE0">
            <w:pPr>
              <w:autoSpaceDE w:val="0"/>
              <w:autoSpaceDN w:val="0"/>
              <w:adjustRightInd w:val="0"/>
              <w:rPr>
                <w:rFonts w:cstheme="minorHAnsi"/>
                <w:b/>
                <w:bCs/>
              </w:rPr>
            </w:pPr>
            <w:r w:rsidRPr="00B922B2">
              <w:rPr>
                <w:rFonts w:cstheme="minorHAnsi"/>
                <w:b/>
                <w:bCs/>
              </w:rPr>
              <w:t>Re-use category</w:t>
            </w:r>
          </w:p>
        </w:tc>
        <w:tc>
          <w:tcPr>
            <w:tcW w:w="2976" w:type="dxa"/>
          </w:tcPr>
          <w:p w14:paraId="674B66C1" w14:textId="676FA725" w:rsidR="0094283A" w:rsidRPr="00B922B2" w:rsidRDefault="00623F23" w:rsidP="00B41AE0">
            <w:pPr>
              <w:autoSpaceDE w:val="0"/>
              <w:autoSpaceDN w:val="0"/>
              <w:adjustRightInd w:val="0"/>
              <w:rPr>
                <w:rFonts w:cstheme="minorHAnsi"/>
                <w:b/>
                <w:bCs/>
              </w:rPr>
            </w:pPr>
            <w:r w:rsidRPr="00B922B2">
              <w:rPr>
                <w:rFonts w:cstheme="minorHAnsi"/>
                <w:b/>
                <w:bCs/>
              </w:rPr>
              <w:t>Type of reuse</w:t>
            </w:r>
          </w:p>
        </w:tc>
        <w:tc>
          <w:tcPr>
            <w:tcW w:w="3918" w:type="dxa"/>
          </w:tcPr>
          <w:p w14:paraId="52B1F3CC" w14:textId="1546AD7A" w:rsidR="0094283A" w:rsidRPr="00B922B2" w:rsidRDefault="00DA6EAA" w:rsidP="00B41AE0">
            <w:pPr>
              <w:autoSpaceDE w:val="0"/>
              <w:autoSpaceDN w:val="0"/>
              <w:adjustRightInd w:val="0"/>
              <w:rPr>
                <w:rFonts w:cstheme="minorHAnsi"/>
                <w:b/>
                <w:bCs/>
              </w:rPr>
            </w:pPr>
            <w:r w:rsidRPr="00B922B2">
              <w:rPr>
                <w:rFonts w:cstheme="minorHAnsi"/>
                <w:b/>
                <w:bCs/>
              </w:rPr>
              <w:t>E</w:t>
            </w:r>
            <w:r w:rsidR="00623F23" w:rsidRPr="00B922B2">
              <w:rPr>
                <w:rFonts w:cstheme="minorHAnsi"/>
                <w:b/>
                <w:bCs/>
              </w:rPr>
              <w:t>xamples</w:t>
            </w:r>
            <w:r w:rsidRPr="00B922B2">
              <w:rPr>
                <w:rFonts w:cstheme="minorHAnsi"/>
                <w:b/>
                <w:bCs/>
              </w:rPr>
              <w:t xml:space="preserve"> and context date</w:t>
            </w:r>
          </w:p>
        </w:tc>
      </w:tr>
      <w:tr w:rsidR="00623F23" w:rsidRPr="00CF0992" w14:paraId="39417122" w14:textId="77777777" w:rsidTr="00C87CD6">
        <w:tc>
          <w:tcPr>
            <w:tcW w:w="2122" w:type="dxa"/>
            <w:vMerge w:val="restart"/>
          </w:tcPr>
          <w:p w14:paraId="06E0E6FD" w14:textId="090CCA78" w:rsidR="00623F23" w:rsidRPr="00CF0992" w:rsidRDefault="00623F23" w:rsidP="00B41AE0">
            <w:pPr>
              <w:autoSpaceDE w:val="0"/>
              <w:autoSpaceDN w:val="0"/>
              <w:adjustRightInd w:val="0"/>
              <w:rPr>
                <w:rFonts w:cstheme="minorHAnsi"/>
              </w:rPr>
            </w:pPr>
            <w:r w:rsidRPr="00CF0992">
              <w:rPr>
                <w:rFonts w:cstheme="minorHAnsi"/>
              </w:rPr>
              <w:t>Curation: the form of the object is preserved</w:t>
            </w:r>
          </w:p>
        </w:tc>
        <w:tc>
          <w:tcPr>
            <w:tcW w:w="2976" w:type="dxa"/>
          </w:tcPr>
          <w:p w14:paraId="3A4548E5" w14:textId="4F6C6FA0" w:rsidR="00623F23" w:rsidRPr="00CF0992" w:rsidRDefault="00623F23" w:rsidP="00B41AE0">
            <w:pPr>
              <w:autoSpaceDE w:val="0"/>
              <w:autoSpaceDN w:val="0"/>
              <w:adjustRightInd w:val="0"/>
              <w:rPr>
                <w:rFonts w:cstheme="minorHAnsi"/>
              </w:rPr>
            </w:pPr>
            <w:r w:rsidRPr="00CF0992">
              <w:rPr>
                <w:rFonts w:cstheme="minorHAnsi"/>
              </w:rPr>
              <w:t xml:space="preserve">Brooches with minor repairs e.g. replaced </w:t>
            </w:r>
            <w:proofErr w:type="gramStart"/>
            <w:r w:rsidRPr="00CF0992">
              <w:rPr>
                <w:rFonts w:cstheme="minorHAnsi"/>
              </w:rPr>
              <w:t>pins</w:t>
            </w:r>
            <w:proofErr w:type="gramEnd"/>
          </w:p>
          <w:p w14:paraId="7D0A258A" w14:textId="24BC15F6" w:rsidR="00623F23" w:rsidRPr="00CF0992" w:rsidRDefault="00623F23" w:rsidP="00B41AE0">
            <w:pPr>
              <w:autoSpaceDE w:val="0"/>
              <w:autoSpaceDN w:val="0"/>
              <w:adjustRightInd w:val="0"/>
              <w:rPr>
                <w:rFonts w:cstheme="minorHAnsi"/>
              </w:rPr>
            </w:pPr>
          </w:p>
        </w:tc>
        <w:tc>
          <w:tcPr>
            <w:tcW w:w="3918" w:type="dxa"/>
          </w:tcPr>
          <w:p w14:paraId="094F10BA" w14:textId="631E395D" w:rsidR="00623F23" w:rsidRPr="00CF0992" w:rsidRDefault="00623F23" w:rsidP="00B41AE0">
            <w:pPr>
              <w:autoSpaceDE w:val="0"/>
              <w:autoSpaceDN w:val="0"/>
              <w:adjustRightInd w:val="0"/>
              <w:rPr>
                <w:rFonts w:cstheme="minorHAnsi"/>
              </w:rPr>
            </w:pPr>
            <w:r w:rsidRPr="00CF0992">
              <w:rPr>
                <w:rFonts w:cstheme="minorHAnsi"/>
              </w:rPr>
              <w:t>Roman style penannular brooches – multiple examples from Swift 2014, Table 1; most dates are 4</w:t>
            </w:r>
            <w:r w:rsidRPr="00CF0992">
              <w:rPr>
                <w:rFonts w:cstheme="minorHAnsi"/>
                <w:vertAlign w:val="superscript"/>
              </w:rPr>
              <w:t>th</w:t>
            </w:r>
            <w:r w:rsidRPr="00CF0992">
              <w:rPr>
                <w:rFonts w:cstheme="minorHAnsi"/>
              </w:rPr>
              <w:t xml:space="preserve">, </w:t>
            </w:r>
            <w:proofErr w:type="gramStart"/>
            <w:r w:rsidRPr="00CF0992">
              <w:rPr>
                <w:rFonts w:cstheme="minorHAnsi"/>
              </w:rPr>
              <w:t>5</w:t>
            </w:r>
            <w:r w:rsidRPr="00CF0992">
              <w:rPr>
                <w:rFonts w:cstheme="minorHAnsi"/>
                <w:vertAlign w:val="superscript"/>
              </w:rPr>
              <w:t>th</w:t>
            </w:r>
            <w:proofErr w:type="gramEnd"/>
            <w:r w:rsidRPr="00CF0992">
              <w:rPr>
                <w:rFonts w:cstheme="minorHAnsi"/>
              </w:rPr>
              <w:t xml:space="preserve"> or 6</w:t>
            </w:r>
            <w:r w:rsidRPr="00CF0992">
              <w:rPr>
                <w:rFonts w:cstheme="minorHAnsi"/>
                <w:vertAlign w:val="superscript"/>
              </w:rPr>
              <w:t>th</w:t>
            </w:r>
            <w:r w:rsidR="006B5B75" w:rsidRPr="00CF0992">
              <w:rPr>
                <w:rFonts w:cstheme="minorHAnsi"/>
                <w:vertAlign w:val="superscript"/>
              </w:rPr>
              <w:t xml:space="preserve"> </w:t>
            </w:r>
            <w:r w:rsidRPr="00CF0992">
              <w:rPr>
                <w:rFonts w:cstheme="minorHAnsi"/>
              </w:rPr>
              <w:t xml:space="preserve"> </w:t>
            </w:r>
            <w:r w:rsidR="006B5B75" w:rsidRPr="00CF0992">
              <w:rPr>
                <w:rFonts w:cstheme="minorHAnsi"/>
              </w:rPr>
              <w:t xml:space="preserve">c. </w:t>
            </w:r>
            <w:r w:rsidRPr="00CF0992">
              <w:rPr>
                <w:rFonts w:cstheme="minorHAnsi"/>
              </w:rPr>
              <w:t xml:space="preserve">Crossbow brooches from </w:t>
            </w:r>
            <w:proofErr w:type="spellStart"/>
            <w:r w:rsidRPr="00CF0992">
              <w:rPr>
                <w:rFonts w:cstheme="minorHAnsi"/>
              </w:rPr>
              <w:t>Lankhills</w:t>
            </w:r>
            <w:proofErr w:type="spellEnd"/>
            <w:r w:rsidRPr="00CF0992">
              <w:rPr>
                <w:rFonts w:cstheme="minorHAnsi"/>
              </w:rPr>
              <w:t xml:space="preserve"> (</w:t>
            </w:r>
            <w:r w:rsidR="0049295D" w:rsidRPr="00CF0992">
              <w:rPr>
                <w:rFonts w:cstheme="minorHAnsi"/>
              </w:rPr>
              <w:t>Swift 2013</w:t>
            </w:r>
            <w:r w:rsidR="00FE5CE2" w:rsidRPr="00CF0992">
              <w:rPr>
                <w:rFonts w:cstheme="minorHAnsi"/>
              </w:rPr>
              <w:t>, 96</w:t>
            </w:r>
            <w:r w:rsidR="0049295D" w:rsidRPr="00CF0992">
              <w:rPr>
                <w:rFonts w:cstheme="minorHAnsi"/>
              </w:rPr>
              <w:t xml:space="preserve">; </w:t>
            </w:r>
            <w:r w:rsidRPr="00CF0992">
              <w:rPr>
                <w:rFonts w:cstheme="minorHAnsi"/>
              </w:rPr>
              <w:t>Cool 2010, 284)</w:t>
            </w:r>
          </w:p>
        </w:tc>
      </w:tr>
      <w:tr w:rsidR="00623F23" w:rsidRPr="00CF0992" w14:paraId="132E28DE" w14:textId="77777777" w:rsidTr="00C87CD6">
        <w:tc>
          <w:tcPr>
            <w:tcW w:w="2122" w:type="dxa"/>
            <w:vMerge/>
          </w:tcPr>
          <w:p w14:paraId="1E9DFCB8" w14:textId="77777777" w:rsidR="00623F23" w:rsidRPr="00CF0992" w:rsidRDefault="00623F23" w:rsidP="00B41AE0">
            <w:pPr>
              <w:autoSpaceDE w:val="0"/>
              <w:autoSpaceDN w:val="0"/>
              <w:adjustRightInd w:val="0"/>
              <w:rPr>
                <w:rFonts w:cstheme="minorHAnsi"/>
              </w:rPr>
            </w:pPr>
          </w:p>
        </w:tc>
        <w:tc>
          <w:tcPr>
            <w:tcW w:w="2976" w:type="dxa"/>
          </w:tcPr>
          <w:p w14:paraId="2DF4F0BE" w14:textId="75B1DC69" w:rsidR="00623F23" w:rsidRPr="00CF0992" w:rsidRDefault="00623F23" w:rsidP="00B41AE0">
            <w:pPr>
              <w:autoSpaceDE w:val="0"/>
              <w:autoSpaceDN w:val="0"/>
              <w:adjustRightInd w:val="0"/>
              <w:rPr>
                <w:rFonts w:cstheme="minorHAnsi"/>
              </w:rPr>
            </w:pPr>
            <w:r w:rsidRPr="00CF0992">
              <w:rPr>
                <w:rFonts w:cstheme="minorHAnsi"/>
              </w:rPr>
              <w:t>Belt fittings with minor repairs – replaced tongues, new rivet holes, trimmed edges</w:t>
            </w:r>
          </w:p>
        </w:tc>
        <w:tc>
          <w:tcPr>
            <w:tcW w:w="3918" w:type="dxa"/>
          </w:tcPr>
          <w:p w14:paraId="6B001D70" w14:textId="4F043FB8" w:rsidR="00E53DB2" w:rsidRPr="00CF0992" w:rsidRDefault="00E53DB2" w:rsidP="00B41AE0">
            <w:pPr>
              <w:autoSpaceDE w:val="0"/>
              <w:autoSpaceDN w:val="0"/>
              <w:adjustRightInd w:val="0"/>
              <w:rPr>
                <w:rFonts w:cstheme="minorHAnsi"/>
              </w:rPr>
            </w:pPr>
            <w:r w:rsidRPr="00CF0992">
              <w:rPr>
                <w:rFonts w:cstheme="minorHAnsi"/>
              </w:rPr>
              <w:t>Multiple examples of QBS material (Swift 2019, 27</w:t>
            </w:r>
            <w:r w:rsidR="00D06F9F">
              <w:rPr>
                <w:rFonts w:cstheme="minorHAnsi"/>
              </w:rPr>
              <w:t>–</w:t>
            </w:r>
            <w:r w:rsidRPr="00CF0992">
              <w:rPr>
                <w:rFonts w:cstheme="minorHAnsi"/>
              </w:rPr>
              <w:t xml:space="preserve">31). The style dates to the fifth century, QBS objects are mostly found in </w:t>
            </w:r>
            <w:r w:rsidR="0047413C" w:rsidRPr="00CF0992">
              <w:rPr>
                <w:rFonts w:cstheme="minorHAnsi"/>
              </w:rPr>
              <w:t>mid-</w:t>
            </w:r>
            <w:r w:rsidRPr="00CF0992">
              <w:rPr>
                <w:rFonts w:cstheme="minorHAnsi"/>
              </w:rPr>
              <w:t xml:space="preserve">late fifth </w:t>
            </w:r>
            <w:r w:rsidR="0047413C" w:rsidRPr="00CF0992">
              <w:rPr>
                <w:rFonts w:cstheme="minorHAnsi"/>
              </w:rPr>
              <w:t>to</w:t>
            </w:r>
            <w:r w:rsidRPr="00CF0992">
              <w:rPr>
                <w:rFonts w:cstheme="minorHAnsi"/>
              </w:rPr>
              <w:t xml:space="preserve"> early sixth century contexts.</w:t>
            </w:r>
          </w:p>
          <w:p w14:paraId="28C470F5" w14:textId="27ED3048" w:rsidR="00DA6EAA" w:rsidRPr="00CF0992" w:rsidRDefault="00623F23" w:rsidP="00B41AE0">
            <w:pPr>
              <w:autoSpaceDE w:val="0"/>
              <w:autoSpaceDN w:val="0"/>
              <w:adjustRightInd w:val="0"/>
              <w:rPr>
                <w:rFonts w:cstheme="minorHAnsi"/>
              </w:rPr>
            </w:pPr>
            <w:r w:rsidRPr="00CF0992">
              <w:rPr>
                <w:rFonts w:cstheme="minorHAnsi"/>
              </w:rPr>
              <w:t>Buckland, Dover</w:t>
            </w:r>
            <w:r w:rsidR="00E53DB2" w:rsidRPr="00CF0992">
              <w:rPr>
                <w:rFonts w:cstheme="minorHAnsi"/>
              </w:rPr>
              <w:t xml:space="preserve"> </w:t>
            </w:r>
            <w:r w:rsidRPr="00CF0992">
              <w:rPr>
                <w:rFonts w:cstheme="minorHAnsi"/>
              </w:rPr>
              <w:t xml:space="preserve">– </w:t>
            </w:r>
            <w:r w:rsidR="005C26B2" w:rsidRPr="00CF0992">
              <w:rPr>
                <w:rFonts w:cstheme="minorHAnsi"/>
              </w:rPr>
              <w:t xml:space="preserve">Swift 2013, 97; </w:t>
            </w:r>
            <w:r w:rsidRPr="00CF0992">
              <w:rPr>
                <w:rFonts w:cstheme="minorHAnsi"/>
              </w:rPr>
              <w:t>Evison 1987 gr. 48 no. 14</w:t>
            </w:r>
            <w:r w:rsidR="00503F4F" w:rsidRPr="00CF0992">
              <w:rPr>
                <w:rFonts w:cstheme="minorHAnsi"/>
              </w:rPr>
              <w:t>, c. 475</w:t>
            </w:r>
            <w:r w:rsidR="00D06F9F">
              <w:rPr>
                <w:rFonts w:cstheme="minorHAnsi"/>
              </w:rPr>
              <w:t>–</w:t>
            </w:r>
            <w:r w:rsidR="00503F4F" w:rsidRPr="00CF0992">
              <w:rPr>
                <w:rFonts w:cstheme="minorHAnsi"/>
              </w:rPr>
              <w:t>525.</w:t>
            </w:r>
          </w:p>
        </w:tc>
      </w:tr>
      <w:tr w:rsidR="00623F23" w:rsidRPr="00CF0992" w14:paraId="6323D0D5" w14:textId="77777777" w:rsidTr="00C87CD6">
        <w:tc>
          <w:tcPr>
            <w:tcW w:w="2122" w:type="dxa"/>
            <w:vMerge w:val="restart"/>
          </w:tcPr>
          <w:p w14:paraId="6CE29986" w14:textId="71D92FC4" w:rsidR="00623F23" w:rsidRPr="00CF0992" w:rsidRDefault="00623F23" w:rsidP="00B41AE0">
            <w:pPr>
              <w:autoSpaceDE w:val="0"/>
              <w:autoSpaceDN w:val="0"/>
              <w:adjustRightInd w:val="0"/>
              <w:rPr>
                <w:rFonts w:cstheme="minorHAnsi"/>
              </w:rPr>
            </w:pPr>
            <w:r w:rsidRPr="00CF0992">
              <w:rPr>
                <w:rFonts w:cstheme="minorHAnsi"/>
              </w:rPr>
              <w:t>The object is modified but used similarly</w:t>
            </w:r>
          </w:p>
        </w:tc>
        <w:tc>
          <w:tcPr>
            <w:tcW w:w="2976" w:type="dxa"/>
          </w:tcPr>
          <w:p w14:paraId="52682631" w14:textId="77777777" w:rsidR="00623F23" w:rsidRPr="00CF0992" w:rsidRDefault="00623F23" w:rsidP="00B41AE0">
            <w:pPr>
              <w:autoSpaceDE w:val="0"/>
              <w:autoSpaceDN w:val="0"/>
              <w:adjustRightInd w:val="0"/>
              <w:rPr>
                <w:rFonts w:cstheme="minorHAnsi"/>
              </w:rPr>
            </w:pPr>
            <w:r w:rsidRPr="00CF0992">
              <w:rPr>
                <w:rFonts w:cstheme="minorHAnsi"/>
              </w:rPr>
              <w:t xml:space="preserve">Bracelets cut down into child-sized </w:t>
            </w:r>
            <w:proofErr w:type="gramStart"/>
            <w:r w:rsidRPr="00CF0992">
              <w:rPr>
                <w:rFonts w:cstheme="minorHAnsi"/>
              </w:rPr>
              <w:t>bracelets</w:t>
            </w:r>
            <w:proofErr w:type="gramEnd"/>
          </w:p>
          <w:p w14:paraId="4C289174" w14:textId="521B1526" w:rsidR="00623F23" w:rsidRPr="00CF0992" w:rsidRDefault="00623F23" w:rsidP="00B41AE0">
            <w:pPr>
              <w:autoSpaceDE w:val="0"/>
              <w:autoSpaceDN w:val="0"/>
              <w:adjustRightInd w:val="0"/>
              <w:rPr>
                <w:rFonts w:cstheme="minorHAnsi"/>
              </w:rPr>
            </w:pPr>
          </w:p>
        </w:tc>
        <w:tc>
          <w:tcPr>
            <w:tcW w:w="3918" w:type="dxa"/>
          </w:tcPr>
          <w:p w14:paraId="4B60FF02" w14:textId="372517A9" w:rsidR="0049295D" w:rsidRPr="00CF0992" w:rsidRDefault="004826B4" w:rsidP="004826B4">
            <w:pPr>
              <w:autoSpaceDE w:val="0"/>
              <w:autoSpaceDN w:val="0"/>
              <w:adjustRightInd w:val="0"/>
              <w:rPr>
                <w:rFonts w:cstheme="minorHAnsi"/>
              </w:rPr>
            </w:pPr>
            <w:r w:rsidRPr="00CF0992">
              <w:rPr>
                <w:rFonts w:cstheme="minorHAnsi"/>
              </w:rPr>
              <w:t>Multiple examples from Swift 2012, 207</w:t>
            </w:r>
            <w:r w:rsidR="00D06F9F">
              <w:rPr>
                <w:rFonts w:cstheme="minorHAnsi"/>
              </w:rPr>
              <w:t>–</w:t>
            </w:r>
            <w:r w:rsidRPr="00CF0992">
              <w:rPr>
                <w:rFonts w:cstheme="minorHAnsi"/>
              </w:rPr>
              <w:t>8 and 173, most context dates are late fourth to early fifth c. (excluding redeposited material).</w:t>
            </w:r>
          </w:p>
        </w:tc>
      </w:tr>
      <w:tr w:rsidR="00623F23" w:rsidRPr="00CF0992" w14:paraId="0C3C8F9D" w14:textId="77777777" w:rsidTr="00C87CD6">
        <w:tc>
          <w:tcPr>
            <w:tcW w:w="2122" w:type="dxa"/>
            <w:vMerge/>
          </w:tcPr>
          <w:p w14:paraId="700F64CD" w14:textId="77777777" w:rsidR="00623F23" w:rsidRPr="00CF0992" w:rsidRDefault="00623F23" w:rsidP="00B41AE0">
            <w:pPr>
              <w:autoSpaceDE w:val="0"/>
              <w:autoSpaceDN w:val="0"/>
              <w:adjustRightInd w:val="0"/>
              <w:rPr>
                <w:rFonts w:cstheme="minorHAnsi"/>
              </w:rPr>
            </w:pPr>
          </w:p>
        </w:tc>
        <w:tc>
          <w:tcPr>
            <w:tcW w:w="2976" w:type="dxa"/>
          </w:tcPr>
          <w:p w14:paraId="199AFC1E" w14:textId="5230B6D4" w:rsidR="00623F23" w:rsidRPr="00CF0992" w:rsidRDefault="00623F23" w:rsidP="00B41AE0">
            <w:pPr>
              <w:autoSpaceDE w:val="0"/>
              <w:autoSpaceDN w:val="0"/>
              <w:adjustRightInd w:val="0"/>
              <w:rPr>
                <w:rFonts w:cstheme="minorHAnsi"/>
              </w:rPr>
            </w:pPr>
            <w:r w:rsidRPr="00CF0992">
              <w:rPr>
                <w:rFonts w:cstheme="minorHAnsi"/>
              </w:rPr>
              <w:t>Belt fittings with altered form or decoration</w:t>
            </w:r>
          </w:p>
        </w:tc>
        <w:tc>
          <w:tcPr>
            <w:tcW w:w="3918" w:type="dxa"/>
          </w:tcPr>
          <w:p w14:paraId="69C6D740" w14:textId="76E21851" w:rsidR="00DA6EAA" w:rsidRPr="00CF0992" w:rsidRDefault="0047413C" w:rsidP="00B41AE0">
            <w:pPr>
              <w:autoSpaceDE w:val="0"/>
              <w:autoSpaceDN w:val="0"/>
              <w:adjustRightInd w:val="0"/>
              <w:rPr>
                <w:rFonts w:cstheme="minorHAnsi"/>
              </w:rPr>
            </w:pPr>
            <w:r w:rsidRPr="00CF0992">
              <w:rPr>
                <w:rFonts w:cstheme="minorHAnsi"/>
              </w:rPr>
              <w:t>Multiple examples of QBS material (Swift 2019, 31</w:t>
            </w:r>
            <w:r w:rsidR="00D06F9F">
              <w:rPr>
                <w:rFonts w:cstheme="minorHAnsi"/>
              </w:rPr>
              <w:t>–</w:t>
            </w:r>
            <w:r w:rsidRPr="00CF0992">
              <w:rPr>
                <w:rFonts w:cstheme="minorHAnsi"/>
              </w:rPr>
              <w:t>35). The style dates to the fifth century, QBS objects are mostly found in mid-late fifth to early sixth century contexts.</w:t>
            </w:r>
          </w:p>
        </w:tc>
      </w:tr>
      <w:tr w:rsidR="00623F23" w:rsidRPr="00CF0992" w14:paraId="680778D1" w14:textId="77777777" w:rsidTr="00C87CD6">
        <w:tc>
          <w:tcPr>
            <w:tcW w:w="2122" w:type="dxa"/>
            <w:vMerge w:val="restart"/>
          </w:tcPr>
          <w:p w14:paraId="0A5E39F4" w14:textId="1DBBF1B6" w:rsidR="00623F23" w:rsidRPr="00CF0992" w:rsidRDefault="00623F23" w:rsidP="00B41AE0">
            <w:pPr>
              <w:autoSpaceDE w:val="0"/>
              <w:autoSpaceDN w:val="0"/>
              <w:adjustRightInd w:val="0"/>
              <w:rPr>
                <w:rFonts w:cstheme="minorHAnsi"/>
              </w:rPr>
            </w:pPr>
            <w:r w:rsidRPr="00CF0992">
              <w:rPr>
                <w:rFonts w:cstheme="minorHAnsi"/>
              </w:rPr>
              <w:t>The object is made into a different artefact</w:t>
            </w:r>
          </w:p>
        </w:tc>
        <w:tc>
          <w:tcPr>
            <w:tcW w:w="2976" w:type="dxa"/>
          </w:tcPr>
          <w:p w14:paraId="5BE1F6CB" w14:textId="7A2C96BE" w:rsidR="00623F23" w:rsidRPr="00CF0992" w:rsidRDefault="00623F23" w:rsidP="00B41AE0">
            <w:pPr>
              <w:autoSpaceDE w:val="0"/>
              <w:autoSpaceDN w:val="0"/>
              <w:adjustRightInd w:val="0"/>
              <w:rPr>
                <w:rFonts w:cstheme="minorHAnsi"/>
              </w:rPr>
            </w:pPr>
            <w:r w:rsidRPr="00CF0992">
              <w:rPr>
                <w:rFonts w:cstheme="minorHAnsi"/>
              </w:rPr>
              <w:t>Coins pierced for suspension or other purposes</w:t>
            </w:r>
          </w:p>
        </w:tc>
        <w:tc>
          <w:tcPr>
            <w:tcW w:w="3918" w:type="dxa"/>
          </w:tcPr>
          <w:p w14:paraId="06C5A995" w14:textId="0CB2FAB4" w:rsidR="004826B4" w:rsidRPr="00CF0992" w:rsidRDefault="00C710D2" w:rsidP="00B41AE0">
            <w:pPr>
              <w:autoSpaceDE w:val="0"/>
              <w:autoSpaceDN w:val="0"/>
              <w:adjustRightInd w:val="0"/>
              <w:rPr>
                <w:rFonts w:cstheme="minorHAnsi"/>
              </w:rPr>
            </w:pPr>
            <w:r w:rsidRPr="00CF0992">
              <w:rPr>
                <w:rFonts w:cstheme="minorHAnsi"/>
              </w:rPr>
              <w:t>Colchester, graves 278 (300/320</w:t>
            </w:r>
            <w:r w:rsidR="00D06F9F">
              <w:rPr>
                <w:rFonts w:cstheme="minorHAnsi"/>
              </w:rPr>
              <w:t>–</w:t>
            </w:r>
            <w:r w:rsidRPr="00CF0992">
              <w:rPr>
                <w:rFonts w:cstheme="minorHAnsi"/>
              </w:rPr>
              <w:t>320/40), 15 (TPQ 364), 69</w:t>
            </w:r>
            <w:r w:rsidR="001632EA" w:rsidRPr="00CF0992">
              <w:rPr>
                <w:rFonts w:cstheme="minorHAnsi"/>
              </w:rPr>
              <w:t xml:space="preserve"> (radiate)</w:t>
            </w:r>
            <w:r w:rsidRPr="00CF0992">
              <w:rPr>
                <w:rFonts w:cstheme="minorHAnsi"/>
              </w:rPr>
              <w:t xml:space="preserve"> (TPQ 360), 406 (TPQ 367), 503 (TPQ 320/40</w:t>
            </w:r>
            <w:r w:rsidR="00D06F9F">
              <w:rPr>
                <w:rFonts w:cstheme="minorHAnsi"/>
              </w:rPr>
              <w:t>–</w:t>
            </w:r>
            <w:r w:rsidRPr="00CF0992">
              <w:rPr>
                <w:rFonts w:cstheme="minorHAnsi"/>
              </w:rPr>
              <w:t>330/50). Burnett 2005; Crummy, Crummy and Crossan 1993, 41, 133</w:t>
            </w:r>
            <w:r w:rsidR="00D06F9F">
              <w:rPr>
                <w:rFonts w:cstheme="minorHAnsi"/>
              </w:rPr>
              <w:t>–</w:t>
            </w:r>
            <w:r w:rsidRPr="00CF0992">
              <w:rPr>
                <w:rFonts w:cstheme="minorHAnsi"/>
              </w:rPr>
              <w:t>142, 154, 160</w:t>
            </w:r>
            <w:r w:rsidR="00D06F9F">
              <w:rPr>
                <w:rFonts w:cstheme="minorHAnsi"/>
              </w:rPr>
              <w:t>–</w:t>
            </w:r>
            <w:r w:rsidRPr="00CF0992">
              <w:rPr>
                <w:rFonts w:cstheme="minorHAnsi"/>
              </w:rPr>
              <w:t>62.</w:t>
            </w:r>
            <w:r w:rsidR="00494763" w:rsidRPr="00CF0992">
              <w:rPr>
                <w:rFonts w:cstheme="minorHAnsi"/>
              </w:rPr>
              <w:t xml:space="preserve"> </w:t>
            </w:r>
            <w:r w:rsidR="003421BF" w:rsidRPr="00CF0992">
              <w:rPr>
                <w:rFonts w:cstheme="minorHAnsi"/>
              </w:rPr>
              <w:t>Poundbury, Farwell and Molleson 1993, 236.</w:t>
            </w:r>
            <w:r w:rsidR="00494763" w:rsidRPr="00CF0992">
              <w:rPr>
                <w:rFonts w:cstheme="minorHAnsi"/>
              </w:rPr>
              <w:t xml:space="preserve"> </w:t>
            </w:r>
            <w:r w:rsidR="003421BF" w:rsidRPr="00CF0992">
              <w:rPr>
                <w:rFonts w:cstheme="minorHAnsi"/>
              </w:rPr>
              <w:t xml:space="preserve">Anglo-Saxon period contexts, </w:t>
            </w:r>
            <w:r w:rsidR="00F47E15" w:rsidRPr="00CF0992">
              <w:rPr>
                <w:rFonts w:cstheme="minorHAnsi"/>
              </w:rPr>
              <w:t>W</w:t>
            </w:r>
            <w:r w:rsidR="003421BF" w:rsidRPr="00CF0992">
              <w:rPr>
                <w:rFonts w:cstheme="minorHAnsi"/>
              </w:rPr>
              <w:t>hite 1988, 62</w:t>
            </w:r>
            <w:r w:rsidR="00D06F9F">
              <w:rPr>
                <w:rFonts w:cstheme="minorHAnsi"/>
              </w:rPr>
              <w:t>–</w:t>
            </w:r>
            <w:r w:rsidR="003421BF" w:rsidRPr="00CF0992">
              <w:rPr>
                <w:rFonts w:cstheme="minorHAnsi"/>
              </w:rPr>
              <w:t>101</w:t>
            </w:r>
            <w:r w:rsidR="00F47E15" w:rsidRPr="00CF0992">
              <w:rPr>
                <w:rFonts w:cstheme="minorHAnsi"/>
              </w:rPr>
              <w:t>.</w:t>
            </w:r>
          </w:p>
        </w:tc>
      </w:tr>
      <w:tr w:rsidR="00623F23" w:rsidRPr="00CF0992" w14:paraId="2C5F8E64" w14:textId="77777777" w:rsidTr="00C87CD6">
        <w:tc>
          <w:tcPr>
            <w:tcW w:w="2122" w:type="dxa"/>
            <w:vMerge/>
          </w:tcPr>
          <w:p w14:paraId="01B2D2E8" w14:textId="77777777" w:rsidR="00623F23" w:rsidRPr="00CF0992" w:rsidRDefault="00623F23" w:rsidP="00B41AE0">
            <w:pPr>
              <w:autoSpaceDE w:val="0"/>
              <w:autoSpaceDN w:val="0"/>
              <w:adjustRightInd w:val="0"/>
              <w:rPr>
                <w:rFonts w:cstheme="minorHAnsi"/>
              </w:rPr>
            </w:pPr>
          </w:p>
        </w:tc>
        <w:tc>
          <w:tcPr>
            <w:tcW w:w="2976" w:type="dxa"/>
          </w:tcPr>
          <w:p w14:paraId="4451ADC0" w14:textId="78BC9B4E" w:rsidR="00623F23" w:rsidRPr="00CF0992" w:rsidRDefault="00623F23" w:rsidP="00B41AE0">
            <w:pPr>
              <w:autoSpaceDE w:val="0"/>
              <w:autoSpaceDN w:val="0"/>
              <w:adjustRightInd w:val="0"/>
              <w:rPr>
                <w:rFonts w:cstheme="minorHAnsi"/>
              </w:rPr>
            </w:pPr>
            <w:r w:rsidRPr="00CF0992">
              <w:rPr>
                <w:rFonts w:cstheme="minorHAnsi"/>
              </w:rPr>
              <w:t>Belt-fittings</w:t>
            </w:r>
            <w:r w:rsidR="00066247" w:rsidRPr="00CF0992">
              <w:rPr>
                <w:rFonts w:cstheme="minorHAnsi"/>
              </w:rPr>
              <w:t xml:space="preserve"> or mounts</w:t>
            </w:r>
            <w:r w:rsidRPr="00CF0992">
              <w:rPr>
                <w:rFonts w:cstheme="minorHAnsi"/>
              </w:rPr>
              <w:t xml:space="preserve"> made into brooches</w:t>
            </w:r>
          </w:p>
        </w:tc>
        <w:tc>
          <w:tcPr>
            <w:tcW w:w="3918" w:type="dxa"/>
          </w:tcPr>
          <w:p w14:paraId="52DCDD9B" w14:textId="21791FAD" w:rsidR="00066247" w:rsidRPr="00CF0992" w:rsidRDefault="00066247" w:rsidP="00B41AE0">
            <w:pPr>
              <w:autoSpaceDE w:val="0"/>
              <w:autoSpaceDN w:val="0"/>
              <w:adjustRightInd w:val="0"/>
              <w:rPr>
                <w:rFonts w:cstheme="minorHAnsi"/>
              </w:rPr>
            </w:pPr>
            <w:proofErr w:type="spellStart"/>
            <w:r w:rsidRPr="00CF0992">
              <w:rPr>
                <w:rFonts w:cstheme="minorHAnsi"/>
              </w:rPr>
              <w:t>Howletts</w:t>
            </w:r>
            <w:proofErr w:type="spellEnd"/>
            <w:r w:rsidRPr="00CF0992">
              <w:rPr>
                <w:rFonts w:cstheme="minorHAnsi"/>
              </w:rPr>
              <w:t xml:space="preserve"> </w:t>
            </w:r>
            <w:r w:rsidR="002D667D" w:rsidRPr="00CF0992">
              <w:rPr>
                <w:rFonts w:cstheme="minorHAnsi"/>
              </w:rPr>
              <w:t xml:space="preserve">QBS </w:t>
            </w:r>
            <w:r w:rsidRPr="00CF0992">
              <w:rPr>
                <w:rFonts w:cstheme="minorHAnsi"/>
              </w:rPr>
              <w:t>square plate brooch</w:t>
            </w:r>
            <w:r w:rsidR="00C87CD6" w:rsidRPr="00CF0992">
              <w:rPr>
                <w:rFonts w:cstheme="minorHAnsi"/>
              </w:rPr>
              <w:t xml:space="preserve">, </w:t>
            </w:r>
            <w:r w:rsidRPr="00CF0992">
              <w:rPr>
                <w:rFonts w:cstheme="minorHAnsi"/>
              </w:rPr>
              <w:t xml:space="preserve">Higham </w:t>
            </w:r>
            <w:r w:rsidR="002D667D" w:rsidRPr="00CF0992">
              <w:rPr>
                <w:rFonts w:cstheme="minorHAnsi"/>
              </w:rPr>
              <w:t xml:space="preserve">QBS </w:t>
            </w:r>
            <w:r w:rsidRPr="00CF0992">
              <w:rPr>
                <w:rFonts w:cstheme="minorHAnsi"/>
              </w:rPr>
              <w:t>disc brooch</w:t>
            </w:r>
            <w:r w:rsidR="00C87CD6" w:rsidRPr="00CF0992">
              <w:rPr>
                <w:rFonts w:cstheme="minorHAnsi"/>
              </w:rPr>
              <w:t xml:space="preserve">, </w:t>
            </w:r>
            <w:r w:rsidRPr="00CF0992">
              <w:rPr>
                <w:rFonts w:cstheme="minorHAnsi"/>
              </w:rPr>
              <w:t xml:space="preserve">Faversham </w:t>
            </w:r>
            <w:r w:rsidR="002D667D" w:rsidRPr="00CF0992">
              <w:rPr>
                <w:rFonts w:cstheme="minorHAnsi"/>
              </w:rPr>
              <w:t xml:space="preserve">QBS </w:t>
            </w:r>
            <w:r w:rsidRPr="00CF0992">
              <w:rPr>
                <w:rFonts w:cstheme="minorHAnsi"/>
              </w:rPr>
              <w:t>disc brooch</w:t>
            </w:r>
            <w:r w:rsidR="0047413C" w:rsidRPr="00CF0992">
              <w:rPr>
                <w:rFonts w:cstheme="minorHAnsi"/>
              </w:rPr>
              <w:t>.</w:t>
            </w:r>
          </w:p>
          <w:p w14:paraId="0C8383AF" w14:textId="7BC7ECDF" w:rsidR="00DA6EAA" w:rsidRPr="00CF0992" w:rsidRDefault="00DA6EAA" w:rsidP="00B41AE0">
            <w:pPr>
              <w:autoSpaceDE w:val="0"/>
              <w:autoSpaceDN w:val="0"/>
              <w:adjustRightInd w:val="0"/>
              <w:rPr>
                <w:rFonts w:cstheme="minorHAnsi"/>
              </w:rPr>
            </w:pPr>
            <w:r w:rsidRPr="00CF0992">
              <w:rPr>
                <w:rFonts w:cstheme="minorHAnsi"/>
              </w:rPr>
              <w:t>Unfortunately</w:t>
            </w:r>
            <w:r w:rsidR="00C4627B" w:rsidRPr="00CF0992">
              <w:rPr>
                <w:rFonts w:cstheme="minorHAnsi"/>
              </w:rPr>
              <w:t>,</w:t>
            </w:r>
            <w:r w:rsidRPr="00CF0992">
              <w:rPr>
                <w:rFonts w:cstheme="minorHAnsi"/>
              </w:rPr>
              <w:t xml:space="preserve"> none is from a dated context</w:t>
            </w:r>
            <w:r w:rsidR="00C87CD6" w:rsidRPr="00CF0992">
              <w:rPr>
                <w:rFonts w:cstheme="minorHAnsi"/>
              </w:rPr>
              <w:t xml:space="preserve">. Swift 2019, </w:t>
            </w:r>
            <w:r w:rsidR="00C623D2" w:rsidRPr="00CF0992">
              <w:rPr>
                <w:rFonts w:cstheme="minorHAnsi"/>
              </w:rPr>
              <w:t>35</w:t>
            </w:r>
            <w:r w:rsidR="00D06F9F">
              <w:rPr>
                <w:rFonts w:cstheme="minorHAnsi"/>
              </w:rPr>
              <w:t>–</w:t>
            </w:r>
            <w:r w:rsidR="00C623D2" w:rsidRPr="00CF0992">
              <w:rPr>
                <w:rFonts w:cstheme="minorHAnsi"/>
              </w:rPr>
              <w:t>38.</w:t>
            </w:r>
          </w:p>
        </w:tc>
      </w:tr>
      <w:tr w:rsidR="00623F23" w:rsidRPr="00CF0992" w14:paraId="1B44713C" w14:textId="77777777" w:rsidTr="00C87CD6">
        <w:tc>
          <w:tcPr>
            <w:tcW w:w="2122" w:type="dxa"/>
            <w:vMerge/>
          </w:tcPr>
          <w:p w14:paraId="68E6668C" w14:textId="77777777" w:rsidR="00623F23" w:rsidRPr="00CF0992" w:rsidRDefault="00623F23" w:rsidP="00B41AE0">
            <w:pPr>
              <w:autoSpaceDE w:val="0"/>
              <w:autoSpaceDN w:val="0"/>
              <w:adjustRightInd w:val="0"/>
              <w:rPr>
                <w:rFonts w:cstheme="minorHAnsi"/>
              </w:rPr>
            </w:pPr>
          </w:p>
        </w:tc>
        <w:tc>
          <w:tcPr>
            <w:tcW w:w="2976" w:type="dxa"/>
          </w:tcPr>
          <w:p w14:paraId="69F8E8FD" w14:textId="6636A674" w:rsidR="00623F23" w:rsidRPr="00CF0992" w:rsidRDefault="00623F23" w:rsidP="00B41AE0">
            <w:pPr>
              <w:autoSpaceDE w:val="0"/>
              <w:autoSpaceDN w:val="0"/>
              <w:adjustRightInd w:val="0"/>
              <w:rPr>
                <w:rFonts w:cstheme="minorHAnsi"/>
              </w:rPr>
            </w:pPr>
            <w:r w:rsidRPr="00CF0992">
              <w:rPr>
                <w:rFonts w:cstheme="minorHAnsi"/>
              </w:rPr>
              <w:t>Bracelets made into smaller rings, or pulled open into strips and/or cut up</w:t>
            </w:r>
          </w:p>
        </w:tc>
        <w:tc>
          <w:tcPr>
            <w:tcW w:w="3918" w:type="dxa"/>
          </w:tcPr>
          <w:p w14:paraId="0D0F33D7" w14:textId="67F31972" w:rsidR="00623F23" w:rsidRPr="00CF0992" w:rsidRDefault="00007D47" w:rsidP="00B41AE0">
            <w:pPr>
              <w:autoSpaceDE w:val="0"/>
              <w:autoSpaceDN w:val="0"/>
              <w:adjustRightInd w:val="0"/>
              <w:rPr>
                <w:rFonts w:cstheme="minorHAnsi"/>
              </w:rPr>
            </w:pPr>
            <w:r w:rsidRPr="00CF0992">
              <w:rPr>
                <w:rFonts w:cstheme="minorHAnsi"/>
              </w:rPr>
              <w:t xml:space="preserve">Multiple examples </w:t>
            </w:r>
            <w:r w:rsidR="00C623D2" w:rsidRPr="00CF0992">
              <w:rPr>
                <w:rFonts w:cstheme="minorHAnsi"/>
              </w:rPr>
              <w:t xml:space="preserve">from </w:t>
            </w:r>
            <w:r w:rsidRPr="00CF0992">
              <w:rPr>
                <w:rFonts w:cstheme="minorHAnsi"/>
              </w:rPr>
              <w:t>Swift 2012</w:t>
            </w:r>
            <w:r w:rsidR="006B5B75" w:rsidRPr="00CF0992">
              <w:rPr>
                <w:rFonts w:cstheme="minorHAnsi"/>
              </w:rPr>
              <w:t>; most context dates are late fourth to early fifth c. or later</w:t>
            </w:r>
            <w:r w:rsidR="004826B4" w:rsidRPr="00CF0992">
              <w:rPr>
                <w:rFonts w:cstheme="minorHAnsi"/>
              </w:rPr>
              <w:t>; there are also some from fifth and sixth century Anglo-Saxon contexts.</w:t>
            </w:r>
          </w:p>
        </w:tc>
      </w:tr>
      <w:tr w:rsidR="00623F23" w:rsidRPr="00CF0992" w14:paraId="729BB023" w14:textId="77777777" w:rsidTr="00C87CD6">
        <w:tc>
          <w:tcPr>
            <w:tcW w:w="2122" w:type="dxa"/>
            <w:vMerge/>
          </w:tcPr>
          <w:p w14:paraId="2A330BA8" w14:textId="77777777" w:rsidR="00623F23" w:rsidRPr="00CF0992" w:rsidRDefault="00623F23" w:rsidP="00B41AE0">
            <w:pPr>
              <w:autoSpaceDE w:val="0"/>
              <w:autoSpaceDN w:val="0"/>
              <w:adjustRightInd w:val="0"/>
              <w:rPr>
                <w:rFonts w:cstheme="minorHAnsi"/>
              </w:rPr>
            </w:pPr>
          </w:p>
        </w:tc>
        <w:tc>
          <w:tcPr>
            <w:tcW w:w="2976" w:type="dxa"/>
          </w:tcPr>
          <w:p w14:paraId="0352E79A" w14:textId="3B72082C" w:rsidR="00623F23" w:rsidRPr="00CF0992" w:rsidRDefault="00623F23" w:rsidP="00B41AE0">
            <w:pPr>
              <w:autoSpaceDE w:val="0"/>
              <w:autoSpaceDN w:val="0"/>
              <w:adjustRightInd w:val="0"/>
              <w:rPr>
                <w:rFonts w:cstheme="minorHAnsi"/>
              </w:rPr>
            </w:pPr>
            <w:r w:rsidRPr="00CF0992">
              <w:rPr>
                <w:rFonts w:cstheme="minorHAnsi"/>
              </w:rPr>
              <w:t>Penannular brooch made into child-sized bracelet</w:t>
            </w:r>
          </w:p>
        </w:tc>
        <w:tc>
          <w:tcPr>
            <w:tcW w:w="3918" w:type="dxa"/>
          </w:tcPr>
          <w:p w14:paraId="1E8BC1EF" w14:textId="46AD6665" w:rsidR="00623F23" w:rsidRPr="00CF0992" w:rsidRDefault="00623F23" w:rsidP="00B41AE0">
            <w:pPr>
              <w:autoSpaceDE w:val="0"/>
              <w:autoSpaceDN w:val="0"/>
              <w:adjustRightInd w:val="0"/>
              <w:rPr>
                <w:rFonts w:cstheme="minorHAnsi"/>
              </w:rPr>
            </w:pPr>
            <w:r w:rsidRPr="00CF0992">
              <w:rPr>
                <w:rFonts w:cstheme="minorHAnsi"/>
              </w:rPr>
              <w:t>Wattle Syke c. 375 to early 5</w:t>
            </w:r>
            <w:r w:rsidRPr="00CF0992">
              <w:rPr>
                <w:rFonts w:cstheme="minorHAnsi"/>
                <w:vertAlign w:val="superscript"/>
              </w:rPr>
              <w:t>th</w:t>
            </w:r>
            <w:r w:rsidRPr="00CF0992">
              <w:rPr>
                <w:rFonts w:cstheme="minorHAnsi"/>
              </w:rPr>
              <w:t xml:space="preserve"> c. Swift 2014; Cool </w:t>
            </w:r>
            <w:r w:rsidR="00C87CD6" w:rsidRPr="00CF0992">
              <w:rPr>
                <w:rFonts w:cstheme="minorHAnsi"/>
              </w:rPr>
              <w:t>2013</w:t>
            </w:r>
            <w:r w:rsidR="00315F7C" w:rsidRPr="00CF0992">
              <w:rPr>
                <w:rFonts w:cstheme="minorHAnsi"/>
              </w:rPr>
              <w:t xml:space="preserve">, </w:t>
            </w:r>
            <w:r w:rsidR="000C2471" w:rsidRPr="00CF0992">
              <w:rPr>
                <w:rFonts w:cstheme="minorHAnsi"/>
              </w:rPr>
              <w:t>194</w:t>
            </w:r>
            <w:r w:rsidR="00D06F9F">
              <w:rPr>
                <w:rFonts w:cstheme="minorHAnsi"/>
              </w:rPr>
              <w:t>–</w:t>
            </w:r>
            <w:r w:rsidR="000C2471" w:rsidRPr="00CF0992">
              <w:rPr>
                <w:rFonts w:cstheme="minorHAnsi"/>
              </w:rPr>
              <w:t>5</w:t>
            </w:r>
            <w:r w:rsidR="00315F7C" w:rsidRPr="00CF0992">
              <w:rPr>
                <w:rFonts w:cstheme="minorHAnsi"/>
              </w:rPr>
              <w:t>. Worn at burial by child age c. 3</w:t>
            </w:r>
            <w:r w:rsidR="00D06F9F">
              <w:rPr>
                <w:rFonts w:cstheme="minorHAnsi"/>
              </w:rPr>
              <w:t>–</w:t>
            </w:r>
            <w:r w:rsidR="00315F7C" w:rsidRPr="00CF0992">
              <w:rPr>
                <w:rFonts w:cstheme="minorHAnsi"/>
              </w:rPr>
              <w:t>5 years</w:t>
            </w:r>
            <w:r w:rsidR="000C2471" w:rsidRPr="00CF0992">
              <w:rPr>
                <w:rFonts w:cstheme="minorHAnsi"/>
              </w:rPr>
              <w:t xml:space="preserve"> along with cut-down bracelet</w:t>
            </w:r>
            <w:r w:rsidR="00315F7C" w:rsidRPr="00CF0992">
              <w:rPr>
                <w:rFonts w:cstheme="minorHAnsi"/>
              </w:rPr>
              <w:t>.</w:t>
            </w:r>
          </w:p>
        </w:tc>
      </w:tr>
    </w:tbl>
    <w:p w14:paraId="397D924B" w14:textId="77777777" w:rsidR="0044143F" w:rsidRPr="00CF0992" w:rsidRDefault="0044143F" w:rsidP="00CA1F2B">
      <w:pPr>
        <w:rPr>
          <w:rFonts w:cstheme="minorHAnsi"/>
        </w:rPr>
      </w:pPr>
    </w:p>
    <w:p w14:paraId="6C6AD652" w14:textId="0CC2C7C6" w:rsidR="001F7A79" w:rsidRPr="00CF0992" w:rsidRDefault="001F029A" w:rsidP="001F7A79">
      <w:pPr>
        <w:autoSpaceDE w:val="0"/>
        <w:autoSpaceDN w:val="0"/>
        <w:adjustRightInd w:val="0"/>
        <w:rPr>
          <w:rFonts w:cstheme="minorHAnsi"/>
        </w:rPr>
      </w:pPr>
      <w:r w:rsidRPr="00CF0992">
        <w:rPr>
          <w:rFonts w:cstheme="minorHAnsi"/>
        </w:rPr>
        <w:lastRenderedPageBreak/>
        <w:t>Give</w:t>
      </w:r>
      <w:r w:rsidR="00DD2524">
        <w:rPr>
          <w:rFonts w:cstheme="minorHAnsi"/>
        </w:rPr>
        <w:t>n</w:t>
      </w:r>
      <w:r w:rsidRPr="00CF0992">
        <w:rPr>
          <w:rFonts w:cstheme="minorHAnsi"/>
        </w:rPr>
        <w:t xml:space="preserve"> the examples</w:t>
      </w:r>
      <w:r w:rsidR="000A7549" w:rsidRPr="00CF0992">
        <w:rPr>
          <w:rFonts w:cstheme="minorHAnsi"/>
        </w:rPr>
        <w:t xml:space="preserve"> </w:t>
      </w:r>
      <w:r w:rsidR="00DD2524">
        <w:rPr>
          <w:rFonts w:cstheme="minorHAnsi"/>
        </w:rPr>
        <w:t xml:space="preserve">discussed above, </w:t>
      </w:r>
      <w:r w:rsidRPr="00CF0992">
        <w:rPr>
          <w:rFonts w:cstheme="minorHAnsi"/>
        </w:rPr>
        <w:t>what are the implications for the ways the objects were valued?</w:t>
      </w:r>
      <w:r w:rsidR="00CC60B2" w:rsidRPr="00CF0992">
        <w:rPr>
          <w:rFonts w:cstheme="minorHAnsi"/>
        </w:rPr>
        <w:t xml:space="preserve"> From the archaeological evidence some snapshots of the changing uses and values of these objects can be glimpsed. </w:t>
      </w:r>
      <w:r w:rsidR="006D1271" w:rsidRPr="00CF0992">
        <w:rPr>
          <w:rFonts w:cstheme="minorHAnsi"/>
        </w:rPr>
        <w:t xml:space="preserve">We can look at both </w:t>
      </w:r>
      <w:r w:rsidR="00CC60B2" w:rsidRPr="00CF0992">
        <w:rPr>
          <w:rFonts w:cstheme="minorHAnsi"/>
        </w:rPr>
        <w:t>broad trends in use and value</w:t>
      </w:r>
      <w:r w:rsidR="006D1271" w:rsidRPr="00CF0992">
        <w:rPr>
          <w:rFonts w:cstheme="minorHAnsi"/>
        </w:rPr>
        <w:t xml:space="preserve"> and the</w:t>
      </w:r>
      <w:r w:rsidR="00CC60B2" w:rsidRPr="00CF0992">
        <w:rPr>
          <w:rFonts w:cstheme="minorHAnsi"/>
        </w:rPr>
        <w:t xml:space="preserve"> individualised and contingent values of the objects attributed by </w:t>
      </w:r>
      <w:proofErr w:type="gramStart"/>
      <w:r w:rsidR="00CC60B2" w:rsidRPr="00CF0992">
        <w:rPr>
          <w:rFonts w:cstheme="minorHAnsi"/>
        </w:rPr>
        <w:t>particular users</w:t>
      </w:r>
      <w:proofErr w:type="gramEnd"/>
      <w:r w:rsidR="00CC60B2" w:rsidRPr="00CF0992">
        <w:rPr>
          <w:rFonts w:cstheme="minorHAnsi"/>
        </w:rPr>
        <w:t xml:space="preserve"> or within </w:t>
      </w:r>
      <w:r w:rsidR="00673E7B" w:rsidRPr="00CF0992">
        <w:rPr>
          <w:rFonts w:cstheme="minorHAnsi"/>
        </w:rPr>
        <w:t>individual</w:t>
      </w:r>
      <w:r w:rsidR="00CC60B2" w:rsidRPr="00CF0992">
        <w:rPr>
          <w:rFonts w:cstheme="minorHAnsi"/>
        </w:rPr>
        <w:t xml:space="preserve"> contexts</w:t>
      </w:r>
      <w:r w:rsidR="0044143F" w:rsidRPr="00CF0992">
        <w:rPr>
          <w:rFonts w:cstheme="minorHAnsi"/>
        </w:rPr>
        <w:t xml:space="preserve">, </w:t>
      </w:r>
      <w:r w:rsidR="006D1271" w:rsidRPr="00CF0992">
        <w:rPr>
          <w:rFonts w:cstheme="minorHAnsi"/>
        </w:rPr>
        <w:t>although it can be difficult to reach conclusive opinions.</w:t>
      </w:r>
    </w:p>
    <w:p w14:paraId="0D40850B" w14:textId="50115141" w:rsidR="00AE5171" w:rsidRDefault="0017305D" w:rsidP="001F7A79">
      <w:pPr>
        <w:autoSpaceDE w:val="0"/>
        <w:autoSpaceDN w:val="0"/>
        <w:adjustRightInd w:val="0"/>
        <w:rPr>
          <w:rFonts w:cstheme="minorHAnsi"/>
        </w:rPr>
      </w:pPr>
      <w:r w:rsidRPr="00CF0992">
        <w:rPr>
          <w:rFonts w:cstheme="minorHAnsi"/>
        </w:rPr>
        <w:t xml:space="preserve">The broad trend </w:t>
      </w:r>
      <w:r w:rsidR="001F7A79" w:rsidRPr="00CF0992">
        <w:rPr>
          <w:rFonts w:cstheme="minorHAnsi"/>
        </w:rPr>
        <w:t xml:space="preserve">appears to be related to the collapse of production of metal objects at the end of the Roman period, and thus one of the types of value in play is scarcity value. Attempts to continue living </w:t>
      </w:r>
      <w:r w:rsidR="00EF7E14">
        <w:rPr>
          <w:rFonts w:cstheme="minorHAnsi"/>
        </w:rPr>
        <w:t>the same kind of</w:t>
      </w:r>
      <w:r w:rsidR="001F7A79" w:rsidRPr="00CF0992">
        <w:rPr>
          <w:rFonts w:cstheme="minorHAnsi"/>
        </w:rPr>
        <w:t xml:space="preserve"> lifestyle in the face of shortages of artefacts</w:t>
      </w:r>
      <w:r w:rsidR="00DB1367" w:rsidRPr="00CF0992">
        <w:rPr>
          <w:rFonts w:cstheme="minorHAnsi"/>
        </w:rPr>
        <w:t>,</w:t>
      </w:r>
      <w:r w:rsidR="001F7A79" w:rsidRPr="00CF0992">
        <w:rPr>
          <w:rFonts w:cstheme="minorHAnsi"/>
        </w:rPr>
        <w:t xml:space="preserve"> raw materials</w:t>
      </w:r>
      <w:r w:rsidR="00DB1367" w:rsidRPr="00CF0992">
        <w:rPr>
          <w:rFonts w:cstheme="minorHAnsi"/>
        </w:rPr>
        <w:t>, and access to technology</w:t>
      </w:r>
      <w:r w:rsidR="001F7A79" w:rsidRPr="00CF0992">
        <w:rPr>
          <w:rFonts w:cstheme="minorHAnsi"/>
        </w:rPr>
        <w:t xml:space="preserve"> will have encouraged behaviours such as curation and repair</w:t>
      </w:r>
      <w:r w:rsidR="00AE5171">
        <w:rPr>
          <w:rFonts w:cstheme="minorHAnsi"/>
        </w:rPr>
        <w:t xml:space="preserve">. For instance, </w:t>
      </w:r>
      <w:r w:rsidR="00DF6881">
        <w:rPr>
          <w:rFonts w:cstheme="minorHAnsi"/>
        </w:rPr>
        <w:t>in</w:t>
      </w:r>
      <w:r w:rsidR="008838A3">
        <w:rPr>
          <w:rFonts w:cstheme="minorHAnsi"/>
        </w:rPr>
        <w:t xml:space="preserve"> Roman Britain and more widely within the empire</w:t>
      </w:r>
      <w:r w:rsidR="00DF6881">
        <w:rPr>
          <w:rFonts w:cstheme="minorHAnsi"/>
        </w:rPr>
        <w:t xml:space="preserve">, </w:t>
      </w:r>
      <w:r w:rsidR="00AE5171">
        <w:rPr>
          <w:rFonts w:cstheme="minorHAnsi"/>
        </w:rPr>
        <w:t>bracelets</w:t>
      </w:r>
      <w:r w:rsidR="008838A3">
        <w:rPr>
          <w:rFonts w:cstheme="minorHAnsi"/>
        </w:rPr>
        <w:t xml:space="preserve"> (and other jewellery)</w:t>
      </w:r>
      <w:r w:rsidR="00AE5171">
        <w:rPr>
          <w:rFonts w:cstheme="minorHAnsi"/>
        </w:rPr>
        <w:t xml:space="preserve"> seem to have been important in the construction of age-related identities, with multiple bracelets found in the graves of children and adolescents, and fewer in the graves of adult women (</w:t>
      </w:r>
      <w:r w:rsidR="00DF6881">
        <w:rPr>
          <w:rFonts w:cstheme="minorHAnsi"/>
        </w:rPr>
        <w:t xml:space="preserve">Swift 2000, </w:t>
      </w:r>
      <w:r w:rsidR="008838A3">
        <w:rPr>
          <w:rFonts w:cstheme="minorHAnsi"/>
        </w:rPr>
        <w:t>179; Oliver 2000</w:t>
      </w:r>
      <w:r w:rsidR="00AE5171">
        <w:rPr>
          <w:rFonts w:cstheme="minorHAnsi"/>
        </w:rPr>
        <w:t>). When bracelets become scarce, adult bracelets are sometimes cut</w:t>
      </w:r>
      <w:r w:rsidR="00767B13">
        <w:rPr>
          <w:rFonts w:cstheme="minorHAnsi"/>
        </w:rPr>
        <w:t xml:space="preserve"> </w:t>
      </w:r>
      <w:r w:rsidR="00AE5171">
        <w:rPr>
          <w:rFonts w:cstheme="minorHAnsi"/>
        </w:rPr>
        <w:t>down so that children can still wear them, as evidence from late Roman burials</w:t>
      </w:r>
      <w:r w:rsidR="00C33582">
        <w:rPr>
          <w:rFonts w:cstheme="minorHAnsi"/>
        </w:rPr>
        <w:t xml:space="preserve"> shows</w:t>
      </w:r>
      <w:r w:rsidR="00DF6881">
        <w:rPr>
          <w:rFonts w:cstheme="minorHAnsi"/>
        </w:rPr>
        <w:t xml:space="preserve"> </w:t>
      </w:r>
      <w:r w:rsidR="00AE5171">
        <w:rPr>
          <w:rFonts w:cstheme="minorHAnsi"/>
        </w:rPr>
        <w:t>(Swift 20</w:t>
      </w:r>
      <w:r w:rsidR="00767B13">
        <w:rPr>
          <w:rFonts w:cstheme="minorHAnsi"/>
        </w:rPr>
        <w:t>12</w:t>
      </w:r>
      <w:r w:rsidR="00AE5171">
        <w:rPr>
          <w:rFonts w:cstheme="minorHAnsi"/>
        </w:rPr>
        <w:t xml:space="preserve">, </w:t>
      </w:r>
      <w:r w:rsidR="00DF6881">
        <w:rPr>
          <w:rFonts w:cstheme="minorHAnsi"/>
        </w:rPr>
        <w:t>181–2</w:t>
      </w:r>
      <w:r w:rsidR="00AE5171">
        <w:rPr>
          <w:rFonts w:cstheme="minorHAnsi"/>
        </w:rPr>
        <w:t>).</w:t>
      </w:r>
    </w:p>
    <w:p w14:paraId="11B07E79" w14:textId="2776C169" w:rsidR="001F7A79" w:rsidRPr="00CF0992" w:rsidRDefault="00DB1367" w:rsidP="001F7A79">
      <w:pPr>
        <w:autoSpaceDE w:val="0"/>
        <w:autoSpaceDN w:val="0"/>
        <w:adjustRightInd w:val="0"/>
        <w:rPr>
          <w:rFonts w:cstheme="minorHAnsi"/>
        </w:rPr>
      </w:pPr>
      <w:r w:rsidRPr="00CF0992">
        <w:rPr>
          <w:rFonts w:cstheme="minorHAnsi"/>
        </w:rPr>
        <w:t>W</w:t>
      </w:r>
      <w:r w:rsidR="001F7A79" w:rsidRPr="00CF0992">
        <w:rPr>
          <w:rFonts w:cstheme="minorHAnsi"/>
        </w:rPr>
        <w:t xml:space="preserve">ider cultural changes </w:t>
      </w:r>
      <w:r w:rsidR="00AE5171">
        <w:rPr>
          <w:rFonts w:cstheme="minorHAnsi"/>
        </w:rPr>
        <w:t xml:space="preserve">eventually </w:t>
      </w:r>
      <w:r w:rsidR="001F7A79" w:rsidRPr="00CF0992">
        <w:rPr>
          <w:rFonts w:cstheme="minorHAnsi"/>
        </w:rPr>
        <w:t xml:space="preserve">meant that </w:t>
      </w:r>
      <w:r w:rsidR="00AE5171">
        <w:rPr>
          <w:rFonts w:cstheme="minorHAnsi"/>
        </w:rPr>
        <w:t xml:space="preserve">objects in </w:t>
      </w:r>
      <w:r w:rsidR="001F7A79" w:rsidRPr="00CF0992">
        <w:rPr>
          <w:rFonts w:cstheme="minorHAnsi"/>
        </w:rPr>
        <w:t>some copper alloy artefact categories</w:t>
      </w:r>
      <w:r w:rsidRPr="00CF0992">
        <w:rPr>
          <w:rFonts w:cstheme="minorHAnsi"/>
        </w:rPr>
        <w:t>,  bracelets</w:t>
      </w:r>
      <w:r w:rsidR="00AE5171">
        <w:rPr>
          <w:rFonts w:cstheme="minorHAnsi"/>
        </w:rPr>
        <w:t xml:space="preserve"> again being a relevant example</w:t>
      </w:r>
      <w:r w:rsidRPr="00CF0992">
        <w:rPr>
          <w:rFonts w:cstheme="minorHAnsi"/>
        </w:rPr>
        <w:t>,</w:t>
      </w:r>
      <w:r w:rsidR="001F7A79" w:rsidRPr="00CF0992">
        <w:rPr>
          <w:rFonts w:cstheme="minorHAnsi"/>
        </w:rPr>
        <w:t xml:space="preserve"> fell out of use</w:t>
      </w:r>
      <w:r w:rsidR="00AE5171">
        <w:rPr>
          <w:rFonts w:cstheme="minorHAnsi"/>
        </w:rPr>
        <w:t xml:space="preserve">. </w:t>
      </w:r>
      <w:r w:rsidR="00767B13">
        <w:rPr>
          <w:rFonts w:cstheme="minorHAnsi"/>
        </w:rPr>
        <w:t xml:space="preserve">Bracelets were very popular in the fourth century, but they are uncommon as </w:t>
      </w:r>
      <w:proofErr w:type="gramStart"/>
      <w:r w:rsidR="00767B13">
        <w:rPr>
          <w:rFonts w:cstheme="minorHAnsi"/>
        </w:rPr>
        <w:t>newly-made</w:t>
      </w:r>
      <w:proofErr w:type="gramEnd"/>
      <w:r w:rsidR="00767B13">
        <w:rPr>
          <w:rFonts w:cstheme="minorHAnsi"/>
        </w:rPr>
        <w:t xml:space="preserve"> objects in the fifth century. They were supplanted by brooches, which become </w:t>
      </w:r>
      <w:r w:rsidR="00C33582">
        <w:rPr>
          <w:rFonts w:cstheme="minorHAnsi"/>
        </w:rPr>
        <w:t xml:space="preserve">increasingly </w:t>
      </w:r>
      <w:r w:rsidR="00767B13">
        <w:rPr>
          <w:rFonts w:cstheme="minorHAnsi"/>
        </w:rPr>
        <w:t>important as dress objects</w:t>
      </w:r>
      <w:r w:rsidR="005D1DA6">
        <w:rPr>
          <w:rFonts w:cstheme="minorHAnsi"/>
        </w:rPr>
        <w:t xml:space="preserve"> (Collins 2010)</w:t>
      </w:r>
      <w:r w:rsidR="00767B13">
        <w:rPr>
          <w:rFonts w:cstheme="minorHAnsi"/>
        </w:rPr>
        <w:t xml:space="preserve">. These </w:t>
      </w:r>
      <w:r w:rsidR="00767B13" w:rsidRPr="00CF0992">
        <w:rPr>
          <w:rFonts w:cstheme="minorHAnsi"/>
        </w:rPr>
        <w:t>changes in cultural values</w:t>
      </w:r>
      <w:r w:rsidR="00C33582">
        <w:rPr>
          <w:rFonts w:cstheme="minorHAnsi"/>
        </w:rPr>
        <w:t xml:space="preserve"> </w:t>
      </w:r>
      <w:r w:rsidR="00767B13" w:rsidRPr="00CF0992">
        <w:rPr>
          <w:rFonts w:cstheme="minorHAnsi"/>
        </w:rPr>
        <w:t xml:space="preserve">meant </w:t>
      </w:r>
      <w:r w:rsidR="00767B13">
        <w:rPr>
          <w:rFonts w:cstheme="minorHAnsi"/>
        </w:rPr>
        <w:t xml:space="preserve">older </w:t>
      </w:r>
      <w:r w:rsidR="00767B13" w:rsidRPr="00CF0992">
        <w:rPr>
          <w:rFonts w:cstheme="minorHAnsi"/>
        </w:rPr>
        <w:t xml:space="preserve">objects became obsolete in their original form—at least in some </w:t>
      </w:r>
      <w:proofErr w:type="gramStart"/>
      <w:r w:rsidR="00767B13" w:rsidRPr="00CF0992">
        <w:rPr>
          <w:rFonts w:cstheme="minorHAnsi"/>
        </w:rPr>
        <w:t>particular contexts</w:t>
      </w:r>
      <w:proofErr w:type="gramEnd"/>
      <w:r w:rsidR="00767B13">
        <w:rPr>
          <w:rFonts w:cstheme="minorHAnsi"/>
        </w:rPr>
        <w:t xml:space="preserve">. </w:t>
      </w:r>
      <w:r w:rsidR="004169C6">
        <w:rPr>
          <w:rFonts w:cstheme="minorHAnsi"/>
        </w:rPr>
        <w:t>L</w:t>
      </w:r>
      <w:r w:rsidR="00767B13">
        <w:rPr>
          <w:rFonts w:cstheme="minorHAnsi"/>
        </w:rPr>
        <w:t>ate Roman bracelets, in a later phase of use,</w:t>
      </w:r>
      <w:r w:rsidR="00AE5171">
        <w:rPr>
          <w:rFonts w:cstheme="minorHAnsi"/>
        </w:rPr>
        <w:t xml:space="preserve"> </w:t>
      </w:r>
      <w:r w:rsidR="00767B13">
        <w:rPr>
          <w:rFonts w:cstheme="minorHAnsi"/>
        </w:rPr>
        <w:t>appear to have been</w:t>
      </w:r>
      <w:r w:rsidR="001F7A79" w:rsidRPr="00CF0992">
        <w:rPr>
          <w:rFonts w:cstheme="minorHAnsi"/>
        </w:rPr>
        <w:t xml:space="preserve"> valued primarily for their material, since they were very extensively modified and transformed</w:t>
      </w:r>
      <w:r w:rsidR="00A67D19">
        <w:rPr>
          <w:rFonts w:cstheme="minorHAnsi"/>
        </w:rPr>
        <w:t>. A large number were made into smaller rings that are much too small to be used as bracelets, even for infants, and some were also pulled open and flattened into strips</w:t>
      </w:r>
      <w:r w:rsidR="00767B13">
        <w:rPr>
          <w:rFonts w:cstheme="minorHAnsi"/>
        </w:rPr>
        <w:t xml:space="preserve"> </w:t>
      </w:r>
      <w:r w:rsidR="00767B13" w:rsidRPr="00CF0992">
        <w:rPr>
          <w:rFonts w:cstheme="minorHAnsi"/>
        </w:rPr>
        <w:t>(see Swift 2012; Swift 2019)</w:t>
      </w:r>
      <w:r w:rsidR="001F7A79" w:rsidRPr="00CF0992">
        <w:rPr>
          <w:rFonts w:cstheme="minorHAnsi"/>
        </w:rPr>
        <w:t>.</w:t>
      </w:r>
    </w:p>
    <w:p w14:paraId="1E9AD5A5" w14:textId="4CFA9428" w:rsidR="00DC2E32" w:rsidRPr="00901612" w:rsidRDefault="000E06C7" w:rsidP="000E06C7">
      <w:pPr>
        <w:autoSpaceDE w:val="0"/>
        <w:autoSpaceDN w:val="0"/>
        <w:adjustRightInd w:val="0"/>
        <w:rPr>
          <w:rFonts w:cstheme="minorHAnsi"/>
        </w:rPr>
      </w:pPr>
      <w:r w:rsidRPr="00901612">
        <w:rPr>
          <w:rFonts w:cstheme="minorHAnsi"/>
        </w:rPr>
        <w:t xml:space="preserve">[INSERT </w:t>
      </w:r>
      <w:r w:rsidR="00DC2E32" w:rsidRPr="00901612">
        <w:rPr>
          <w:rFonts w:cstheme="minorHAnsi"/>
        </w:rPr>
        <w:t>FIGURE 1A</w:t>
      </w:r>
      <w:r w:rsidR="00577CF0">
        <w:rPr>
          <w:rFonts w:cstheme="minorHAnsi"/>
        </w:rPr>
        <w:t>-</w:t>
      </w:r>
      <w:r w:rsidRPr="00901612">
        <w:rPr>
          <w:rFonts w:cstheme="minorHAnsi"/>
        </w:rPr>
        <w:t>1B HERE]</w:t>
      </w:r>
    </w:p>
    <w:p w14:paraId="13EC51C4" w14:textId="77777777" w:rsidR="006D5010" w:rsidRDefault="004D1863" w:rsidP="001F7A79">
      <w:pPr>
        <w:autoSpaceDE w:val="0"/>
        <w:autoSpaceDN w:val="0"/>
        <w:adjustRightInd w:val="0"/>
        <w:rPr>
          <w:rFonts w:cstheme="minorHAnsi"/>
        </w:rPr>
      </w:pPr>
      <w:r>
        <w:rPr>
          <w:rFonts w:cstheme="minorHAnsi"/>
        </w:rPr>
        <w:t xml:space="preserve">A </w:t>
      </w:r>
      <w:r w:rsidR="00577CF0">
        <w:rPr>
          <w:rFonts w:cstheme="minorHAnsi"/>
        </w:rPr>
        <w:t xml:space="preserve">quoit brooch style </w:t>
      </w:r>
      <w:r w:rsidR="00DB1367" w:rsidRPr="00CF0992">
        <w:rPr>
          <w:rFonts w:cstheme="minorHAnsi"/>
        </w:rPr>
        <w:t xml:space="preserve">belt set from grave 34 at </w:t>
      </w:r>
      <w:proofErr w:type="spellStart"/>
      <w:r w:rsidR="00DB1367" w:rsidRPr="00CF0992">
        <w:rPr>
          <w:rFonts w:cstheme="minorHAnsi"/>
        </w:rPr>
        <w:t>Highdown</w:t>
      </w:r>
      <w:proofErr w:type="spellEnd"/>
      <w:r w:rsidR="00DB1367" w:rsidRPr="00CF0992">
        <w:rPr>
          <w:rFonts w:cstheme="minorHAnsi"/>
        </w:rPr>
        <w:t xml:space="preserve"> cemetery is an example </w:t>
      </w:r>
      <w:r w:rsidR="003D6A81" w:rsidRPr="00CF0992">
        <w:rPr>
          <w:rFonts w:cstheme="minorHAnsi"/>
        </w:rPr>
        <w:t>of</w:t>
      </w:r>
      <w:r w:rsidR="00DB1367" w:rsidRPr="00CF0992">
        <w:rPr>
          <w:rFonts w:cstheme="minorHAnsi"/>
        </w:rPr>
        <w:t xml:space="preserve"> </w:t>
      </w:r>
      <w:r>
        <w:rPr>
          <w:rFonts w:cstheme="minorHAnsi"/>
        </w:rPr>
        <w:t xml:space="preserve">an object possessing </w:t>
      </w:r>
      <w:r w:rsidR="00DB1367" w:rsidRPr="00CF0992">
        <w:rPr>
          <w:rFonts w:cstheme="minorHAnsi"/>
        </w:rPr>
        <w:t>scarcity value</w:t>
      </w:r>
      <w:r w:rsidR="004169C6">
        <w:rPr>
          <w:rFonts w:cstheme="minorHAnsi"/>
        </w:rPr>
        <w:t xml:space="preserve"> (Figure 1A). </w:t>
      </w:r>
      <w:r w:rsidR="004169C6" w:rsidRPr="00CF0992">
        <w:rPr>
          <w:rFonts w:cstheme="minorHAnsi"/>
        </w:rPr>
        <w:t>The cemetery is broadly categorised as Anglo-Saxon, but many graves contained Roman material culture</w:t>
      </w:r>
      <w:r w:rsidR="004169C6">
        <w:rPr>
          <w:rFonts w:cstheme="minorHAnsi"/>
        </w:rPr>
        <w:t xml:space="preserve"> (see, for example, Welch 1983, 619, fig. 103)</w:t>
      </w:r>
      <w:r w:rsidR="004169C6" w:rsidRPr="00CF0992">
        <w:rPr>
          <w:rFonts w:cstheme="minorHAnsi"/>
        </w:rPr>
        <w:t>.</w:t>
      </w:r>
      <w:r w:rsidR="004169C6">
        <w:rPr>
          <w:rFonts w:cstheme="minorHAnsi"/>
        </w:rPr>
        <w:t xml:space="preserve"> Grave 34 has been dated to the later fifth/earlier sixth century (Swift 2019, Table 1).</w:t>
      </w:r>
      <w:r w:rsidR="004169C6" w:rsidRPr="00CF0992">
        <w:rPr>
          <w:rFonts w:cstheme="minorHAnsi"/>
        </w:rPr>
        <w:t xml:space="preserve"> The belt set is made up from different pieces that did not originally belong together. We can see from the comparison with the item below, a complete and homogenous belt set from Pont-de-Buis-les-</w:t>
      </w:r>
      <w:proofErr w:type="spellStart"/>
      <w:r w:rsidR="004169C6" w:rsidRPr="00CF0992">
        <w:rPr>
          <w:rFonts w:cstheme="minorHAnsi"/>
        </w:rPr>
        <w:t>Quimerch</w:t>
      </w:r>
      <w:proofErr w:type="spellEnd"/>
      <w:r w:rsidR="004169C6" w:rsidRPr="00CF0992">
        <w:rPr>
          <w:rFonts w:cstheme="minorHAnsi"/>
        </w:rPr>
        <w:t xml:space="preserve"> in Normandy</w:t>
      </w:r>
      <w:r w:rsidR="004169C6">
        <w:rPr>
          <w:rFonts w:cstheme="minorHAnsi"/>
        </w:rPr>
        <w:t xml:space="preserve"> (Figure 1B)</w:t>
      </w:r>
      <w:r w:rsidR="004169C6" w:rsidRPr="00CF0992">
        <w:rPr>
          <w:rFonts w:cstheme="minorHAnsi"/>
        </w:rPr>
        <w:t>, that the buckle frame comes from a similar set and has been repurposed, placing it with a kidney-shaped, gilded, cabochon-inlaid belt plate instead of the matching rectangular pieces that originally made up the set</w:t>
      </w:r>
      <w:r w:rsidR="004169C6">
        <w:rPr>
          <w:rFonts w:cstheme="minorHAnsi"/>
        </w:rPr>
        <w:t xml:space="preserve"> (Swift 2020, 436–8; Swift 2019). B</w:t>
      </w:r>
      <w:r w:rsidR="00737F09" w:rsidRPr="00737F09">
        <w:rPr>
          <w:rFonts w:cstheme="minorHAnsi"/>
        </w:rPr>
        <w:t>elt fittings remain</w:t>
      </w:r>
      <w:r w:rsidR="00737F09">
        <w:rPr>
          <w:rFonts w:cstheme="minorHAnsi"/>
        </w:rPr>
        <w:t>ed</w:t>
      </w:r>
      <w:r w:rsidR="00737F09" w:rsidRPr="00737F09">
        <w:rPr>
          <w:rFonts w:cstheme="minorHAnsi"/>
        </w:rPr>
        <w:t xml:space="preserve"> important in fifth-century dress culture (see Marzinzik</w:t>
      </w:r>
      <w:r w:rsidR="00737F09">
        <w:rPr>
          <w:rFonts w:cstheme="minorHAnsi"/>
        </w:rPr>
        <w:t xml:space="preserve"> 2003), </w:t>
      </w:r>
      <w:r w:rsidR="004169C6">
        <w:rPr>
          <w:rFonts w:cstheme="minorHAnsi"/>
        </w:rPr>
        <w:t xml:space="preserve">but </w:t>
      </w:r>
      <w:r w:rsidR="00DB1367" w:rsidRPr="00CF0992">
        <w:rPr>
          <w:rFonts w:cstheme="minorHAnsi"/>
        </w:rPr>
        <w:t xml:space="preserve">the technology to create newly made objects appears not to </w:t>
      </w:r>
      <w:r w:rsidR="004169C6">
        <w:rPr>
          <w:rFonts w:cstheme="minorHAnsi"/>
        </w:rPr>
        <w:t xml:space="preserve">have </w:t>
      </w:r>
      <w:r w:rsidR="00DB1367" w:rsidRPr="00CF0992">
        <w:rPr>
          <w:rFonts w:cstheme="minorHAnsi"/>
        </w:rPr>
        <w:t>be</w:t>
      </w:r>
      <w:r w:rsidR="004169C6">
        <w:rPr>
          <w:rFonts w:cstheme="minorHAnsi"/>
        </w:rPr>
        <w:t>en</w:t>
      </w:r>
      <w:r w:rsidR="00DB1367" w:rsidRPr="00CF0992">
        <w:rPr>
          <w:rFonts w:cstheme="minorHAnsi"/>
        </w:rPr>
        <w:t xml:space="preserve"> available</w:t>
      </w:r>
      <w:r w:rsidR="004169C6">
        <w:rPr>
          <w:rFonts w:cstheme="minorHAnsi"/>
        </w:rPr>
        <w:t>, and so extant components were re-used</w:t>
      </w:r>
      <w:r w:rsidR="00942523" w:rsidRPr="00CF0992">
        <w:rPr>
          <w:rFonts w:cstheme="minorHAnsi"/>
        </w:rPr>
        <w:t>—</w:t>
      </w:r>
      <w:r w:rsidR="00942523">
        <w:rPr>
          <w:rFonts w:cstheme="minorHAnsi"/>
        </w:rPr>
        <w:t>they had scarcity value</w:t>
      </w:r>
      <w:r w:rsidR="00DB1367" w:rsidRPr="00CF0992">
        <w:rPr>
          <w:rFonts w:cstheme="minorHAnsi"/>
        </w:rPr>
        <w:t xml:space="preserve">. </w:t>
      </w:r>
    </w:p>
    <w:p w14:paraId="0A02B0A5" w14:textId="18AE5391" w:rsidR="001F7A79" w:rsidRPr="00CF0992" w:rsidRDefault="004169C6" w:rsidP="001F7A79">
      <w:pPr>
        <w:autoSpaceDE w:val="0"/>
        <w:autoSpaceDN w:val="0"/>
        <w:adjustRightInd w:val="0"/>
        <w:rPr>
          <w:rFonts w:cstheme="minorHAnsi"/>
        </w:rPr>
      </w:pPr>
      <w:r>
        <w:rPr>
          <w:rFonts w:cstheme="minorHAnsi"/>
        </w:rPr>
        <w:t>The</w:t>
      </w:r>
      <w:r w:rsidR="0077595A">
        <w:rPr>
          <w:rFonts w:cstheme="minorHAnsi"/>
        </w:rPr>
        <w:t xml:space="preserve"> most obvious social value </w:t>
      </w:r>
      <w:r>
        <w:rPr>
          <w:rFonts w:cstheme="minorHAnsi"/>
        </w:rPr>
        <w:t xml:space="preserve">of the belt set </w:t>
      </w:r>
      <w:r w:rsidR="0077595A">
        <w:rPr>
          <w:rFonts w:cstheme="minorHAnsi"/>
        </w:rPr>
        <w:t>would be in the construction and communication of social status</w:t>
      </w:r>
      <w:r w:rsidR="00E26691">
        <w:rPr>
          <w:rFonts w:cstheme="minorHAnsi"/>
        </w:rPr>
        <w:t>.</w:t>
      </w:r>
      <w:r w:rsidR="006D5010">
        <w:rPr>
          <w:rFonts w:cstheme="minorHAnsi"/>
        </w:rPr>
        <w:t xml:space="preserve"> </w:t>
      </w:r>
      <w:r w:rsidR="001F7A79" w:rsidRPr="00CF0992">
        <w:rPr>
          <w:rFonts w:cstheme="minorHAnsi"/>
        </w:rPr>
        <w:t>Another perspective on value is also visible here</w:t>
      </w:r>
      <w:r w:rsidR="006D5010">
        <w:rPr>
          <w:rFonts w:cstheme="minorHAnsi"/>
        </w:rPr>
        <w:t>, however</w:t>
      </w:r>
      <w:r w:rsidR="001F7A79" w:rsidRPr="00CF0992">
        <w:rPr>
          <w:rFonts w:cstheme="minorHAnsi"/>
        </w:rPr>
        <w:t>. It can be seen in the photograph that the frame, plate</w:t>
      </w:r>
      <w:r w:rsidR="00DD2524">
        <w:rPr>
          <w:rFonts w:cstheme="minorHAnsi"/>
        </w:rPr>
        <w:t>,</w:t>
      </w:r>
      <w:r w:rsidR="001F7A79" w:rsidRPr="00CF0992">
        <w:rPr>
          <w:rFonts w:cstheme="minorHAnsi"/>
        </w:rPr>
        <w:t xml:space="preserve"> and connecting pieces look different in colour (not the gilding remnants but the bulk material used for each piece).  As part of my study of quoit brooch style objects, I undertook some compositional analysis of the objects (Swift 2019).</w:t>
      </w:r>
      <w:r w:rsidR="001F7A79" w:rsidRPr="00CF0992">
        <w:rPr>
          <w:rStyle w:val="FootnoteReference"/>
          <w:rFonts w:cstheme="minorHAnsi"/>
        </w:rPr>
        <w:footnoteReference w:id="1"/>
      </w:r>
      <w:r w:rsidR="001F7A79" w:rsidRPr="00CF0992">
        <w:rPr>
          <w:rFonts w:cstheme="minorHAnsi"/>
        </w:rPr>
        <w:t xml:space="preserve">  The belt set from </w:t>
      </w:r>
      <w:proofErr w:type="spellStart"/>
      <w:r w:rsidR="001F7A79" w:rsidRPr="00CF0992">
        <w:rPr>
          <w:rFonts w:cstheme="minorHAnsi"/>
        </w:rPr>
        <w:lastRenderedPageBreak/>
        <w:t>Highdown</w:t>
      </w:r>
      <w:proofErr w:type="spellEnd"/>
      <w:r w:rsidR="001F7A79" w:rsidRPr="00CF0992">
        <w:rPr>
          <w:rFonts w:cstheme="minorHAnsi"/>
        </w:rPr>
        <w:t xml:space="preserve"> grave 34 proved to have a buckle frame of gunmetal, and plate </w:t>
      </w:r>
      <w:r w:rsidR="00DD2524">
        <w:rPr>
          <w:rFonts w:cstheme="minorHAnsi"/>
        </w:rPr>
        <w:t>of</w:t>
      </w:r>
      <w:r w:rsidR="001F7A79" w:rsidRPr="00CF0992">
        <w:rPr>
          <w:rFonts w:cstheme="minorHAnsi"/>
        </w:rPr>
        <w:t xml:space="preserve"> brass/gunmetal, but the strips connecting the frame and the plate, that were designed to be mostly hidden behind the plate, were made from bronze.</w:t>
      </w:r>
    </w:p>
    <w:p w14:paraId="2BD8FB99" w14:textId="397ADA82" w:rsidR="001F7A79" w:rsidRPr="00CF0992" w:rsidRDefault="001F7A79" w:rsidP="001F7A79">
      <w:pPr>
        <w:autoSpaceDE w:val="0"/>
        <w:autoSpaceDN w:val="0"/>
        <w:adjustRightInd w:val="0"/>
        <w:rPr>
          <w:rFonts w:cstheme="minorHAnsi"/>
        </w:rPr>
      </w:pPr>
      <w:r w:rsidRPr="00CF0992">
        <w:rPr>
          <w:rFonts w:cstheme="minorHAnsi"/>
        </w:rPr>
        <w:t xml:space="preserve">Other Quoit brooch style objects that were analysed for composition also consisted of multiple different parts made of different alloys (not all in cases where belt sets were compiled from reused pieces). In five different objects, brasses and </w:t>
      </w:r>
      <w:proofErr w:type="spellStart"/>
      <w:r w:rsidRPr="00CF0992">
        <w:rPr>
          <w:rFonts w:cstheme="minorHAnsi"/>
        </w:rPr>
        <w:t>gunmetals</w:t>
      </w:r>
      <w:proofErr w:type="spellEnd"/>
      <w:r w:rsidRPr="00CF0992">
        <w:rPr>
          <w:rFonts w:cstheme="minorHAnsi"/>
        </w:rPr>
        <w:t xml:space="preserve"> were used for principal parts, while less visible components such as back-plates, buckle tongues, connecting strips, and pieces used for repairs were of copper or bronze (Swift 2019, 27). This appears to indicate that the different alloys were valued differently in this period. Brasses and </w:t>
      </w:r>
      <w:proofErr w:type="spellStart"/>
      <w:r w:rsidRPr="00CF0992">
        <w:rPr>
          <w:rFonts w:cstheme="minorHAnsi"/>
        </w:rPr>
        <w:t>gunmetals</w:t>
      </w:r>
      <w:proofErr w:type="spellEnd"/>
      <w:r w:rsidRPr="00CF0992">
        <w:rPr>
          <w:rFonts w:cstheme="minorHAnsi"/>
        </w:rPr>
        <w:t xml:space="preserve"> were more prestigious than bronze or copper, and perhaps more likely to be repurposed for that reason. Baker suggests for the early Anglo-Saxon period that brasses were favoured due to their gold colour (Baker 2013, 105, 421</w:t>
      </w:r>
      <w:r w:rsidR="00D06F9F">
        <w:rPr>
          <w:rFonts w:cstheme="minorHAnsi"/>
        </w:rPr>
        <w:t>–</w:t>
      </w:r>
      <w:r w:rsidRPr="00CF0992">
        <w:rPr>
          <w:rFonts w:cstheme="minorHAnsi"/>
        </w:rPr>
        <w:t xml:space="preserve">4), and the same may be the case here. </w:t>
      </w:r>
    </w:p>
    <w:p w14:paraId="263F0E4C" w14:textId="55F2B847" w:rsidR="00C62656" w:rsidRPr="00CF0992" w:rsidRDefault="001F7A79" w:rsidP="001F7A79">
      <w:pPr>
        <w:autoSpaceDE w:val="0"/>
        <w:autoSpaceDN w:val="0"/>
        <w:adjustRightInd w:val="0"/>
        <w:rPr>
          <w:rFonts w:cstheme="minorHAnsi"/>
        </w:rPr>
      </w:pPr>
      <w:r w:rsidRPr="00CF0992">
        <w:rPr>
          <w:rFonts w:cstheme="minorHAnsi"/>
        </w:rPr>
        <w:t xml:space="preserve">I have written elsewhere on the further interpretation of </w:t>
      </w:r>
      <w:r w:rsidR="003D6A81" w:rsidRPr="00CF0992">
        <w:rPr>
          <w:rFonts w:cstheme="minorHAnsi"/>
        </w:rPr>
        <w:t xml:space="preserve">these kinds of </w:t>
      </w:r>
      <w:r w:rsidRPr="00CF0992">
        <w:rPr>
          <w:rFonts w:cstheme="minorHAnsi"/>
        </w:rPr>
        <w:t xml:space="preserve">objects </w:t>
      </w:r>
      <w:r w:rsidR="0077595A">
        <w:rPr>
          <w:rFonts w:cstheme="minorHAnsi"/>
        </w:rPr>
        <w:t>and how their uses</w:t>
      </w:r>
      <w:r w:rsidR="005D1DA6">
        <w:rPr>
          <w:rFonts w:cstheme="minorHAnsi"/>
        </w:rPr>
        <w:t xml:space="preserve">, </w:t>
      </w:r>
      <w:r w:rsidR="0077595A">
        <w:rPr>
          <w:rFonts w:cstheme="minorHAnsi"/>
        </w:rPr>
        <w:t>meanings</w:t>
      </w:r>
      <w:r w:rsidR="005D1DA6">
        <w:rPr>
          <w:rFonts w:cstheme="minorHAnsi"/>
        </w:rPr>
        <w:t xml:space="preserve"> and values</w:t>
      </w:r>
      <w:r w:rsidR="0077595A">
        <w:rPr>
          <w:rFonts w:cstheme="minorHAnsi"/>
        </w:rPr>
        <w:t xml:space="preserve"> can be shown to change with prolonged use and reuse</w:t>
      </w:r>
      <w:r w:rsidR="00164EFC">
        <w:rPr>
          <w:rFonts w:cstheme="minorHAnsi"/>
        </w:rPr>
        <w:t xml:space="preserve">, including changes </w:t>
      </w:r>
      <w:r w:rsidR="00A31051">
        <w:rPr>
          <w:rFonts w:cstheme="minorHAnsi"/>
        </w:rPr>
        <w:t xml:space="preserve">in function, and in the </w:t>
      </w:r>
      <w:r w:rsidR="00164EFC">
        <w:rPr>
          <w:rFonts w:cstheme="minorHAnsi"/>
        </w:rPr>
        <w:t>gender-associations</w:t>
      </w:r>
      <w:r w:rsidR="00A31051">
        <w:rPr>
          <w:rFonts w:cstheme="minorHAnsi"/>
        </w:rPr>
        <w:t xml:space="preserve"> of </w:t>
      </w:r>
      <w:proofErr w:type="gramStart"/>
      <w:r w:rsidR="00A31051">
        <w:rPr>
          <w:rFonts w:cstheme="minorHAnsi"/>
        </w:rPr>
        <w:t>particular categories</w:t>
      </w:r>
      <w:proofErr w:type="gramEnd"/>
      <w:r w:rsidR="00A31051">
        <w:rPr>
          <w:rFonts w:cstheme="minorHAnsi"/>
        </w:rPr>
        <w:t xml:space="preserve"> of artefact</w:t>
      </w:r>
      <w:r w:rsidR="00164EFC">
        <w:rPr>
          <w:rFonts w:cstheme="minorHAnsi"/>
        </w:rPr>
        <w:t xml:space="preserve"> </w:t>
      </w:r>
      <w:r w:rsidRPr="00CF0992">
        <w:rPr>
          <w:rFonts w:cstheme="minorHAnsi"/>
        </w:rPr>
        <w:t>(Swift 2012, 2013, 2014, 2019</w:t>
      </w:r>
      <w:r w:rsidR="00A95820">
        <w:rPr>
          <w:rFonts w:cstheme="minorHAnsi"/>
        </w:rPr>
        <w:t>, 2020</w:t>
      </w:r>
      <w:r w:rsidRPr="00CF0992">
        <w:rPr>
          <w:rFonts w:cstheme="minorHAnsi"/>
        </w:rPr>
        <w:t>)</w:t>
      </w:r>
      <w:r w:rsidR="0077595A">
        <w:rPr>
          <w:rFonts w:cstheme="minorHAnsi"/>
        </w:rPr>
        <w:t xml:space="preserve">. </w:t>
      </w:r>
      <w:r w:rsidR="00C62656" w:rsidRPr="00CF0992">
        <w:rPr>
          <w:rFonts w:cstheme="minorHAnsi"/>
        </w:rPr>
        <w:t xml:space="preserve">Instead, </w:t>
      </w:r>
      <w:r w:rsidR="00DC2E32">
        <w:rPr>
          <w:rFonts w:cstheme="minorHAnsi"/>
        </w:rPr>
        <w:t xml:space="preserve">we will examine </w:t>
      </w:r>
      <w:r w:rsidR="00C62656" w:rsidRPr="00CF0992">
        <w:rPr>
          <w:rFonts w:cstheme="minorHAnsi"/>
        </w:rPr>
        <w:t>one of the categories mentioned above, pierced coins, in more detail</w:t>
      </w:r>
      <w:r w:rsidR="003D6A81" w:rsidRPr="00CF0992">
        <w:rPr>
          <w:rFonts w:cstheme="minorHAnsi"/>
        </w:rPr>
        <w:t>.</w:t>
      </w:r>
    </w:p>
    <w:p w14:paraId="4CC8E276" w14:textId="036BA00C" w:rsidR="00494763" w:rsidRPr="0003750B" w:rsidRDefault="00494763" w:rsidP="00CA1F2B">
      <w:pPr>
        <w:rPr>
          <w:rFonts w:cstheme="minorHAnsi"/>
          <w:b/>
          <w:bCs/>
        </w:rPr>
      </w:pPr>
      <w:r w:rsidRPr="0003750B">
        <w:rPr>
          <w:rFonts w:cstheme="minorHAnsi"/>
          <w:b/>
          <w:bCs/>
        </w:rPr>
        <w:t>Coin piercing</w:t>
      </w:r>
    </w:p>
    <w:p w14:paraId="0391FF27" w14:textId="1AD199C5" w:rsidR="003B178E" w:rsidRPr="00CF0992" w:rsidRDefault="0033263C" w:rsidP="00CA1F2B">
      <w:pPr>
        <w:rPr>
          <w:rFonts w:cstheme="minorHAnsi"/>
        </w:rPr>
      </w:pPr>
      <w:r>
        <w:rPr>
          <w:rFonts w:cstheme="minorHAnsi"/>
        </w:rPr>
        <w:t xml:space="preserve">It has been suggested </w:t>
      </w:r>
      <w:r w:rsidR="00DD2524">
        <w:rPr>
          <w:rFonts w:cstheme="minorHAnsi"/>
        </w:rPr>
        <w:t xml:space="preserve">that </w:t>
      </w:r>
      <w:r>
        <w:rPr>
          <w:rFonts w:cstheme="minorHAnsi"/>
        </w:rPr>
        <w:t>c</w:t>
      </w:r>
      <w:r w:rsidR="00CA1F2B" w:rsidRPr="00CF0992">
        <w:rPr>
          <w:rFonts w:cstheme="minorHAnsi"/>
        </w:rPr>
        <w:t>oin piercing</w:t>
      </w:r>
      <w:r w:rsidR="00C62656" w:rsidRPr="00CF0992">
        <w:rPr>
          <w:rFonts w:cstheme="minorHAnsi"/>
        </w:rPr>
        <w:t xml:space="preserve"> </w:t>
      </w:r>
      <w:r>
        <w:rPr>
          <w:rFonts w:cstheme="minorHAnsi"/>
        </w:rPr>
        <w:t xml:space="preserve">is an </w:t>
      </w:r>
      <w:r w:rsidR="00CA1F2B" w:rsidRPr="00CF0992">
        <w:rPr>
          <w:rFonts w:cstheme="minorHAnsi"/>
        </w:rPr>
        <w:t>early Anglo-</w:t>
      </w:r>
      <w:r w:rsidR="003D1BE6" w:rsidRPr="00CF0992">
        <w:rPr>
          <w:rFonts w:cstheme="minorHAnsi"/>
        </w:rPr>
        <w:t>S</w:t>
      </w:r>
      <w:r w:rsidR="00CA1F2B" w:rsidRPr="00CF0992">
        <w:rPr>
          <w:rFonts w:cstheme="minorHAnsi"/>
        </w:rPr>
        <w:t xml:space="preserve">axon period </w:t>
      </w:r>
      <w:r w:rsidR="002B1FC3" w:rsidRPr="00CF0992">
        <w:rPr>
          <w:rFonts w:cstheme="minorHAnsi"/>
        </w:rPr>
        <w:t>phenomenon</w:t>
      </w:r>
      <w:r w:rsidR="00494763" w:rsidRPr="00CF0992">
        <w:rPr>
          <w:rFonts w:cstheme="minorHAnsi"/>
        </w:rPr>
        <w:t xml:space="preserve">, </w:t>
      </w:r>
      <w:r>
        <w:rPr>
          <w:rFonts w:cstheme="minorHAnsi"/>
        </w:rPr>
        <w:t>that is,</w:t>
      </w:r>
      <w:r w:rsidR="00494763" w:rsidRPr="00CF0992">
        <w:rPr>
          <w:rFonts w:cstheme="minorHAnsi"/>
        </w:rPr>
        <w:t xml:space="preserve"> occurring from the mid-fifth century onwards</w:t>
      </w:r>
      <w:r w:rsidR="00A95820">
        <w:rPr>
          <w:rFonts w:cstheme="minorHAnsi"/>
        </w:rPr>
        <w:t>. This is</w:t>
      </w:r>
      <w:r w:rsidR="002B1FC3" w:rsidRPr="00CF0992">
        <w:rPr>
          <w:rFonts w:cstheme="minorHAnsi"/>
        </w:rPr>
        <w:t xml:space="preserve"> </w:t>
      </w:r>
      <w:r w:rsidR="00CA1F2B" w:rsidRPr="00CF0992">
        <w:rPr>
          <w:rFonts w:cstheme="minorHAnsi"/>
        </w:rPr>
        <w:t xml:space="preserve">because of the incidence of </w:t>
      </w:r>
      <w:r>
        <w:rPr>
          <w:rFonts w:cstheme="minorHAnsi"/>
        </w:rPr>
        <w:t>pierced</w:t>
      </w:r>
      <w:r w:rsidR="00CA1F2B" w:rsidRPr="00CF0992">
        <w:rPr>
          <w:rFonts w:cstheme="minorHAnsi"/>
        </w:rPr>
        <w:t xml:space="preserve"> coins in Anglo-</w:t>
      </w:r>
      <w:r w:rsidR="003F5150" w:rsidRPr="00CF0992">
        <w:rPr>
          <w:rFonts w:cstheme="minorHAnsi"/>
        </w:rPr>
        <w:t>S</w:t>
      </w:r>
      <w:r w:rsidR="00CA1F2B" w:rsidRPr="00CF0992">
        <w:rPr>
          <w:rFonts w:cstheme="minorHAnsi"/>
        </w:rPr>
        <w:t>axon graves</w:t>
      </w:r>
      <w:r w:rsidR="00A95820">
        <w:rPr>
          <w:rFonts w:cstheme="minorHAnsi"/>
        </w:rPr>
        <w:t>,</w:t>
      </w:r>
      <w:r w:rsidR="002B1FC3" w:rsidRPr="00CF0992">
        <w:rPr>
          <w:rFonts w:cstheme="minorHAnsi"/>
        </w:rPr>
        <w:t xml:space="preserve"> in an apparent change from Roman period burial practices in which coins are more often placed on the mouth or by the hand</w:t>
      </w:r>
      <w:r w:rsidR="00CA1F2B" w:rsidRPr="00CF0992">
        <w:rPr>
          <w:rFonts w:cstheme="minorHAnsi"/>
        </w:rPr>
        <w:t xml:space="preserve"> (</w:t>
      </w:r>
      <w:r w:rsidR="00976F9D">
        <w:rPr>
          <w:rFonts w:cstheme="minorHAnsi"/>
        </w:rPr>
        <w:t xml:space="preserve">Burnett 2005, 6–7; </w:t>
      </w:r>
      <w:r w:rsidR="002B1FC3" w:rsidRPr="00CF0992">
        <w:rPr>
          <w:rFonts w:cstheme="minorHAnsi"/>
        </w:rPr>
        <w:t>White 1988, 98</w:t>
      </w:r>
      <w:r w:rsidR="00D06F9F">
        <w:rPr>
          <w:rFonts w:cstheme="minorHAnsi"/>
        </w:rPr>
        <w:t>–</w:t>
      </w:r>
      <w:r w:rsidR="002B1FC3" w:rsidRPr="00CF0992">
        <w:rPr>
          <w:rFonts w:cstheme="minorHAnsi"/>
        </w:rPr>
        <w:t>101</w:t>
      </w:r>
      <w:r w:rsidR="00494763" w:rsidRPr="00CF0992">
        <w:rPr>
          <w:rFonts w:cstheme="minorHAnsi"/>
        </w:rPr>
        <w:t>; 156; 163).</w:t>
      </w:r>
      <w:r w:rsidR="002B4885">
        <w:rPr>
          <w:rFonts w:cstheme="minorHAnsi"/>
        </w:rPr>
        <w:t xml:space="preserve"> The coins would have lost their function as currency many years previously, and so were used differently in this early medieval context. </w:t>
      </w:r>
      <w:r>
        <w:rPr>
          <w:rFonts w:cstheme="minorHAnsi"/>
        </w:rPr>
        <w:t>T</w:t>
      </w:r>
      <w:r w:rsidR="00494763" w:rsidRPr="00CF0992">
        <w:rPr>
          <w:rFonts w:cstheme="minorHAnsi"/>
        </w:rPr>
        <w:t>he picture is more complicated than this</w:t>
      </w:r>
      <w:r w:rsidR="006D1271" w:rsidRPr="00CF0992">
        <w:rPr>
          <w:rFonts w:cstheme="minorHAnsi"/>
        </w:rPr>
        <w:t xml:space="preserve">, </w:t>
      </w:r>
      <w:r>
        <w:rPr>
          <w:rFonts w:cstheme="minorHAnsi"/>
        </w:rPr>
        <w:t xml:space="preserve">however, </w:t>
      </w:r>
      <w:r w:rsidR="006D1271" w:rsidRPr="00CF0992">
        <w:rPr>
          <w:rFonts w:cstheme="minorHAnsi"/>
        </w:rPr>
        <w:t>as is becoming clear from new data.</w:t>
      </w:r>
      <w:r w:rsidR="00494763" w:rsidRPr="00CF0992">
        <w:rPr>
          <w:rFonts w:cstheme="minorHAnsi"/>
        </w:rPr>
        <w:t xml:space="preserve"> </w:t>
      </w:r>
      <w:r w:rsidR="001F7A79" w:rsidRPr="00CF0992">
        <w:rPr>
          <w:rFonts w:cstheme="minorHAnsi"/>
        </w:rPr>
        <w:t xml:space="preserve"> A study by Burnett documented pierced coins in archaeological contexts that included the third century, although</w:t>
      </w:r>
      <w:r w:rsidR="00DD2524">
        <w:rPr>
          <w:rFonts w:cstheme="minorHAnsi"/>
        </w:rPr>
        <w:t xml:space="preserve"> only</w:t>
      </w:r>
      <w:r w:rsidR="001F7A79" w:rsidRPr="00CF0992">
        <w:rPr>
          <w:rFonts w:cstheme="minorHAnsi"/>
        </w:rPr>
        <w:t xml:space="preserve"> using a small dataset (Burnett 2005,17). </w:t>
      </w:r>
    </w:p>
    <w:p w14:paraId="034D0E22" w14:textId="2FC3728A" w:rsidR="00ED616B" w:rsidRPr="00CF0992" w:rsidRDefault="00E55C49" w:rsidP="00ED616B">
      <w:pPr>
        <w:rPr>
          <w:rFonts w:cstheme="minorHAnsi"/>
        </w:rPr>
      </w:pPr>
      <w:r w:rsidRPr="00CF0992">
        <w:rPr>
          <w:rFonts w:cstheme="minorHAnsi"/>
        </w:rPr>
        <w:t>I</w:t>
      </w:r>
      <w:r w:rsidR="0033263C">
        <w:rPr>
          <w:rFonts w:cstheme="minorHAnsi"/>
        </w:rPr>
        <w:t>n</w:t>
      </w:r>
      <w:r w:rsidRPr="00CF0992">
        <w:rPr>
          <w:rFonts w:cstheme="minorHAnsi"/>
        </w:rPr>
        <w:t xml:space="preserve"> his data sample of 455 pierced coins found in Anglo-</w:t>
      </w:r>
      <w:r w:rsidR="003D1BE6" w:rsidRPr="00CF0992">
        <w:rPr>
          <w:rFonts w:cstheme="minorHAnsi"/>
        </w:rPr>
        <w:t>S</w:t>
      </w:r>
      <w:r w:rsidRPr="00CF0992">
        <w:rPr>
          <w:rFonts w:cstheme="minorHAnsi"/>
        </w:rPr>
        <w:t>axon period graves, White found a bias to third century coins and those of the Constantinian period, which he interpreted as Anglo-Saxon period scavenging of Roman sites</w:t>
      </w:r>
      <w:r w:rsidR="00DD2524">
        <w:rPr>
          <w:rFonts w:cstheme="minorHAnsi"/>
        </w:rPr>
        <w:t>,</w:t>
      </w:r>
      <w:r w:rsidRPr="00CF0992">
        <w:rPr>
          <w:rFonts w:cstheme="minorHAnsi"/>
        </w:rPr>
        <w:t xml:space="preserve"> </w:t>
      </w:r>
      <w:r w:rsidR="00DD2524">
        <w:rPr>
          <w:rFonts w:cstheme="minorHAnsi"/>
        </w:rPr>
        <w:t>with</w:t>
      </w:r>
      <w:r w:rsidR="00E3511B" w:rsidRPr="00CF0992">
        <w:rPr>
          <w:rFonts w:cstheme="minorHAnsi"/>
        </w:rPr>
        <w:t xml:space="preserve"> pierced </w:t>
      </w:r>
      <w:r w:rsidRPr="00CF0992">
        <w:rPr>
          <w:rFonts w:cstheme="minorHAnsi"/>
        </w:rPr>
        <w:t>coin</w:t>
      </w:r>
      <w:r w:rsidR="00E3511B" w:rsidRPr="00CF0992">
        <w:rPr>
          <w:rFonts w:cstheme="minorHAnsi"/>
        </w:rPr>
        <w:t xml:space="preserve"> issues</w:t>
      </w:r>
      <w:r w:rsidR="00DD2524">
        <w:rPr>
          <w:rFonts w:cstheme="minorHAnsi"/>
        </w:rPr>
        <w:t xml:space="preserve"> thus</w:t>
      </w:r>
      <w:r w:rsidRPr="00CF0992">
        <w:rPr>
          <w:rFonts w:cstheme="minorHAnsi"/>
        </w:rPr>
        <w:t xml:space="preserve"> reflecting wider coin loss patterns in the Roman period.</w:t>
      </w:r>
      <w:r w:rsidR="00A75B51">
        <w:rPr>
          <w:rFonts w:cstheme="minorHAnsi"/>
        </w:rPr>
        <w:t xml:space="preserve"> A similar pattern has been noted by other </w:t>
      </w:r>
      <w:r w:rsidR="00A75B51">
        <w:t>scholars studying material from excavations. House of Constantine issues are slightly over</w:t>
      </w:r>
      <w:r w:rsidR="00DD2524">
        <w:t>-</w:t>
      </w:r>
      <w:r w:rsidR="00A75B51">
        <w:t>represented in pierced coins but otherwise the numbers are what would be expected given overall circulation patterns (Burnett 2005,21</w:t>
      </w:r>
      <w:r w:rsidR="00C15898">
        <w:t>;</w:t>
      </w:r>
      <w:r w:rsidR="00A75B51">
        <w:t xml:space="preserve"> White 1988, 98</w:t>
      </w:r>
      <w:r w:rsidR="00D06F9F">
        <w:t>–</w:t>
      </w:r>
      <w:r w:rsidR="00A75B51">
        <w:t>9</w:t>
      </w:r>
      <w:r w:rsidR="00C15898">
        <w:t>;</w:t>
      </w:r>
      <w:r w:rsidR="00A75B51">
        <w:t xml:space="preserve"> Curnow 19</w:t>
      </w:r>
      <w:r w:rsidR="00F9171E">
        <w:t>8</w:t>
      </w:r>
      <w:r w:rsidR="00A75B51">
        <w:t>5,77)</w:t>
      </w:r>
      <w:r w:rsidR="000F191C">
        <w:t>.</w:t>
      </w:r>
    </w:p>
    <w:p w14:paraId="6378362E" w14:textId="365A03A2" w:rsidR="00577CF0" w:rsidRPr="00CF0992" w:rsidRDefault="00577CF0" w:rsidP="00577CF0">
      <w:pPr>
        <w:rPr>
          <w:rFonts w:cstheme="minorHAnsi"/>
        </w:rPr>
      </w:pPr>
      <w:r>
        <w:rPr>
          <w:rFonts w:cstheme="minorHAnsi"/>
        </w:rPr>
        <w:t xml:space="preserve">[INSERT FIGURE 2A-2B HERE] </w:t>
      </w:r>
    </w:p>
    <w:p w14:paraId="7F6AB04B" w14:textId="4AC66698" w:rsidR="003421BF" w:rsidRDefault="00E55C49" w:rsidP="00BF28D7">
      <w:pPr>
        <w:autoSpaceDE w:val="0"/>
        <w:autoSpaceDN w:val="0"/>
        <w:adjustRightInd w:val="0"/>
        <w:rPr>
          <w:rFonts w:cstheme="minorHAnsi"/>
        </w:rPr>
      </w:pPr>
      <w:r w:rsidRPr="00CF0992">
        <w:rPr>
          <w:rFonts w:cstheme="minorHAnsi"/>
        </w:rPr>
        <w:t>Using a data sample now available from the Portable Antiquities Scheme (</w:t>
      </w:r>
      <w:r w:rsidR="00AC28A3" w:rsidRPr="00CF0992">
        <w:rPr>
          <w:rFonts w:cstheme="minorHAnsi"/>
        </w:rPr>
        <w:t xml:space="preserve">345 verified records of </w:t>
      </w:r>
      <w:r w:rsidR="003D073C" w:rsidRPr="00CF0992">
        <w:rPr>
          <w:rFonts w:cstheme="minorHAnsi"/>
        </w:rPr>
        <w:t xml:space="preserve">pierced </w:t>
      </w:r>
      <w:r w:rsidRPr="00CF0992">
        <w:rPr>
          <w:rFonts w:cstheme="minorHAnsi"/>
        </w:rPr>
        <w:t xml:space="preserve">coins), we can </w:t>
      </w:r>
      <w:r w:rsidR="00CA1F2B" w:rsidRPr="00CF0992">
        <w:rPr>
          <w:rFonts w:cstheme="minorHAnsi"/>
        </w:rPr>
        <w:t>examine the incidence of piercing in coins of different issue periods</w:t>
      </w:r>
      <w:r w:rsidR="00A75B51">
        <w:rPr>
          <w:rFonts w:cstheme="minorHAnsi"/>
        </w:rPr>
        <w:t xml:space="preserve"> in this dataset</w:t>
      </w:r>
      <w:r w:rsidR="00BB4BAB" w:rsidRPr="00CF0992">
        <w:rPr>
          <w:rFonts w:cstheme="minorHAnsi"/>
        </w:rPr>
        <w:t xml:space="preserve">. </w:t>
      </w:r>
      <w:r w:rsidR="003421BF" w:rsidRPr="00CF0992">
        <w:rPr>
          <w:rFonts w:cstheme="minorHAnsi"/>
        </w:rPr>
        <w:t>Comparing the pierced coins per 1000 by Reece period</w:t>
      </w:r>
      <w:r w:rsidR="00E66FB4">
        <w:rPr>
          <w:rFonts w:cstheme="minorHAnsi"/>
        </w:rPr>
        <w:t xml:space="preserve"> (Figure 2A)</w:t>
      </w:r>
      <w:r w:rsidR="003421BF" w:rsidRPr="00CF0992">
        <w:rPr>
          <w:rFonts w:cstheme="minorHAnsi"/>
        </w:rPr>
        <w:t xml:space="preserve"> against </w:t>
      </w:r>
      <w:r w:rsidR="005D1DA6">
        <w:rPr>
          <w:rFonts w:cstheme="minorHAnsi"/>
        </w:rPr>
        <w:t xml:space="preserve">Walton’s British Mean </w:t>
      </w:r>
      <w:r w:rsidR="008D4E24" w:rsidRPr="00384E93">
        <w:rPr>
          <w:rFonts w:cstheme="minorHAnsi"/>
        </w:rPr>
        <w:t>(using verified records only)</w:t>
      </w:r>
      <w:r w:rsidR="00E66FB4">
        <w:rPr>
          <w:rFonts w:cstheme="minorHAnsi"/>
        </w:rPr>
        <w:t xml:space="preserve"> charted in Figure 2B, </w:t>
      </w:r>
      <w:r w:rsidR="00E3511B" w:rsidRPr="00384E93">
        <w:rPr>
          <w:rFonts w:cstheme="minorHAnsi"/>
        </w:rPr>
        <w:t>shows Period</w:t>
      </w:r>
      <w:r w:rsidR="00A75B51" w:rsidRPr="00384E93">
        <w:rPr>
          <w:rFonts w:cstheme="minorHAnsi"/>
        </w:rPr>
        <w:t xml:space="preserve"> </w:t>
      </w:r>
      <w:r w:rsidR="00CA3A12" w:rsidRPr="00384E93">
        <w:rPr>
          <w:rFonts w:cstheme="minorHAnsi"/>
        </w:rPr>
        <w:t>13 (260</w:t>
      </w:r>
      <w:r w:rsidR="00D06F9F" w:rsidRPr="00384E93">
        <w:rPr>
          <w:rFonts w:cstheme="minorHAnsi"/>
        </w:rPr>
        <w:t>–</w:t>
      </w:r>
      <w:r w:rsidR="00CA3A12" w:rsidRPr="00384E93">
        <w:rPr>
          <w:rFonts w:cstheme="minorHAnsi"/>
        </w:rPr>
        <w:t>75) is under</w:t>
      </w:r>
      <w:r w:rsidR="00DD2524">
        <w:rPr>
          <w:rFonts w:cstheme="minorHAnsi"/>
        </w:rPr>
        <w:t>-</w:t>
      </w:r>
      <w:r w:rsidR="00CA3A12" w:rsidRPr="00384E93">
        <w:rPr>
          <w:rFonts w:cstheme="minorHAnsi"/>
        </w:rPr>
        <w:t>represented and Period 14 (275</w:t>
      </w:r>
      <w:r w:rsidR="00D06F9F" w:rsidRPr="00384E93">
        <w:rPr>
          <w:rFonts w:cstheme="minorHAnsi"/>
        </w:rPr>
        <w:t>–</w:t>
      </w:r>
      <w:r w:rsidR="00CA3A12" w:rsidRPr="00384E93">
        <w:rPr>
          <w:rFonts w:cstheme="minorHAnsi"/>
        </w:rPr>
        <w:t>95</w:t>
      </w:r>
      <w:r w:rsidR="00E3511B" w:rsidRPr="00384E93">
        <w:rPr>
          <w:rFonts w:cstheme="minorHAnsi"/>
        </w:rPr>
        <w:t xml:space="preserve">) </w:t>
      </w:r>
      <w:r w:rsidR="00A75B51" w:rsidRPr="00384E93">
        <w:rPr>
          <w:rFonts w:cstheme="minorHAnsi"/>
        </w:rPr>
        <w:t>is</w:t>
      </w:r>
      <w:r w:rsidR="00E3511B" w:rsidRPr="00384E93">
        <w:rPr>
          <w:rFonts w:cstheme="minorHAnsi"/>
        </w:rPr>
        <w:t xml:space="preserve"> over-represented</w:t>
      </w:r>
      <w:r w:rsidR="00CA3A12" w:rsidRPr="00384E93">
        <w:rPr>
          <w:rFonts w:cstheme="minorHAnsi"/>
        </w:rPr>
        <w:t>,</w:t>
      </w:r>
      <w:r w:rsidR="002E1C02" w:rsidRPr="00384E93">
        <w:rPr>
          <w:rFonts w:cstheme="minorHAnsi"/>
        </w:rPr>
        <w:t xml:space="preserve"> </w:t>
      </w:r>
      <w:r w:rsidR="00E3511B" w:rsidRPr="00CF0992">
        <w:rPr>
          <w:rFonts w:cstheme="minorHAnsi"/>
        </w:rPr>
        <w:t xml:space="preserve">so while the proportions overall broadly </w:t>
      </w:r>
      <w:r w:rsidR="00E3511B" w:rsidRPr="00CF0992">
        <w:rPr>
          <w:rFonts w:cstheme="minorHAnsi"/>
        </w:rPr>
        <w:lastRenderedPageBreak/>
        <w:t>follow circulation patterns, there are some discrepancies.</w:t>
      </w:r>
      <w:r w:rsidR="0033263C">
        <w:rPr>
          <w:rStyle w:val="FootnoteReference"/>
          <w:rFonts w:cstheme="minorHAnsi"/>
        </w:rPr>
        <w:footnoteReference w:id="2"/>
      </w:r>
      <w:r w:rsidR="004C62BC" w:rsidRPr="00CF0992">
        <w:rPr>
          <w:rFonts w:cstheme="minorHAnsi"/>
        </w:rPr>
        <w:t xml:space="preserve"> There also seem to be slightly different trends chronologically, with more variation in the number and position of pierced holes </w:t>
      </w:r>
      <w:r w:rsidR="002F2DFB" w:rsidRPr="00CF0992">
        <w:rPr>
          <w:rFonts w:cstheme="minorHAnsi"/>
        </w:rPr>
        <w:t>among issues of later periods</w:t>
      </w:r>
      <w:r w:rsidR="009668E8">
        <w:rPr>
          <w:rFonts w:cstheme="minorHAnsi"/>
        </w:rPr>
        <w:t xml:space="preserve"> (Figure 3)</w:t>
      </w:r>
      <w:r w:rsidR="004C62BC" w:rsidRPr="00CF0992">
        <w:rPr>
          <w:rFonts w:cstheme="minorHAnsi"/>
        </w:rPr>
        <w:t>.</w:t>
      </w:r>
      <w:r w:rsidR="00391035">
        <w:rPr>
          <w:rFonts w:cstheme="minorHAnsi"/>
        </w:rPr>
        <w:t xml:space="preserve"> </w:t>
      </w:r>
    </w:p>
    <w:p w14:paraId="0562161B" w14:textId="5842ED54" w:rsidR="00F97AE6" w:rsidRPr="00CF0992" w:rsidRDefault="00901612" w:rsidP="00BF28D7">
      <w:pPr>
        <w:autoSpaceDE w:val="0"/>
        <w:autoSpaceDN w:val="0"/>
        <w:adjustRightInd w:val="0"/>
        <w:rPr>
          <w:rFonts w:cstheme="minorHAnsi"/>
        </w:rPr>
      </w:pPr>
      <w:r>
        <w:rPr>
          <w:rFonts w:cstheme="minorHAnsi"/>
        </w:rPr>
        <w:t>[</w:t>
      </w:r>
      <w:r w:rsidR="00F97AE6">
        <w:rPr>
          <w:rFonts w:cstheme="minorHAnsi"/>
        </w:rPr>
        <w:t>INSERT FIGURE 3 HERE</w:t>
      </w:r>
      <w:r>
        <w:rPr>
          <w:rFonts w:cstheme="minorHAnsi"/>
        </w:rPr>
        <w:t>]</w:t>
      </w:r>
    </w:p>
    <w:p w14:paraId="17B3BA62" w14:textId="5B386E68" w:rsidR="00ED616B" w:rsidRPr="00CF0992" w:rsidRDefault="00D900E8" w:rsidP="003565D0">
      <w:pPr>
        <w:rPr>
          <w:rFonts w:cstheme="minorHAnsi"/>
        </w:rPr>
      </w:pPr>
      <w:r w:rsidRPr="00CF0992">
        <w:rPr>
          <w:rFonts w:cstheme="minorHAnsi"/>
        </w:rPr>
        <w:t>The</w:t>
      </w:r>
      <w:r w:rsidR="00CA1F2B" w:rsidRPr="00CF0992">
        <w:rPr>
          <w:rFonts w:cstheme="minorHAnsi"/>
        </w:rPr>
        <w:t xml:space="preserve"> p</w:t>
      </w:r>
      <w:r w:rsidR="001809A6">
        <w:rPr>
          <w:rFonts w:cstheme="minorHAnsi"/>
        </w:rPr>
        <w:t>roportion of pierced coins from each period</w:t>
      </w:r>
      <w:r w:rsidR="00CA1F2B" w:rsidRPr="00CF0992">
        <w:rPr>
          <w:rFonts w:cstheme="minorHAnsi"/>
        </w:rPr>
        <w:t xml:space="preserve"> could be produced by preferential selection of </w:t>
      </w:r>
      <w:r w:rsidRPr="00CF0992">
        <w:rPr>
          <w:rFonts w:cstheme="minorHAnsi"/>
        </w:rPr>
        <w:t xml:space="preserve">old </w:t>
      </w:r>
      <w:r w:rsidR="00CA1F2B" w:rsidRPr="00CF0992">
        <w:rPr>
          <w:rFonts w:cstheme="minorHAnsi"/>
        </w:rPr>
        <w:t>coins for piercing in later times</w:t>
      </w:r>
      <w:r w:rsidR="001F7A79" w:rsidRPr="00CF0992">
        <w:rPr>
          <w:rFonts w:cstheme="minorHAnsi"/>
        </w:rPr>
        <w:t xml:space="preserve"> (Swift 2013, 113). </w:t>
      </w:r>
      <w:r w:rsidR="001809A6">
        <w:rPr>
          <w:rFonts w:cstheme="minorHAnsi"/>
        </w:rPr>
        <w:t xml:space="preserve">Alternatively, it </w:t>
      </w:r>
      <w:r w:rsidR="00CA1F2B" w:rsidRPr="00CF0992">
        <w:rPr>
          <w:rFonts w:cstheme="minorHAnsi"/>
        </w:rPr>
        <w:t>shows us when coin piercing was most common</w:t>
      </w:r>
      <w:r w:rsidR="00A95820">
        <w:rPr>
          <w:rFonts w:cstheme="minorHAnsi"/>
        </w:rPr>
        <w:t>—</w:t>
      </w:r>
      <w:r w:rsidR="009E5B2F">
        <w:rPr>
          <w:rFonts w:cstheme="minorHAnsi"/>
        </w:rPr>
        <w:t>towards</w:t>
      </w:r>
      <w:r w:rsidR="00CA44EF" w:rsidRPr="00CF0992">
        <w:rPr>
          <w:rFonts w:cstheme="minorHAnsi"/>
        </w:rPr>
        <w:t xml:space="preserve"> the end of the third century</w:t>
      </w:r>
      <w:r w:rsidR="00CA3A12">
        <w:rPr>
          <w:rFonts w:cstheme="minorHAnsi"/>
        </w:rPr>
        <w:t xml:space="preserve">. </w:t>
      </w:r>
      <w:r w:rsidR="009E5B2F">
        <w:rPr>
          <w:rFonts w:cstheme="minorHAnsi"/>
        </w:rPr>
        <w:t>High-status, gold c</w:t>
      </w:r>
      <w:r w:rsidR="00CA3A12">
        <w:rPr>
          <w:rFonts w:cstheme="minorHAnsi"/>
        </w:rPr>
        <w:t>oin-set jewellery</w:t>
      </w:r>
      <w:r w:rsidR="009E5B2F">
        <w:rPr>
          <w:rFonts w:cstheme="minorHAnsi"/>
        </w:rPr>
        <w:t xml:space="preserve"> </w:t>
      </w:r>
      <w:r w:rsidR="00CA3A12">
        <w:rPr>
          <w:rFonts w:cstheme="minorHAnsi"/>
        </w:rPr>
        <w:t xml:space="preserve">is </w:t>
      </w:r>
      <w:r w:rsidR="009E5B2F">
        <w:rPr>
          <w:rFonts w:cstheme="minorHAnsi"/>
        </w:rPr>
        <w:t xml:space="preserve">certainly most </w:t>
      </w:r>
      <w:r w:rsidR="00CA3A12">
        <w:rPr>
          <w:rFonts w:cstheme="minorHAnsi"/>
        </w:rPr>
        <w:t xml:space="preserve">popular in the </w:t>
      </w:r>
      <w:r w:rsidR="00DD2524">
        <w:rPr>
          <w:rFonts w:cstheme="minorHAnsi"/>
        </w:rPr>
        <w:t>third century</w:t>
      </w:r>
      <w:r w:rsidR="00721138">
        <w:rPr>
          <w:rFonts w:cstheme="minorHAnsi"/>
        </w:rPr>
        <w:t xml:space="preserve"> (</w:t>
      </w:r>
      <w:r w:rsidR="00976F9D">
        <w:rPr>
          <w:rFonts w:cstheme="minorHAnsi"/>
        </w:rPr>
        <w:t>Burnett 2005,</w:t>
      </w:r>
      <w:r w:rsidR="008F080D">
        <w:rPr>
          <w:rFonts w:cstheme="minorHAnsi"/>
        </w:rPr>
        <w:t xml:space="preserve"> </w:t>
      </w:r>
      <w:r w:rsidR="00976F9D">
        <w:rPr>
          <w:rFonts w:cstheme="minorHAnsi"/>
        </w:rPr>
        <w:t xml:space="preserve">2; </w:t>
      </w:r>
      <w:r w:rsidR="00721138">
        <w:rPr>
          <w:rFonts w:cstheme="minorHAnsi"/>
        </w:rPr>
        <w:t>Bruhn 1993, 1</w:t>
      </w:r>
      <w:r w:rsidR="00D06F9F">
        <w:rPr>
          <w:rFonts w:cstheme="minorHAnsi"/>
        </w:rPr>
        <w:t>–</w:t>
      </w:r>
      <w:r w:rsidR="00721138">
        <w:rPr>
          <w:rFonts w:cstheme="minorHAnsi"/>
        </w:rPr>
        <w:t>2),</w:t>
      </w:r>
      <w:r w:rsidR="009E5B2F">
        <w:rPr>
          <w:rStyle w:val="FootnoteReference"/>
          <w:rFonts w:cstheme="minorHAnsi"/>
        </w:rPr>
        <w:footnoteReference w:id="3"/>
      </w:r>
      <w:r w:rsidR="00721138">
        <w:rPr>
          <w:rFonts w:cstheme="minorHAnsi"/>
        </w:rPr>
        <w:t xml:space="preserve"> which might suggest that those coins that were pierced for use as pendants follow the same trend. </w:t>
      </w:r>
    </w:p>
    <w:p w14:paraId="39CE3F44" w14:textId="33E59225" w:rsidR="00C5115C" w:rsidRPr="00CF0992" w:rsidRDefault="00E3511B" w:rsidP="00BF28D7">
      <w:pPr>
        <w:autoSpaceDE w:val="0"/>
        <w:autoSpaceDN w:val="0"/>
        <w:adjustRightInd w:val="0"/>
        <w:rPr>
          <w:rFonts w:cstheme="minorHAnsi"/>
        </w:rPr>
      </w:pPr>
      <w:r w:rsidRPr="00CF0992">
        <w:rPr>
          <w:rFonts w:cstheme="minorHAnsi"/>
        </w:rPr>
        <w:t xml:space="preserve">Occurrence </w:t>
      </w:r>
      <w:r w:rsidR="000D3A57">
        <w:rPr>
          <w:rFonts w:cstheme="minorHAnsi"/>
        </w:rPr>
        <w:t xml:space="preserve">of pierced coins </w:t>
      </w:r>
      <w:r w:rsidRPr="00CF0992">
        <w:rPr>
          <w:rFonts w:cstheme="minorHAnsi"/>
        </w:rPr>
        <w:t>in</w:t>
      </w:r>
      <w:r w:rsidR="00C62656" w:rsidRPr="00CF0992">
        <w:rPr>
          <w:rFonts w:cstheme="minorHAnsi"/>
        </w:rPr>
        <w:t xml:space="preserve"> 3</w:t>
      </w:r>
      <w:r w:rsidR="001809A6" w:rsidRPr="001809A6">
        <w:rPr>
          <w:rFonts w:cstheme="minorHAnsi"/>
        </w:rPr>
        <w:t>rd</w:t>
      </w:r>
      <w:r w:rsidR="000D3A57">
        <w:rPr>
          <w:rFonts w:cstheme="minorHAnsi"/>
        </w:rPr>
        <w:t xml:space="preserve"> c.</w:t>
      </w:r>
      <w:r w:rsidR="00C62656" w:rsidRPr="00CF0992">
        <w:rPr>
          <w:rFonts w:cstheme="minorHAnsi"/>
        </w:rPr>
        <w:t>,</w:t>
      </w:r>
      <w:r w:rsidRPr="00CF0992">
        <w:rPr>
          <w:rFonts w:cstheme="minorHAnsi"/>
        </w:rPr>
        <w:t xml:space="preserve"> </w:t>
      </w:r>
      <w:r w:rsidR="004659A6" w:rsidRPr="00CF0992">
        <w:rPr>
          <w:rFonts w:cstheme="minorHAnsi"/>
        </w:rPr>
        <w:t xml:space="preserve">late Roman and </w:t>
      </w:r>
      <w:r w:rsidR="00CA1F2B" w:rsidRPr="00CF0992">
        <w:rPr>
          <w:rFonts w:cstheme="minorHAnsi"/>
        </w:rPr>
        <w:t>Anglo-Saxon graves</w:t>
      </w:r>
      <w:r w:rsidR="00C62656" w:rsidRPr="00CF0992">
        <w:rPr>
          <w:rFonts w:cstheme="minorHAnsi"/>
        </w:rPr>
        <w:t>, however,</w:t>
      </w:r>
      <w:r w:rsidR="00CA1F2B" w:rsidRPr="00CF0992">
        <w:rPr>
          <w:rFonts w:cstheme="minorHAnsi"/>
        </w:rPr>
        <w:t xml:space="preserve"> </w:t>
      </w:r>
      <w:r w:rsidR="00D75E19" w:rsidRPr="00CF0992">
        <w:rPr>
          <w:rFonts w:cstheme="minorHAnsi"/>
        </w:rPr>
        <w:t>show</w:t>
      </w:r>
      <w:r w:rsidRPr="00CF0992">
        <w:rPr>
          <w:rFonts w:cstheme="minorHAnsi"/>
        </w:rPr>
        <w:t>s</w:t>
      </w:r>
      <w:r w:rsidR="00D75E19" w:rsidRPr="00CF0992">
        <w:rPr>
          <w:rFonts w:cstheme="minorHAnsi"/>
        </w:rPr>
        <w:t xml:space="preserve"> us that </w:t>
      </w:r>
      <w:r w:rsidR="000D3A57">
        <w:rPr>
          <w:rFonts w:cstheme="minorHAnsi"/>
        </w:rPr>
        <w:t xml:space="preserve">they </w:t>
      </w:r>
      <w:r w:rsidR="00D75E19" w:rsidRPr="00CF0992">
        <w:rPr>
          <w:rFonts w:cstheme="minorHAnsi"/>
        </w:rPr>
        <w:t>continued to be valued</w:t>
      </w:r>
      <w:r w:rsidR="00BF28D7" w:rsidRPr="00CF0992">
        <w:rPr>
          <w:rFonts w:cstheme="minorHAnsi"/>
        </w:rPr>
        <w:t xml:space="preserve"> long after both their production date and the likely date of modification</w:t>
      </w:r>
      <w:r w:rsidR="00F34757">
        <w:rPr>
          <w:rFonts w:cstheme="minorHAnsi"/>
        </w:rPr>
        <w:t xml:space="preserve"> (for example,</w:t>
      </w:r>
      <w:r w:rsidR="00367A8E">
        <w:rPr>
          <w:rFonts w:cstheme="minorHAnsi"/>
        </w:rPr>
        <w:t xml:space="preserve"> among the</w:t>
      </w:r>
      <w:r w:rsidR="00F34757">
        <w:rPr>
          <w:rFonts w:cstheme="minorHAnsi"/>
        </w:rPr>
        <w:t xml:space="preserve"> Roman coins from the Anglo-Saxon period cemetery at </w:t>
      </w:r>
      <w:proofErr w:type="spellStart"/>
      <w:r w:rsidR="00F34757">
        <w:rPr>
          <w:rFonts w:cstheme="minorHAnsi"/>
        </w:rPr>
        <w:t>Highdown</w:t>
      </w:r>
      <w:proofErr w:type="spellEnd"/>
      <w:r w:rsidR="00F34757">
        <w:rPr>
          <w:rFonts w:cstheme="minorHAnsi"/>
        </w:rPr>
        <w:t xml:space="preserve"> mentioned above,  </w:t>
      </w:r>
      <w:r w:rsidR="00367A8E">
        <w:rPr>
          <w:rFonts w:cstheme="minorHAnsi"/>
        </w:rPr>
        <w:t xml:space="preserve">there is </w:t>
      </w:r>
      <w:r w:rsidR="00F34757">
        <w:rPr>
          <w:rFonts w:cstheme="minorHAnsi"/>
        </w:rPr>
        <w:t>one with a central piercing and one pierced at the edge, Welch 1983, 608, fig. 92 g and h)</w:t>
      </w:r>
      <w:r w:rsidR="00C5115C" w:rsidRPr="00CF0992">
        <w:rPr>
          <w:rFonts w:cstheme="minorHAnsi"/>
        </w:rPr>
        <w:t>.</w:t>
      </w:r>
      <w:r w:rsidR="006D1271" w:rsidRPr="00CF0992">
        <w:rPr>
          <w:rFonts w:cstheme="minorHAnsi"/>
        </w:rPr>
        <w:t xml:space="preserve"> W</w:t>
      </w:r>
      <w:r w:rsidR="0005316C" w:rsidRPr="00CF0992">
        <w:rPr>
          <w:rFonts w:cstheme="minorHAnsi"/>
        </w:rPr>
        <w:t xml:space="preserve">e can </w:t>
      </w:r>
      <w:r w:rsidR="000D3A57">
        <w:rPr>
          <w:rFonts w:cstheme="minorHAnsi"/>
        </w:rPr>
        <w:t xml:space="preserve">investigate </w:t>
      </w:r>
      <w:r w:rsidR="002B4885">
        <w:rPr>
          <w:rFonts w:cstheme="minorHAnsi"/>
        </w:rPr>
        <w:t xml:space="preserve">piercing details and contexts for pierced coins </w:t>
      </w:r>
      <w:r w:rsidR="0005316C" w:rsidRPr="00CF0992">
        <w:rPr>
          <w:rFonts w:cstheme="minorHAnsi"/>
        </w:rPr>
        <w:t>to try and establish what</w:t>
      </w:r>
      <w:r w:rsidR="006D1271" w:rsidRPr="00CF0992">
        <w:rPr>
          <w:rFonts w:cstheme="minorHAnsi"/>
        </w:rPr>
        <w:t xml:space="preserve"> kinds of value</w:t>
      </w:r>
      <w:r w:rsidR="0005316C" w:rsidRPr="00CF0992">
        <w:rPr>
          <w:rFonts w:cstheme="minorHAnsi"/>
        </w:rPr>
        <w:t>s they had.</w:t>
      </w:r>
    </w:p>
    <w:p w14:paraId="3345068B" w14:textId="64C84A0D" w:rsidR="000D3A57" w:rsidRDefault="000D1104" w:rsidP="00BF28D7">
      <w:pPr>
        <w:autoSpaceDE w:val="0"/>
        <w:autoSpaceDN w:val="0"/>
        <w:adjustRightInd w:val="0"/>
        <w:rPr>
          <w:rFonts w:cstheme="minorHAnsi"/>
        </w:rPr>
      </w:pPr>
      <w:r w:rsidRPr="00CF0992">
        <w:rPr>
          <w:rFonts w:cstheme="minorHAnsi"/>
        </w:rPr>
        <w:t>There are some examples where it appears the image was displayed correctly</w:t>
      </w:r>
      <w:r w:rsidR="007A24E7" w:rsidRPr="00CF0992">
        <w:rPr>
          <w:rFonts w:cstheme="minorHAnsi"/>
        </w:rPr>
        <w:t>,</w:t>
      </w:r>
      <w:r w:rsidRPr="00CF0992">
        <w:rPr>
          <w:rFonts w:cstheme="minorHAnsi"/>
        </w:rPr>
        <w:t xml:space="preserve"> and so the value </w:t>
      </w:r>
      <w:r w:rsidR="007A24E7" w:rsidRPr="00CF0992">
        <w:rPr>
          <w:rFonts w:cstheme="minorHAnsi"/>
        </w:rPr>
        <w:t xml:space="preserve">is related to the motif on the coin. </w:t>
      </w:r>
      <w:r w:rsidR="000D3A57">
        <w:rPr>
          <w:rFonts w:cstheme="minorHAnsi"/>
        </w:rPr>
        <w:t xml:space="preserve">For example, </w:t>
      </w:r>
      <w:r w:rsidR="000D3A57" w:rsidRPr="002113F3">
        <w:rPr>
          <w:rFonts w:cstheme="minorHAnsi"/>
        </w:rPr>
        <w:t>SUR-0AD1D0</w:t>
      </w:r>
      <w:r w:rsidR="000D3A57">
        <w:rPr>
          <w:rFonts w:cstheme="minorHAnsi"/>
        </w:rPr>
        <w:t xml:space="preserve"> and </w:t>
      </w:r>
      <w:r w:rsidR="000D3A57" w:rsidRPr="002113F3">
        <w:rPr>
          <w:rFonts w:cstheme="minorHAnsi"/>
        </w:rPr>
        <w:t>BM-EA8D87</w:t>
      </w:r>
      <w:r w:rsidR="000D3A57">
        <w:rPr>
          <w:rFonts w:cstheme="minorHAnsi"/>
        </w:rPr>
        <w:t xml:space="preserve"> </w:t>
      </w:r>
      <w:r w:rsidR="000D3A57" w:rsidRPr="00CF0992">
        <w:rPr>
          <w:rFonts w:cstheme="minorHAnsi"/>
        </w:rPr>
        <w:t xml:space="preserve">both </w:t>
      </w:r>
      <w:r w:rsidR="007A24E7" w:rsidRPr="00CF0992">
        <w:rPr>
          <w:rFonts w:cstheme="minorHAnsi"/>
        </w:rPr>
        <w:t>show correct orientation of the reverse</w:t>
      </w:r>
      <w:r w:rsidR="00B15E07">
        <w:rPr>
          <w:rFonts w:cstheme="minorHAnsi"/>
        </w:rPr>
        <w:t xml:space="preserve"> (Figure 4)</w:t>
      </w:r>
      <w:r w:rsidR="007A24E7" w:rsidRPr="00CF0992">
        <w:rPr>
          <w:rFonts w:cstheme="minorHAnsi"/>
        </w:rPr>
        <w:t xml:space="preserve">. </w:t>
      </w:r>
      <w:r w:rsidR="00ED360F">
        <w:rPr>
          <w:rFonts w:cstheme="minorHAnsi"/>
        </w:rPr>
        <w:t>I</w:t>
      </w:r>
      <w:r w:rsidR="007A24E7" w:rsidRPr="00CF0992">
        <w:rPr>
          <w:rFonts w:cstheme="minorHAnsi"/>
        </w:rPr>
        <w:t>t is rare</w:t>
      </w:r>
      <w:r w:rsidR="00ED360F">
        <w:rPr>
          <w:rFonts w:cstheme="minorHAnsi"/>
        </w:rPr>
        <w:t>, however,</w:t>
      </w:r>
      <w:r w:rsidR="007A24E7" w:rsidRPr="00CF0992">
        <w:rPr>
          <w:rFonts w:cstheme="minorHAnsi"/>
        </w:rPr>
        <w:t xml:space="preserve"> that the piercing is positioned so that one </w:t>
      </w:r>
      <w:r w:rsidR="000D3A57">
        <w:rPr>
          <w:rFonts w:cstheme="minorHAnsi"/>
        </w:rPr>
        <w:t>or both</w:t>
      </w:r>
      <w:r w:rsidR="007A24E7" w:rsidRPr="00CF0992">
        <w:rPr>
          <w:rFonts w:cstheme="minorHAnsi"/>
        </w:rPr>
        <w:t xml:space="preserve"> images would be displayed upright when the object was suspended. Burnett interprets this to indicate the image was</w:t>
      </w:r>
      <w:r w:rsidR="00ED360F">
        <w:rPr>
          <w:rFonts w:cstheme="minorHAnsi"/>
        </w:rPr>
        <w:t xml:space="preserve"> </w:t>
      </w:r>
      <w:r w:rsidR="007A24E7" w:rsidRPr="00CF0992">
        <w:rPr>
          <w:rFonts w:cstheme="minorHAnsi"/>
        </w:rPr>
        <w:t>n</w:t>
      </w:r>
      <w:r w:rsidR="00ED360F">
        <w:rPr>
          <w:rFonts w:cstheme="minorHAnsi"/>
        </w:rPr>
        <w:t>o</w:t>
      </w:r>
      <w:r w:rsidR="007A24E7" w:rsidRPr="00CF0992">
        <w:rPr>
          <w:rFonts w:cstheme="minorHAnsi"/>
        </w:rPr>
        <w:t>t significant (Burnett 2005</w:t>
      </w:r>
      <w:r w:rsidR="00360A07">
        <w:rPr>
          <w:rFonts w:cstheme="minorHAnsi"/>
        </w:rPr>
        <w:t>, 24</w:t>
      </w:r>
      <w:r w:rsidR="00D06F9F">
        <w:rPr>
          <w:rFonts w:cstheme="minorHAnsi"/>
        </w:rPr>
        <w:t>–</w:t>
      </w:r>
      <w:r w:rsidR="00360A07">
        <w:rPr>
          <w:rFonts w:cstheme="minorHAnsi"/>
        </w:rPr>
        <w:t>5</w:t>
      </w:r>
      <w:r w:rsidR="007A24E7" w:rsidRPr="00CF0992">
        <w:rPr>
          <w:rFonts w:cstheme="minorHAnsi"/>
        </w:rPr>
        <w:t>)</w:t>
      </w:r>
      <w:r w:rsidR="00ED360F">
        <w:rPr>
          <w:rFonts w:cstheme="minorHAnsi"/>
        </w:rPr>
        <w:t>. Yet</w:t>
      </w:r>
      <w:r w:rsidR="00727B65" w:rsidRPr="00CF0992">
        <w:rPr>
          <w:rFonts w:cstheme="minorHAnsi"/>
        </w:rPr>
        <w:t xml:space="preserve"> </w:t>
      </w:r>
      <w:r w:rsidR="00ED360F">
        <w:rPr>
          <w:rFonts w:cstheme="minorHAnsi"/>
        </w:rPr>
        <w:t>if we consider instead whether the piercing avoids the image, this is the case for</w:t>
      </w:r>
      <w:r w:rsidR="00673B77" w:rsidRPr="00CF0992">
        <w:rPr>
          <w:rFonts w:cstheme="minorHAnsi"/>
        </w:rPr>
        <w:t xml:space="preserve"> about 90% </w:t>
      </w:r>
      <w:r w:rsidR="00ED360F">
        <w:rPr>
          <w:rFonts w:cstheme="minorHAnsi"/>
        </w:rPr>
        <w:t>of pierced coins</w:t>
      </w:r>
      <w:r w:rsidR="00B15E07">
        <w:rPr>
          <w:rFonts w:cstheme="minorHAnsi"/>
        </w:rPr>
        <w:t xml:space="preserve"> in the PAS data sample</w:t>
      </w:r>
      <w:r w:rsidR="00ED360F">
        <w:rPr>
          <w:rFonts w:cstheme="minorHAnsi"/>
        </w:rPr>
        <w:t xml:space="preserve">, which implies </w:t>
      </w:r>
      <w:r w:rsidR="00673B77" w:rsidRPr="00CF0992">
        <w:rPr>
          <w:rFonts w:cstheme="minorHAnsi"/>
        </w:rPr>
        <w:t xml:space="preserve">the image </w:t>
      </w:r>
      <w:r w:rsidR="00673B77" w:rsidRPr="001809A6">
        <w:rPr>
          <w:rFonts w:cstheme="minorHAnsi"/>
        </w:rPr>
        <w:t xml:space="preserve">was </w:t>
      </w:r>
      <w:r w:rsidR="00673B77" w:rsidRPr="00CF0992">
        <w:rPr>
          <w:rFonts w:cstheme="minorHAnsi"/>
        </w:rPr>
        <w:t>valued</w:t>
      </w:r>
      <w:r w:rsidR="00EF170C">
        <w:rPr>
          <w:rFonts w:cstheme="minorHAnsi"/>
        </w:rPr>
        <w:t xml:space="preserve"> in some way</w:t>
      </w:r>
      <w:r w:rsidR="00673B77" w:rsidRPr="00CF0992">
        <w:rPr>
          <w:rFonts w:cstheme="minorHAnsi"/>
        </w:rPr>
        <w:t xml:space="preserve">. We </w:t>
      </w:r>
      <w:r w:rsidR="000D3A57">
        <w:rPr>
          <w:rFonts w:cstheme="minorHAnsi"/>
        </w:rPr>
        <w:t xml:space="preserve">must </w:t>
      </w:r>
      <w:r w:rsidR="00673B77" w:rsidRPr="00CF0992">
        <w:rPr>
          <w:rFonts w:cstheme="minorHAnsi"/>
        </w:rPr>
        <w:t xml:space="preserve">also </w:t>
      </w:r>
      <w:r w:rsidR="000D3A57">
        <w:rPr>
          <w:rFonts w:cstheme="minorHAnsi"/>
        </w:rPr>
        <w:t xml:space="preserve">consider </w:t>
      </w:r>
      <w:r w:rsidR="00EF170C">
        <w:rPr>
          <w:rFonts w:cstheme="minorHAnsi"/>
        </w:rPr>
        <w:t>that a coin</w:t>
      </w:r>
      <w:r w:rsidR="006B0392">
        <w:rPr>
          <w:rFonts w:cstheme="minorHAnsi"/>
        </w:rPr>
        <w:t xml:space="preserve"> with a piercing that is not directly above the obverse or reverse image</w:t>
      </w:r>
      <w:r w:rsidR="00673B77" w:rsidRPr="00CF0992">
        <w:rPr>
          <w:rFonts w:cstheme="minorHAnsi"/>
        </w:rPr>
        <w:t xml:space="preserve"> could </w:t>
      </w:r>
      <w:r w:rsidR="006B0392" w:rsidRPr="00CF0992">
        <w:rPr>
          <w:rFonts w:cstheme="minorHAnsi"/>
        </w:rPr>
        <w:t xml:space="preserve">still </w:t>
      </w:r>
      <w:r w:rsidR="00673B77" w:rsidRPr="00CF0992">
        <w:rPr>
          <w:rFonts w:cstheme="minorHAnsi"/>
        </w:rPr>
        <w:t>have been displayed upright if attached to a flat surface rather than suspended.</w:t>
      </w:r>
      <w:r w:rsidR="00727B65" w:rsidRPr="00CF0992">
        <w:rPr>
          <w:rFonts w:cstheme="minorHAnsi"/>
        </w:rPr>
        <w:t xml:space="preserve"> </w:t>
      </w:r>
    </w:p>
    <w:p w14:paraId="110E0716" w14:textId="77777777" w:rsidR="00B15E07" w:rsidRDefault="00B15E07" w:rsidP="00B15E07">
      <w:pPr>
        <w:autoSpaceDE w:val="0"/>
        <w:autoSpaceDN w:val="0"/>
        <w:adjustRightInd w:val="0"/>
        <w:rPr>
          <w:rFonts w:cstheme="minorHAnsi"/>
        </w:rPr>
      </w:pPr>
      <w:r>
        <w:rPr>
          <w:rFonts w:cstheme="minorHAnsi"/>
        </w:rPr>
        <w:t>[INSERT FIGURE 4 HERE]</w:t>
      </w:r>
    </w:p>
    <w:p w14:paraId="28982850" w14:textId="1E72DD7D" w:rsidR="000D1104" w:rsidRPr="00CF0992" w:rsidRDefault="00727B65" w:rsidP="00BF28D7">
      <w:pPr>
        <w:autoSpaceDE w:val="0"/>
        <w:autoSpaceDN w:val="0"/>
        <w:adjustRightInd w:val="0"/>
        <w:rPr>
          <w:rFonts w:cstheme="minorHAnsi"/>
        </w:rPr>
      </w:pPr>
      <w:r w:rsidRPr="00CF0992">
        <w:rPr>
          <w:rFonts w:cstheme="minorHAnsi"/>
        </w:rPr>
        <w:t xml:space="preserve">In a recent survey of coin iconography within the social context, </w:t>
      </w:r>
      <w:proofErr w:type="spellStart"/>
      <w:r w:rsidRPr="00CF0992">
        <w:rPr>
          <w:rFonts w:cstheme="minorHAnsi"/>
        </w:rPr>
        <w:t>Kemmers</w:t>
      </w:r>
      <w:proofErr w:type="spellEnd"/>
      <w:r w:rsidRPr="00CF0992">
        <w:rPr>
          <w:rFonts w:cstheme="minorHAnsi"/>
        </w:rPr>
        <w:t xml:space="preserve"> gives a range of </w:t>
      </w:r>
      <w:r w:rsidR="00C62656" w:rsidRPr="00CF0992">
        <w:rPr>
          <w:rFonts w:cstheme="minorHAnsi"/>
        </w:rPr>
        <w:t xml:space="preserve">earlier Roman </w:t>
      </w:r>
      <w:r w:rsidRPr="00CF0992">
        <w:rPr>
          <w:rFonts w:cstheme="minorHAnsi"/>
        </w:rPr>
        <w:t xml:space="preserve">examples that demonstrate that users were aware of the imagery on the Roman coins they used, for example defacement of coinage, or preferential selection of </w:t>
      </w:r>
      <w:proofErr w:type="gramStart"/>
      <w:r w:rsidRPr="00CF0992">
        <w:rPr>
          <w:rFonts w:cstheme="minorHAnsi"/>
        </w:rPr>
        <w:t>particular images</w:t>
      </w:r>
      <w:proofErr w:type="gramEnd"/>
      <w:r w:rsidRPr="00CF0992">
        <w:rPr>
          <w:rFonts w:cstheme="minorHAnsi"/>
        </w:rPr>
        <w:t xml:space="preserve"> for coins deposited in grave contexts (</w:t>
      </w:r>
      <w:proofErr w:type="spellStart"/>
      <w:r w:rsidRPr="00CF0992">
        <w:rPr>
          <w:rFonts w:cstheme="minorHAnsi"/>
        </w:rPr>
        <w:t>Kemmers</w:t>
      </w:r>
      <w:proofErr w:type="spellEnd"/>
      <w:r w:rsidRPr="00CF0992">
        <w:rPr>
          <w:rFonts w:cstheme="minorHAnsi"/>
        </w:rPr>
        <w:t xml:space="preserve"> 2022, 347</w:t>
      </w:r>
      <w:r w:rsidR="00D06F9F">
        <w:rPr>
          <w:rFonts w:cstheme="minorHAnsi"/>
        </w:rPr>
        <w:t>–</w:t>
      </w:r>
      <w:r w:rsidRPr="00CF0992">
        <w:rPr>
          <w:rFonts w:cstheme="minorHAnsi"/>
        </w:rPr>
        <w:t>9</w:t>
      </w:r>
      <w:r w:rsidRPr="00D8575A">
        <w:rPr>
          <w:rFonts w:cstheme="minorHAnsi"/>
        </w:rPr>
        <w:t xml:space="preserve">). </w:t>
      </w:r>
      <w:r w:rsidR="00D8575A" w:rsidRPr="00D8575A">
        <w:rPr>
          <w:rFonts w:cstheme="minorHAnsi"/>
        </w:rPr>
        <w:t xml:space="preserve">This has also been suggested by Crummy for late Roman grave contexts in Britain (Crummy 2010,  </w:t>
      </w:r>
      <w:r w:rsidR="00D8575A">
        <w:rPr>
          <w:rFonts w:cstheme="minorHAnsi"/>
        </w:rPr>
        <w:t>60</w:t>
      </w:r>
      <w:r w:rsidR="00D06F9F">
        <w:rPr>
          <w:rFonts w:cstheme="minorHAnsi"/>
        </w:rPr>
        <w:t>–</w:t>
      </w:r>
      <w:r w:rsidR="00D8575A">
        <w:rPr>
          <w:rFonts w:cstheme="minorHAnsi"/>
        </w:rPr>
        <w:t>74).</w:t>
      </w:r>
    </w:p>
    <w:p w14:paraId="2BC19932" w14:textId="7E6E8D7B" w:rsidR="00CA1F2B" w:rsidRPr="00CF0992" w:rsidRDefault="00903DE1" w:rsidP="00BF28D7">
      <w:pPr>
        <w:autoSpaceDE w:val="0"/>
        <w:autoSpaceDN w:val="0"/>
        <w:adjustRightInd w:val="0"/>
        <w:rPr>
          <w:rFonts w:cstheme="minorHAnsi"/>
        </w:rPr>
      </w:pPr>
      <w:r>
        <w:rPr>
          <w:rFonts w:cstheme="minorHAnsi"/>
        </w:rPr>
        <w:t>T</w:t>
      </w:r>
      <w:r w:rsidRPr="00CF0992">
        <w:rPr>
          <w:rFonts w:cstheme="minorHAnsi"/>
        </w:rPr>
        <w:t>o judge by the contexts in which they are found</w:t>
      </w:r>
      <w:r>
        <w:rPr>
          <w:rFonts w:cstheme="minorHAnsi"/>
        </w:rPr>
        <w:t>, i</w:t>
      </w:r>
      <w:r w:rsidR="00C5115C" w:rsidRPr="00CF0992">
        <w:rPr>
          <w:rFonts w:cstheme="minorHAnsi"/>
        </w:rPr>
        <w:t>n some cases</w:t>
      </w:r>
      <w:r w:rsidR="00727B65" w:rsidRPr="00CF0992">
        <w:rPr>
          <w:rFonts w:cstheme="minorHAnsi"/>
        </w:rPr>
        <w:t xml:space="preserve"> </w:t>
      </w:r>
      <w:r w:rsidR="00B4662E" w:rsidRPr="00CF0992">
        <w:rPr>
          <w:rFonts w:cstheme="minorHAnsi"/>
        </w:rPr>
        <w:t>pierced coins</w:t>
      </w:r>
      <w:r w:rsidR="00C5115C" w:rsidRPr="00CF0992">
        <w:rPr>
          <w:rFonts w:cstheme="minorHAnsi"/>
        </w:rPr>
        <w:t xml:space="preserve"> w</w:t>
      </w:r>
      <w:r w:rsidR="00B4662E" w:rsidRPr="00CF0992">
        <w:rPr>
          <w:rFonts w:cstheme="minorHAnsi"/>
        </w:rPr>
        <w:t xml:space="preserve">ere valued as </w:t>
      </w:r>
      <w:r w:rsidR="00D75E19" w:rsidRPr="00CF0992">
        <w:rPr>
          <w:rFonts w:cstheme="minorHAnsi"/>
        </w:rPr>
        <w:t>amulets</w:t>
      </w:r>
      <w:r>
        <w:rPr>
          <w:rFonts w:cstheme="minorHAnsi"/>
        </w:rPr>
        <w:t>.</w:t>
      </w:r>
      <w:r w:rsidR="00D75E19" w:rsidRPr="00CF0992">
        <w:rPr>
          <w:rFonts w:cstheme="minorHAnsi"/>
        </w:rPr>
        <w:t xml:space="preserve"> </w:t>
      </w:r>
      <w:r w:rsidR="005A30A1" w:rsidRPr="00CF0992">
        <w:rPr>
          <w:rFonts w:cstheme="minorHAnsi"/>
        </w:rPr>
        <w:t>For example, in c</w:t>
      </w:r>
      <w:r w:rsidR="00BF28D7" w:rsidRPr="00CF0992">
        <w:rPr>
          <w:rFonts w:cstheme="minorHAnsi"/>
        </w:rPr>
        <w:t>ontexts at the late Roman cemeteries in Colchester</w:t>
      </w:r>
      <w:r w:rsidR="005A30A1" w:rsidRPr="00CF0992">
        <w:rPr>
          <w:rFonts w:cstheme="minorHAnsi"/>
        </w:rPr>
        <w:t>,</w:t>
      </w:r>
      <w:r w:rsidR="00BF28D7" w:rsidRPr="00CF0992">
        <w:rPr>
          <w:rFonts w:cstheme="minorHAnsi"/>
        </w:rPr>
        <w:t xml:space="preserve"> pierced coins are found in grave assemblages</w:t>
      </w:r>
      <w:r w:rsidR="00976F9D">
        <w:rPr>
          <w:rFonts w:cstheme="minorHAnsi"/>
        </w:rPr>
        <w:t xml:space="preserve"> (Burnett 2005, 19). In graves, they are</w:t>
      </w:r>
      <w:r w:rsidR="00BF28D7" w:rsidRPr="00CF0992">
        <w:rPr>
          <w:rFonts w:cstheme="minorHAnsi"/>
        </w:rPr>
        <w:t xml:space="preserve"> associated with other established amuletic objects such as pierced teeth, bells, and lunula pendants</w:t>
      </w:r>
      <w:r w:rsidR="00D75E19" w:rsidRPr="00CF0992">
        <w:rPr>
          <w:rFonts w:cstheme="minorHAnsi"/>
        </w:rPr>
        <w:t xml:space="preserve"> (</w:t>
      </w:r>
      <w:r w:rsidR="00BF28D7" w:rsidRPr="00CF0992">
        <w:rPr>
          <w:rFonts w:cstheme="minorHAnsi"/>
        </w:rPr>
        <w:t>Crummy, Crummy and Crossan 1993, 41, 133</w:t>
      </w:r>
      <w:r w:rsidR="00D06F9F">
        <w:rPr>
          <w:rFonts w:cstheme="minorHAnsi"/>
        </w:rPr>
        <w:t>–</w:t>
      </w:r>
      <w:r w:rsidR="00BF28D7" w:rsidRPr="00CF0992">
        <w:rPr>
          <w:rFonts w:cstheme="minorHAnsi"/>
        </w:rPr>
        <w:t>142, 154, 160</w:t>
      </w:r>
      <w:r w:rsidR="00D06F9F">
        <w:rPr>
          <w:rFonts w:cstheme="minorHAnsi"/>
        </w:rPr>
        <w:t>–</w:t>
      </w:r>
      <w:r w:rsidR="00BF28D7" w:rsidRPr="00CF0992">
        <w:rPr>
          <w:rFonts w:cstheme="minorHAnsi"/>
        </w:rPr>
        <w:t>62; on Anglo-Saxon contexts, see White 1988</w:t>
      </w:r>
      <w:r w:rsidR="005A30A1" w:rsidRPr="00CF0992">
        <w:rPr>
          <w:rFonts w:cstheme="minorHAnsi"/>
        </w:rPr>
        <w:t>, 101</w:t>
      </w:r>
      <w:r w:rsidR="00BF28D7" w:rsidRPr="00CF0992">
        <w:rPr>
          <w:rFonts w:cstheme="minorHAnsi"/>
        </w:rPr>
        <w:t xml:space="preserve">; </w:t>
      </w:r>
      <w:r w:rsidR="00A72DFF" w:rsidRPr="00CF0992">
        <w:rPr>
          <w:rFonts w:cstheme="minorHAnsi"/>
        </w:rPr>
        <w:t>see also Kay 2016, 95</w:t>
      </w:r>
      <w:r w:rsidR="00D06F9F">
        <w:rPr>
          <w:rFonts w:cstheme="minorHAnsi"/>
        </w:rPr>
        <w:t>–</w:t>
      </w:r>
      <w:r w:rsidR="00A72DFF" w:rsidRPr="00CF0992">
        <w:rPr>
          <w:rFonts w:cstheme="minorHAnsi"/>
        </w:rPr>
        <w:t>98</w:t>
      </w:r>
      <w:r w:rsidR="00D75E19" w:rsidRPr="00CF0992">
        <w:rPr>
          <w:rFonts w:cstheme="minorHAnsi"/>
        </w:rPr>
        <w:t>)</w:t>
      </w:r>
      <w:r w:rsidR="00472869" w:rsidRPr="00CF0992">
        <w:rPr>
          <w:rFonts w:cstheme="minorHAnsi"/>
        </w:rPr>
        <w:t>.</w:t>
      </w:r>
      <w:r w:rsidR="00D75E19" w:rsidRPr="00CF0992">
        <w:rPr>
          <w:rFonts w:cstheme="minorHAnsi"/>
        </w:rPr>
        <w:t xml:space="preserve"> </w:t>
      </w:r>
      <w:r>
        <w:rPr>
          <w:rFonts w:cstheme="minorHAnsi"/>
        </w:rPr>
        <w:t xml:space="preserve">An example is </w:t>
      </w:r>
      <w:r w:rsidR="001953F0" w:rsidRPr="00CF0992">
        <w:rPr>
          <w:rFonts w:cstheme="minorHAnsi"/>
        </w:rPr>
        <w:t>Colchester grave 406</w:t>
      </w:r>
      <w:r>
        <w:rPr>
          <w:rFonts w:cstheme="minorHAnsi"/>
        </w:rPr>
        <w:t>,</w:t>
      </w:r>
      <w:r w:rsidR="001953F0" w:rsidRPr="00CF0992">
        <w:rPr>
          <w:rFonts w:cstheme="minorHAnsi"/>
        </w:rPr>
        <w:t xml:space="preserve"> with an assemblage, probably </w:t>
      </w:r>
      <w:r>
        <w:rPr>
          <w:rFonts w:cstheme="minorHAnsi"/>
        </w:rPr>
        <w:t xml:space="preserve">comprising </w:t>
      </w:r>
      <w:r w:rsidR="001953F0" w:rsidRPr="00CF0992">
        <w:rPr>
          <w:rFonts w:cstheme="minorHAnsi"/>
        </w:rPr>
        <w:t>a necklace or bracelet, of a pierced coin of Valens and other beads and pendants</w:t>
      </w:r>
      <w:r w:rsidR="00A17C89">
        <w:rPr>
          <w:rFonts w:cstheme="minorHAnsi"/>
        </w:rPr>
        <w:t>,</w:t>
      </w:r>
      <w:r w:rsidR="001953F0" w:rsidRPr="00CF0992">
        <w:rPr>
          <w:rFonts w:cstheme="minorHAnsi"/>
        </w:rPr>
        <w:t xml:space="preserve"> including a silver lunula </w:t>
      </w:r>
      <w:r w:rsidR="001953F0" w:rsidRPr="00CF0992">
        <w:rPr>
          <w:rFonts w:cstheme="minorHAnsi"/>
        </w:rPr>
        <w:lastRenderedPageBreak/>
        <w:t>pendant.</w:t>
      </w:r>
      <w:r w:rsidR="00727B65" w:rsidRPr="00CF0992">
        <w:rPr>
          <w:rFonts w:cstheme="minorHAnsi"/>
        </w:rPr>
        <w:t xml:space="preserve"> The wear patterns on</w:t>
      </w:r>
      <w:r w:rsidR="00701CED">
        <w:rPr>
          <w:rFonts w:cstheme="minorHAnsi"/>
        </w:rPr>
        <w:t xml:space="preserve"> coins recorded by the</w:t>
      </w:r>
      <w:r w:rsidR="00727B65" w:rsidRPr="00CF0992">
        <w:rPr>
          <w:rFonts w:cstheme="minorHAnsi"/>
        </w:rPr>
        <w:t xml:space="preserve"> P</w:t>
      </w:r>
      <w:r w:rsidR="00701CED">
        <w:rPr>
          <w:rFonts w:cstheme="minorHAnsi"/>
        </w:rPr>
        <w:t xml:space="preserve">ortable </w:t>
      </w:r>
      <w:r w:rsidR="00727B65" w:rsidRPr="00CF0992">
        <w:rPr>
          <w:rFonts w:cstheme="minorHAnsi"/>
        </w:rPr>
        <w:t>A</w:t>
      </w:r>
      <w:r w:rsidR="00701CED">
        <w:rPr>
          <w:rFonts w:cstheme="minorHAnsi"/>
        </w:rPr>
        <w:t xml:space="preserve">ntiquities </w:t>
      </w:r>
      <w:r w:rsidR="00727B65" w:rsidRPr="00CF0992">
        <w:rPr>
          <w:rFonts w:cstheme="minorHAnsi"/>
        </w:rPr>
        <w:t>S</w:t>
      </w:r>
      <w:r w:rsidR="00701CED">
        <w:rPr>
          <w:rFonts w:cstheme="minorHAnsi"/>
        </w:rPr>
        <w:t>cheme</w:t>
      </w:r>
      <w:r w:rsidR="00727B65" w:rsidRPr="00CF0992">
        <w:rPr>
          <w:rFonts w:cstheme="minorHAnsi"/>
        </w:rPr>
        <w:t xml:space="preserve"> provide further evidence of suspension, perhaps as amulets</w:t>
      </w:r>
      <w:r w:rsidR="00A17C89">
        <w:rPr>
          <w:rFonts w:cstheme="minorHAnsi"/>
        </w:rPr>
        <w:t>—</w:t>
      </w:r>
      <w:r w:rsidR="001809A6">
        <w:rPr>
          <w:rFonts w:cstheme="minorHAnsi"/>
        </w:rPr>
        <w:t xml:space="preserve">see, for example, </w:t>
      </w:r>
      <w:r w:rsidR="001809A6" w:rsidRPr="001809A6">
        <w:rPr>
          <w:rFonts w:cstheme="minorHAnsi"/>
        </w:rPr>
        <w:t>SUR-0AD1D0</w:t>
      </w:r>
      <w:r w:rsidR="005A5E27">
        <w:rPr>
          <w:rFonts w:cstheme="minorHAnsi"/>
        </w:rPr>
        <w:t xml:space="preserve"> (top left) and BM-EA8D87 (top right)</w:t>
      </w:r>
      <w:r w:rsidR="001809A6">
        <w:rPr>
          <w:rFonts w:cstheme="minorHAnsi"/>
        </w:rPr>
        <w:t xml:space="preserve"> in F</w:t>
      </w:r>
      <w:r w:rsidR="005A5E27">
        <w:rPr>
          <w:rFonts w:cstheme="minorHAnsi"/>
        </w:rPr>
        <w:t>igure 4</w:t>
      </w:r>
      <w:r w:rsidR="001809A6">
        <w:rPr>
          <w:rFonts w:cstheme="minorHAnsi"/>
        </w:rPr>
        <w:t xml:space="preserve"> above</w:t>
      </w:r>
      <w:r w:rsidR="00AC11AC">
        <w:rPr>
          <w:rFonts w:cstheme="minorHAnsi"/>
        </w:rPr>
        <w:t>.</w:t>
      </w:r>
      <w:r w:rsidR="00AC11AC">
        <w:rPr>
          <w:rStyle w:val="FootnoteReference"/>
          <w:rFonts w:cstheme="minorHAnsi"/>
        </w:rPr>
        <w:footnoteReference w:id="4"/>
      </w:r>
    </w:p>
    <w:p w14:paraId="0745A944" w14:textId="06FC50F1" w:rsidR="003E08E7" w:rsidRDefault="003224C8" w:rsidP="003E08E7">
      <w:pPr>
        <w:autoSpaceDE w:val="0"/>
        <w:autoSpaceDN w:val="0"/>
        <w:adjustRightInd w:val="0"/>
        <w:rPr>
          <w:rFonts w:cstheme="minorHAnsi"/>
        </w:rPr>
      </w:pPr>
      <w:r w:rsidRPr="00CF0992">
        <w:rPr>
          <w:rFonts w:cstheme="minorHAnsi"/>
        </w:rPr>
        <w:t>We can also see, though, from the P</w:t>
      </w:r>
      <w:r w:rsidR="00701CED">
        <w:rPr>
          <w:rFonts w:cstheme="minorHAnsi"/>
        </w:rPr>
        <w:t>ortable Antiquities</w:t>
      </w:r>
      <w:r w:rsidRPr="00CF0992">
        <w:rPr>
          <w:rFonts w:cstheme="minorHAnsi"/>
        </w:rPr>
        <w:t xml:space="preserve"> examples</w:t>
      </w:r>
      <w:r w:rsidR="00A17C89">
        <w:rPr>
          <w:rFonts w:cstheme="minorHAnsi"/>
        </w:rPr>
        <w:t>,</w:t>
      </w:r>
      <w:r w:rsidRPr="00CF0992">
        <w:rPr>
          <w:rFonts w:cstheme="minorHAnsi"/>
        </w:rPr>
        <w:t xml:space="preserve"> that there is a lot of variety</w:t>
      </w:r>
      <w:r w:rsidR="00AC28A3" w:rsidRPr="00CF0992">
        <w:rPr>
          <w:rFonts w:cstheme="minorHAnsi"/>
        </w:rPr>
        <w:t xml:space="preserve"> in types of piercings</w:t>
      </w:r>
      <w:r w:rsidR="009C041C">
        <w:rPr>
          <w:rFonts w:cstheme="minorHAnsi"/>
        </w:rPr>
        <w:t xml:space="preserve"> (see F</w:t>
      </w:r>
      <w:r w:rsidR="00B15E07">
        <w:rPr>
          <w:rFonts w:cstheme="minorHAnsi"/>
        </w:rPr>
        <w:t>igures 3,</w:t>
      </w:r>
      <w:r w:rsidR="00FF0AF6">
        <w:rPr>
          <w:rFonts w:cstheme="minorHAnsi"/>
        </w:rPr>
        <w:t xml:space="preserve"> </w:t>
      </w:r>
      <w:r w:rsidR="00B15E07">
        <w:rPr>
          <w:rFonts w:cstheme="minorHAnsi"/>
        </w:rPr>
        <w:t>4 and 5</w:t>
      </w:r>
      <w:r w:rsidR="009C041C">
        <w:rPr>
          <w:rFonts w:cstheme="minorHAnsi"/>
        </w:rPr>
        <w:t>)</w:t>
      </w:r>
      <w:r w:rsidR="00554B95" w:rsidRPr="00CF0992">
        <w:rPr>
          <w:rFonts w:cstheme="minorHAnsi"/>
        </w:rPr>
        <w:t>,</w:t>
      </w:r>
      <w:r w:rsidRPr="00CF0992">
        <w:rPr>
          <w:rFonts w:cstheme="minorHAnsi"/>
        </w:rPr>
        <w:t xml:space="preserve"> and</w:t>
      </w:r>
      <w:r w:rsidR="001953F0" w:rsidRPr="00CF0992">
        <w:rPr>
          <w:rFonts w:cstheme="minorHAnsi"/>
        </w:rPr>
        <w:t xml:space="preserve"> it may be misleading to rely on grave contexts to </w:t>
      </w:r>
      <w:r w:rsidR="00793A5B">
        <w:rPr>
          <w:rFonts w:cstheme="minorHAnsi"/>
        </w:rPr>
        <w:t>explain</w:t>
      </w:r>
      <w:r w:rsidR="001953F0" w:rsidRPr="00CF0992">
        <w:rPr>
          <w:rFonts w:cstheme="minorHAnsi"/>
        </w:rPr>
        <w:t xml:space="preserve"> the value of pierced coins in general. </w:t>
      </w:r>
      <w:r w:rsidR="003E08E7" w:rsidRPr="00CF0992">
        <w:rPr>
          <w:rFonts w:cstheme="minorHAnsi"/>
        </w:rPr>
        <w:t>The different types of piercing suggest such coins were used in diverse ways and held multiple different kinds of value</w:t>
      </w:r>
      <w:r w:rsidR="00C15898">
        <w:rPr>
          <w:rFonts w:cstheme="minorHAnsi"/>
        </w:rPr>
        <w:t xml:space="preserve"> (see also Burnett 2005, 37)</w:t>
      </w:r>
      <w:r w:rsidR="00727B65" w:rsidRPr="00CF0992">
        <w:rPr>
          <w:rFonts w:cstheme="minorHAnsi"/>
        </w:rPr>
        <w:t>.</w:t>
      </w:r>
    </w:p>
    <w:p w14:paraId="6AD22085" w14:textId="359BB16C" w:rsidR="00063215" w:rsidRPr="00CF0992" w:rsidRDefault="00901612" w:rsidP="003E08E7">
      <w:pPr>
        <w:autoSpaceDE w:val="0"/>
        <w:autoSpaceDN w:val="0"/>
        <w:adjustRightInd w:val="0"/>
        <w:rPr>
          <w:rFonts w:cstheme="minorHAnsi"/>
        </w:rPr>
      </w:pPr>
      <w:r>
        <w:rPr>
          <w:rFonts w:cstheme="minorHAnsi"/>
        </w:rPr>
        <w:t>[</w:t>
      </w:r>
      <w:r w:rsidR="00063215">
        <w:rPr>
          <w:rFonts w:cstheme="minorHAnsi"/>
        </w:rPr>
        <w:t>INSERT FIGURE 5 HERE</w:t>
      </w:r>
      <w:r>
        <w:rPr>
          <w:rFonts w:cstheme="minorHAnsi"/>
        </w:rPr>
        <w:t>]</w:t>
      </w:r>
    </w:p>
    <w:p w14:paraId="102AF15F" w14:textId="18B9DF4E" w:rsidR="003A3722" w:rsidRDefault="00AF3597" w:rsidP="00BF28D7">
      <w:pPr>
        <w:autoSpaceDE w:val="0"/>
        <w:autoSpaceDN w:val="0"/>
        <w:adjustRightInd w:val="0"/>
        <w:rPr>
          <w:rFonts w:cstheme="minorHAnsi"/>
        </w:rPr>
      </w:pPr>
      <w:r>
        <w:rPr>
          <w:rFonts w:cstheme="minorHAnsi"/>
        </w:rPr>
        <w:t xml:space="preserve">As an example, we can consider </w:t>
      </w:r>
      <w:r w:rsidRPr="00CF0992">
        <w:rPr>
          <w:rFonts w:cstheme="minorHAnsi"/>
        </w:rPr>
        <w:t xml:space="preserve">a coin </w:t>
      </w:r>
      <w:r>
        <w:rPr>
          <w:rFonts w:cstheme="minorHAnsi"/>
        </w:rPr>
        <w:t xml:space="preserve">from </w:t>
      </w:r>
      <w:r w:rsidR="00206980" w:rsidRPr="00CF0992">
        <w:rPr>
          <w:rFonts w:cstheme="minorHAnsi"/>
        </w:rPr>
        <w:t>Poundbury</w:t>
      </w:r>
      <w:r>
        <w:rPr>
          <w:rFonts w:cstheme="minorHAnsi"/>
        </w:rPr>
        <w:t>,</w:t>
      </w:r>
      <w:r w:rsidR="00206980" w:rsidRPr="00CF0992">
        <w:rPr>
          <w:rFonts w:cstheme="minorHAnsi"/>
        </w:rPr>
        <w:t xml:space="preserve"> with a chi-rho motif on the reverse</w:t>
      </w:r>
      <w:r>
        <w:rPr>
          <w:rFonts w:cstheme="minorHAnsi"/>
        </w:rPr>
        <w:t xml:space="preserve"> </w:t>
      </w:r>
      <w:r w:rsidR="00206980" w:rsidRPr="00CF0992">
        <w:rPr>
          <w:rFonts w:cstheme="minorHAnsi"/>
        </w:rPr>
        <w:t>and a central piercing, whose context, made up of roof fall and wall plaster in</w:t>
      </w:r>
      <w:r w:rsidR="0005316C" w:rsidRPr="00CF0992">
        <w:rPr>
          <w:rFonts w:cstheme="minorHAnsi"/>
        </w:rPr>
        <w:t xml:space="preserve"> late Roman</w:t>
      </w:r>
      <w:r w:rsidR="00206980" w:rsidRPr="00CF0992">
        <w:rPr>
          <w:rFonts w:cstheme="minorHAnsi"/>
        </w:rPr>
        <w:t xml:space="preserve"> mausoleum R8, suggests it may have been nailed to the wall</w:t>
      </w:r>
      <w:r w:rsidR="00085A00">
        <w:rPr>
          <w:rFonts w:cstheme="minorHAnsi"/>
        </w:rPr>
        <w:t>.</w:t>
      </w:r>
      <w:r w:rsidR="00206980" w:rsidRPr="00CF0992">
        <w:rPr>
          <w:rFonts w:cstheme="minorHAnsi"/>
        </w:rPr>
        <w:t xml:space="preserve"> </w:t>
      </w:r>
      <w:r w:rsidR="00085A00">
        <w:rPr>
          <w:rFonts w:cstheme="minorHAnsi"/>
        </w:rPr>
        <w:t xml:space="preserve">The latest coin in this context is Theodosian, dating to 388–402 </w:t>
      </w:r>
      <w:r w:rsidR="00085A00" w:rsidRPr="00CF0992">
        <w:rPr>
          <w:rFonts w:cstheme="minorHAnsi"/>
        </w:rPr>
        <w:t>(</w:t>
      </w:r>
      <w:r w:rsidR="00085A00">
        <w:rPr>
          <w:rFonts w:cstheme="minorHAnsi"/>
        </w:rPr>
        <w:t xml:space="preserve">Burnett 2005, 27; </w:t>
      </w:r>
      <w:r w:rsidR="00085A00" w:rsidRPr="00CF0992">
        <w:rPr>
          <w:rFonts w:cstheme="minorHAnsi"/>
        </w:rPr>
        <w:t>Farwell and Molleson 1993, 89, Table 9, 236).</w:t>
      </w:r>
      <w:r w:rsidR="00085A00">
        <w:rPr>
          <w:rFonts w:cstheme="minorHAnsi"/>
        </w:rPr>
        <w:t xml:space="preserve"> </w:t>
      </w:r>
      <w:r w:rsidR="00150F24" w:rsidRPr="00CF0992">
        <w:rPr>
          <w:rFonts w:cstheme="minorHAnsi"/>
        </w:rPr>
        <w:t>A recent P</w:t>
      </w:r>
      <w:r w:rsidR="00360A07">
        <w:rPr>
          <w:rFonts w:cstheme="minorHAnsi"/>
        </w:rPr>
        <w:t>ortable Antiquities</w:t>
      </w:r>
      <w:r w:rsidR="00150F24" w:rsidRPr="00CF0992">
        <w:rPr>
          <w:rFonts w:cstheme="minorHAnsi"/>
        </w:rPr>
        <w:t xml:space="preserve"> find of 27 pierced coins</w:t>
      </w:r>
      <w:r w:rsidR="00AC28A3" w:rsidRPr="00CF0992">
        <w:rPr>
          <w:rFonts w:cstheme="minorHAnsi"/>
        </w:rPr>
        <w:t xml:space="preserve">, with </w:t>
      </w:r>
      <w:r w:rsidR="00AB56B9" w:rsidRPr="00CF0992">
        <w:rPr>
          <w:rFonts w:cstheme="minorHAnsi"/>
        </w:rPr>
        <w:t>8</w:t>
      </w:r>
      <w:r w:rsidR="00AC28A3" w:rsidRPr="00CF0992">
        <w:rPr>
          <w:rFonts w:cstheme="minorHAnsi"/>
        </w:rPr>
        <w:t xml:space="preserve"> from Reece period 19 providing a TPQ</w:t>
      </w:r>
      <w:r w:rsidR="00C62656" w:rsidRPr="00CF0992">
        <w:rPr>
          <w:rFonts w:cstheme="minorHAnsi"/>
        </w:rPr>
        <w:t xml:space="preserve"> (364</w:t>
      </w:r>
      <w:r w:rsidR="00D06F9F">
        <w:rPr>
          <w:rFonts w:cstheme="minorHAnsi"/>
        </w:rPr>
        <w:t>–</w:t>
      </w:r>
      <w:r w:rsidR="00C62656" w:rsidRPr="00CF0992">
        <w:rPr>
          <w:rFonts w:cstheme="minorHAnsi"/>
        </w:rPr>
        <w:t>78)</w:t>
      </w:r>
      <w:r w:rsidR="00AC28A3" w:rsidRPr="00CF0992">
        <w:rPr>
          <w:rFonts w:cstheme="minorHAnsi"/>
        </w:rPr>
        <w:t xml:space="preserve">, </w:t>
      </w:r>
      <w:r>
        <w:rPr>
          <w:rFonts w:cstheme="minorHAnsi"/>
        </w:rPr>
        <w:t>appears to show a similar practice</w:t>
      </w:r>
      <w:r w:rsidR="003A3722">
        <w:rPr>
          <w:rFonts w:cstheme="minorHAnsi"/>
        </w:rPr>
        <w:t xml:space="preserve"> (Table 2)</w:t>
      </w:r>
      <w:r w:rsidR="00AC28A3" w:rsidRPr="00CF0992">
        <w:rPr>
          <w:rFonts w:cstheme="minorHAnsi"/>
        </w:rPr>
        <w:t>. The coins were</w:t>
      </w:r>
      <w:r w:rsidR="00150F24" w:rsidRPr="00CF0992">
        <w:rPr>
          <w:rFonts w:cstheme="minorHAnsi"/>
        </w:rPr>
        <w:t xml:space="preserve"> mostly low value copper alloy (</w:t>
      </w:r>
      <w:r w:rsidR="00501C94" w:rsidRPr="00CF0992">
        <w:rPr>
          <w:rFonts w:cstheme="minorHAnsi"/>
        </w:rPr>
        <w:t>the exception is 1 siliqua; there is also a copper alloy core from a plated copy of a siliqua</w:t>
      </w:r>
      <w:r w:rsidR="00150F24" w:rsidRPr="00CF0992">
        <w:rPr>
          <w:rFonts w:cstheme="minorHAnsi"/>
        </w:rPr>
        <w:t>)</w:t>
      </w:r>
      <w:r w:rsidR="00501C94" w:rsidRPr="00CF0992">
        <w:rPr>
          <w:rFonts w:cstheme="minorHAnsi"/>
        </w:rPr>
        <w:t xml:space="preserve">. Each coin had </w:t>
      </w:r>
      <w:r w:rsidR="00150F24" w:rsidRPr="00CF0992">
        <w:rPr>
          <w:rFonts w:cstheme="minorHAnsi"/>
        </w:rPr>
        <w:t>an iron nail</w:t>
      </w:r>
      <w:r w:rsidR="00501C94" w:rsidRPr="00CF0992">
        <w:rPr>
          <w:rFonts w:cstheme="minorHAnsi"/>
        </w:rPr>
        <w:t xml:space="preserve"> or piercing</w:t>
      </w:r>
      <w:r w:rsidR="00150F24" w:rsidRPr="00CF0992">
        <w:rPr>
          <w:rFonts w:cstheme="minorHAnsi"/>
        </w:rPr>
        <w:t xml:space="preserve"> through the centre</w:t>
      </w:r>
      <w:r w:rsidR="00501C94" w:rsidRPr="00CF0992">
        <w:rPr>
          <w:rFonts w:cstheme="minorHAnsi"/>
        </w:rPr>
        <w:t xml:space="preserve"> (16</w:t>
      </w:r>
      <w:r>
        <w:rPr>
          <w:rFonts w:cstheme="minorHAnsi"/>
        </w:rPr>
        <w:t xml:space="preserve"> examples</w:t>
      </w:r>
      <w:r w:rsidR="00501C94" w:rsidRPr="00CF0992">
        <w:rPr>
          <w:rFonts w:cstheme="minorHAnsi"/>
        </w:rPr>
        <w:t>)</w:t>
      </w:r>
      <w:r w:rsidR="00150F24" w:rsidRPr="00CF0992">
        <w:rPr>
          <w:rFonts w:cstheme="minorHAnsi"/>
        </w:rPr>
        <w:t xml:space="preserve"> or edge of the coin</w:t>
      </w:r>
      <w:r w:rsidR="00501C94" w:rsidRPr="00CF0992">
        <w:rPr>
          <w:rFonts w:cstheme="minorHAnsi"/>
        </w:rPr>
        <w:t xml:space="preserve"> (9</w:t>
      </w:r>
      <w:r>
        <w:rPr>
          <w:rFonts w:cstheme="minorHAnsi"/>
        </w:rPr>
        <w:t xml:space="preserve"> examples</w:t>
      </w:r>
      <w:r w:rsidR="00501C94" w:rsidRPr="00CF0992">
        <w:rPr>
          <w:rFonts w:cstheme="minorHAnsi"/>
        </w:rPr>
        <w:t>)</w:t>
      </w:r>
      <w:r w:rsidR="00150F24" w:rsidRPr="00CF0992">
        <w:rPr>
          <w:rFonts w:cstheme="minorHAnsi"/>
        </w:rPr>
        <w:t>,</w:t>
      </w:r>
      <w:r w:rsidR="00FF7E29" w:rsidRPr="00CF0992">
        <w:rPr>
          <w:rFonts w:cstheme="minorHAnsi"/>
        </w:rPr>
        <w:t xml:space="preserve"> </w:t>
      </w:r>
      <w:r w:rsidR="00AC28A3" w:rsidRPr="00CF0992">
        <w:rPr>
          <w:rFonts w:cstheme="minorHAnsi"/>
        </w:rPr>
        <w:t xml:space="preserve">and they were </w:t>
      </w:r>
      <w:r w:rsidR="00150F24" w:rsidRPr="00CF0992">
        <w:rPr>
          <w:rFonts w:cstheme="minorHAnsi"/>
        </w:rPr>
        <w:t>found together near Tisbury, Wiltshire</w:t>
      </w:r>
      <w:r w:rsidR="00AC28A3" w:rsidRPr="00CF0992">
        <w:rPr>
          <w:rFonts w:cstheme="minorHAnsi"/>
        </w:rPr>
        <w:t xml:space="preserve">. There is a </w:t>
      </w:r>
      <w:r w:rsidR="00150F24" w:rsidRPr="00CF0992">
        <w:rPr>
          <w:rFonts w:cstheme="minorHAnsi"/>
        </w:rPr>
        <w:t>probabl</w:t>
      </w:r>
      <w:r w:rsidR="00AC28A3" w:rsidRPr="00CF0992">
        <w:rPr>
          <w:rFonts w:cstheme="minorHAnsi"/>
        </w:rPr>
        <w:t xml:space="preserve">e </w:t>
      </w:r>
      <w:r w:rsidR="00150F24" w:rsidRPr="00CF0992">
        <w:rPr>
          <w:rFonts w:cstheme="minorHAnsi"/>
        </w:rPr>
        <w:t>associat</w:t>
      </w:r>
      <w:r w:rsidR="00AC28A3" w:rsidRPr="00CF0992">
        <w:rPr>
          <w:rFonts w:cstheme="minorHAnsi"/>
        </w:rPr>
        <w:t>ion</w:t>
      </w:r>
      <w:r w:rsidR="00150F24" w:rsidRPr="00CF0992">
        <w:rPr>
          <w:rFonts w:cstheme="minorHAnsi"/>
        </w:rPr>
        <w:t xml:space="preserve"> with a temple site</w:t>
      </w:r>
      <w:r w:rsidR="00FF7E29" w:rsidRPr="00CF0992">
        <w:rPr>
          <w:rFonts w:cstheme="minorHAnsi"/>
        </w:rPr>
        <w:t xml:space="preserve"> nearby (see Dakers 2023</w:t>
      </w:r>
      <w:r w:rsidR="00AC28A3" w:rsidRPr="00CF0992">
        <w:rPr>
          <w:rFonts w:cstheme="minorHAnsi"/>
        </w:rPr>
        <w:t>)</w:t>
      </w:r>
      <w:r w:rsidR="00150F24" w:rsidRPr="00CF0992">
        <w:rPr>
          <w:rFonts w:cstheme="minorHAnsi"/>
        </w:rPr>
        <w:t>.</w:t>
      </w:r>
      <w:r w:rsidR="00C62656" w:rsidRPr="00CF0992">
        <w:rPr>
          <w:rFonts w:cstheme="minorHAnsi"/>
        </w:rPr>
        <w:t xml:space="preserve"> There is evidence of</w:t>
      </w:r>
      <w:r w:rsidR="003A2CF0" w:rsidRPr="00CF0992">
        <w:rPr>
          <w:rFonts w:cstheme="minorHAnsi"/>
        </w:rPr>
        <w:t xml:space="preserve"> piercing through the image of the emperor</w:t>
      </w:r>
      <w:r>
        <w:rPr>
          <w:rFonts w:cstheme="minorHAnsi"/>
        </w:rPr>
        <w:t>,</w:t>
      </w:r>
      <w:r w:rsidR="003A2CF0" w:rsidRPr="00CF0992">
        <w:rPr>
          <w:rFonts w:cstheme="minorHAnsi"/>
        </w:rPr>
        <w:t xml:space="preserve"> with that side apparently displayed (WILT-610DD4</w:t>
      </w:r>
      <w:r w:rsidR="00296346">
        <w:rPr>
          <w:rFonts w:cstheme="minorHAnsi"/>
        </w:rPr>
        <w:t xml:space="preserve">, </w:t>
      </w:r>
      <w:r w:rsidR="00296346" w:rsidRPr="003A3722">
        <w:rPr>
          <w:rFonts w:cstheme="minorHAnsi"/>
        </w:rPr>
        <w:t>see F</w:t>
      </w:r>
      <w:r w:rsidR="00B15E07">
        <w:rPr>
          <w:rFonts w:cstheme="minorHAnsi"/>
        </w:rPr>
        <w:t>igure</w:t>
      </w:r>
      <w:r w:rsidR="00063215">
        <w:rPr>
          <w:rFonts w:cstheme="minorHAnsi"/>
        </w:rPr>
        <w:t xml:space="preserve"> 5</w:t>
      </w:r>
      <w:r w:rsidR="00B15E07">
        <w:rPr>
          <w:rFonts w:cstheme="minorHAnsi"/>
        </w:rPr>
        <w:t>, bottom right</w:t>
      </w:r>
      <w:r w:rsidR="003A2CF0" w:rsidRPr="00CF0992">
        <w:rPr>
          <w:rFonts w:cstheme="minorHAnsi"/>
        </w:rPr>
        <w:t>)</w:t>
      </w:r>
      <w:r w:rsidR="003A3722">
        <w:rPr>
          <w:rFonts w:cstheme="minorHAnsi"/>
        </w:rPr>
        <w:t xml:space="preserve">. This example thus shows </w:t>
      </w:r>
      <w:r w:rsidR="003A2CF0" w:rsidRPr="00CF0992">
        <w:rPr>
          <w:rFonts w:cstheme="minorHAnsi"/>
        </w:rPr>
        <w:t>no concern about defacing the imperial image.</w:t>
      </w:r>
      <w:r w:rsidR="004659A6" w:rsidRPr="00CF0992">
        <w:rPr>
          <w:rFonts w:cstheme="minorHAnsi"/>
        </w:rPr>
        <w:t xml:space="preserve"> </w:t>
      </w:r>
    </w:p>
    <w:p w14:paraId="7CF70B96" w14:textId="27273CB4" w:rsidR="00B922B2" w:rsidRPr="00CF0992" w:rsidRDefault="003A3722" w:rsidP="003A3722">
      <w:pPr>
        <w:autoSpaceDE w:val="0"/>
        <w:autoSpaceDN w:val="0"/>
        <w:adjustRightInd w:val="0"/>
        <w:rPr>
          <w:rFonts w:cstheme="minorHAnsi"/>
        </w:rPr>
      </w:pPr>
      <w:r w:rsidRPr="00CF0992">
        <w:rPr>
          <w:rFonts w:cstheme="minorHAnsi"/>
        </w:rPr>
        <w:t xml:space="preserve">Table 2: Tisbury group of pierced coins (IDs provisional; not all validated yet) copper alloy unless otherwise specified. All data from </w:t>
      </w:r>
      <w:hyperlink r:id="rId8" w:history="1">
        <w:r w:rsidR="00B922B2" w:rsidRPr="00652AEF">
          <w:rPr>
            <w:rStyle w:val="Hyperlink"/>
            <w:rFonts w:cstheme="minorHAnsi"/>
          </w:rPr>
          <w:t>https://finds.org.uk/database consulted 15/07/2023</w:t>
        </w:r>
      </w:hyperlink>
      <w:r w:rsidRPr="00CF0992">
        <w:rPr>
          <w:rFonts w:cstheme="minorHAnsi"/>
        </w:rPr>
        <w:t>.</w:t>
      </w:r>
    </w:p>
    <w:tbl>
      <w:tblPr>
        <w:tblStyle w:val="TableGrid"/>
        <w:tblW w:w="0" w:type="auto"/>
        <w:tblLook w:val="04A0" w:firstRow="1" w:lastRow="0" w:firstColumn="1" w:lastColumn="0" w:noHBand="0" w:noVBand="1"/>
      </w:tblPr>
      <w:tblGrid>
        <w:gridCol w:w="1413"/>
        <w:gridCol w:w="1276"/>
        <w:gridCol w:w="6327"/>
      </w:tblGrid>
      <w:tr w:rsidR="003A3722" w:rsidRPr="00CF0992" w14:paraId="154A58EE" w14:textId="77777777" w:rsidTr="009A5B2B">
        <w:tc>
          <w:tcPr>
            <w:tcW w:w="1413" w:type="dxa"/>
          </w:tcPr>
          <w:p w14:paraId="7F4C80A7" w14:textId="21221435" w:rsidR="003A3722" w:rsidRPr="00CF0992" w:rsidRDefault="009A5B2B" w:rsidP="00C144B9">
            <w:pPr>
              <w:autoSpaceDE w:val="0"/>
              <w:autoSpaceDN w:val="0"/>
              <w:adjustRightInd w:val="0"/>
              <w:rPr>
                <w:rFonts w:cstheme="minorHAnsi"/>
                <w:b/>
                <w:bCs/>
              </w:rPr>
            </w:pPr>
            <w:r>
              <w:rPr>
                <w:rFonts w:cstheme="minorHAnsi"/>
                <w:b/>
                <w:bCs/>
              </w:rPr>
              <w:t xml:space="preserve">Reece </w:t>
            </w:r>
            <w:r w:rsidR="003A3722" w:rsidRPr="00CF0992">
              <w:rPr>
                <w:rFonts w:cstheme="minorHAnsi"/>
                <w:b/>
                <w:bCs/>
              </w:rPr>
              <w:t>Period</w:t>
            </w:r>
          </w:p>
        </w:tc>
        <w:tc>
          <w:tcPr>
            <w:tcW w:w="1276" w:type="dxa"/>
          </w:tcPr>
          <w:p w14:paraId="34F08154" w14:textId="77777777" w:rsidR="003A3722" w:rsidRPr="00CF0992" w:rsidRDefault="003A3722" w:rsidP="00C144B9">
            <w:pPr>
              <w:autoSpaceDE w:val="0"/>
              <w:autoSpaceDN w:val="0"/>
              <w:adjustRightInd w:val="0"/>
              <w:rPr>
                <w:rFonts w:cstheme="minorHAnsi"/>
                <w:b/>
                <w:bCs/>
              </w:rPr>
            </w:pPr>
            <w:r w:rsidRPr="00CF0992">
              <w:rPr>
                <w:rFonts w:cstheme="minorHAnsi"/>
                <w:b/>
                <w:bCs/>
              </w:rPr>
              <w:t>number</w:t>
            </w:r>
          </w:p>
        </w:tc>
        <w:tc>
          <w:tcPr>
            <w:tcW w:w="6327" w:type="dxa"/>
          </w:tcPr>
          <w:p w14:paraId="099E3455" w14:textId="77777777" w:rsidR="003A3722" w:rsidRPr="00CF0992" w:rsidRDefault="003A3722" w:rsidP="00C144B9">
            <w:pPr>
              <w:autoSpaceDE w:val="0"/>
              <w:autoSpaceDN w:val="0"/>
              <w:adjustRightInd w:val="0"/>
              <w:rPr>
                <w:rFonts w:cstheme="minorHAnsi"/>
                <w:b/>
                <w:bCs/>
              </w:rPr>
            </w:pPr>
            <w:r w:rsidRPr="00CF0992">
              <w:rPr>
                <w:rFonts w:cstheme="minorHAnsi"/>
                <w:b/>
                <w:bCs/>
              </w:rPr>
              <w:t>PAS numbers</w:t>
            </w:r>
          </w:p>
        </w:tc>
      </w:tr>
      <w:tr w:rsidR="003A3722" w:rsidRPr="00CF0992" w14:paraId="3F271B93" w14:textId="77777777" w:rsidTr="009A5B2B">
        <w:tc>
          <w:tcPr>
            <w:tcW w:w="1413" w:type="dxa"/>
          </w:tcPr>
          <w:p w14:paraId="604250D7" w14:textId="77777777" w:rsidR="003A3722" w:rsidRPr="00CF0992" w:rsidRDefault="003A3722" w:rsidP="00C144B9">
            <w:pPr>
              <w:autoSpaceDE w:val="0"/>
              <w:autoSpaceDN w:val="0"/>
              <w:adjustRightInd w:val="0"/>
              <w:rPr>
                <w:rFonts w:cstheme="minorHAnsi"/>
              </w:rPr>
            </w:pPr>
            <w:r w:rsidRPr="00CF0992">
              <w:rPr>
                <w:rFonts w:cstheme="minorHAnsi"/>
              </w:rPr>
              <w:t>Period 19</w:t>
            </w:r>
          </w:p>
        </w:tc>
        <w:tc>
          <w:tcPr>
            <w:tcW w:w="1276" w:type="dxa"/>
          </w:tcPr>
          <w:p w14:paraId="6B2432A7" w14:textId="77777777" w:rsidR="003A3722" w:rsidRPr="00CF0992" w:rsidRDefault="003A3722" w:rsidP="00C144B9">
            <w:pPr>
              <w:autoSpaceDE w:val="0"/>
              <w:autoSpaceDN w:val="0"/>
              <w:adjustRightInd w:val="0"/>
              <w:rPr>
                <w:rFonts w:cstheme="minorHAnsi"/>
              </w:rPr>
            </w:pPr>
            <w:r w:rsidRPr="00CF0992">
              <w:rPr>
                <w:rFonts w:cstheme="minorHAnsi"/>
              </w:rPr>
              <w:t>8</w:t>
            </w:r>
          </w:p>
        </w:tc>
        <w:tc>
          <w:tcPr>
            <w:tcW w:w="6327" w:type="dxa"/>
          </w:tcPr>
          <w:p w14:paraId="66B815BF"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WILT-262586 (silver), WILT-076024, WILT-0744D6, WILT-65CEF6, WILT-65AD50, WILT-659490, WILT-113078, WILT-658668.</w:t>
            </w:r>
          </w:p>
        </w:tc>
      </w:tr>
      <w:tr w:rsidR="003A3722" w:rsidRPr="00CF0992" w14:paraId="365D32B1" w14:textId="77777777" w:rsidTr="009A5B2B">
        <w:tc>
          <w:tcPr>
            <w:tcW w:w="1413" w:type="dxa"/>
          </w:tcPr>
          <w:p w14:paraId="5A59B26A" w14:textId="77777777" w:rsidR="003A3722" w:rsidRPr="00CF0992" w:rsidRDefault="003A3722" w:rsidP="00C144B9">
            <w:pPr>
              <w:autoSpaceDE w:val="0"/>
              <w:autoSpaceDN w:val="0"/>
              <w:adjustRightInd w:val="0"/>
              <w:rPr>
                <w:rFonts w:cstheme="minorHAnsi"/>
              </w:rPr>
            </w:pPr>
            <w:r w:rsidRPr="00CF0992">
              <w:rPr>
                <w:rFonts w:cstheme="minorHAnsi"/>
              </w:rPr>
              <w:t>Period 18</w:t>
            </w:r>
          </w:p>
        </w:tc>
        <w:tc>
          <w:tcPr>
            <w:tcW w:w="1276" w:type="dxa"/>
          </w:tcPr>
          <w:p w14:paraId="3E1E6872" w14:textId="77777777" w:rsidR="003A3722" w:rsidRPr="00CF0992" w:rsidRDefault="003A3722" w:rsidP="00C144B9">
            <w:pPr>
              <w:autoSpaceDE w:val="0"/>
              <w:autoSpaceDN w:val="0"/>
              <w:adjustRightInd w:val="0"/>
              <w:rPr>
                <w:rFonts w:cstheme="minorHAnsi"/>
              </w:rPr>
            </w:pPr>
            <w:r w:rsidRPr="00CF0992">
              <w:rPr>
                <w:rFonts w:cstheme="minorHAnsi"/>
              </w:rPr>
              <w:t>4</w:t>
            </w:r>
          </w:p>
        </w:tc>
        <w:tc>
          <w:tcPr>
            <w:tcW w:w="6327" w:type="dxa"/>
          </w:tcPr>
          <w:p w14:paraId="2F99B262"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WILT-260FA2, WILT-07B7C0, WILT-758F73, WILT-74BEC1.</w:t>
            </w:r>
          </w:p>
        </w:tc>
      </w:tr>
      <w:tr w:rsidR="003A3722" w:rsidRPr="00CF0992" w14:paraId="7E755B42" w14:textId="77777777" w:rsidTr="009A5B2B">
        <w:tc>
          <w:tcPr>
            <w:tcW w:w="1413" w:type="dxa"/>
          </w:tcPr>
          <w:p w14:paraId="306E8904" w14:textId="77777777" w:rsidR="003A3722" w:rsidRPr="00CF0992" w:rsidRDefault="003A3722" w:rsidP="00C144B9">
            <w:pPr>
              <w:autoSpaceDE w:val="0"/>
              <w:autoSpaceDN w:val="0"/>
              <w:adjustRightInd w:val="0"/>
              <w:rPr>
                <w:rFonts w:cstheme="minorHAnsi"/>
              </w:rPr>
            </w:pPr>
            <w:r w:rsidRPr="00CF0992">
              <w:rPr>
                <w:rFonts w:cstheme="minorHAnsi"/>
              </w:rPr>
              <w:t>Period 17</w:t>
            </w:r>
          </w:p>
        </w:tc>
        <w:tc>
          <w:tcPr>
            <w:tcW w:w="1276" w:type="dxa"/>
          </w:tcPr>
          <w:p w14:paraId="1B8B3AB1" w14:textId="77777777" w:rsidR="003A3722" w:rsidRPr="00CF0992" w:rsidRDefault="003A3722" w:rsidP="00C144B9">
            <w:pPr>
              <w:autoSpaceDE w:val="0"/>
              <w:autoSpaceDN w:val="0"/>
              <w:adjustRightInd w:val="0"/>
              <w:rPr>
                <w:rFonts w:cstheme="minorHAnsi"/>
              </w:rPr>
            </w:pPr>
            <w:r w:rsidRPr="00CF0992">
              <w:rPr>
                <w:rFonts w:cstheme="minorHAnsi"/>
              </w:rPr>
              <w:t>4</w:t>
            </w:r>
          </w:p>
        </w:tc>
        <w:tc>
          <w:tcPr>
            <w:tcW w:w="6327" w:type="dxa"/>
          </w:tcPr>
          <w:p w14:paraId="475762C8"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WILT-266593, WILT-079821, WILT-7510C2, WILT-111043.</w:t>
            </w:r>
          </w:p>
        </w:tc>
      </w:tr>
      <w:tr w:rsidR="003A3722" w:rsidRPr="00CF0992" w14:paraId="5FBA5C62" w14:textId="77777777" w:rsidTr="009A5B2B">
        <w:tc>
          <w:tcPr>
            <w:tcW w:w="1413" w:type="dxa"/>
          </w:tcPr>
          <w:p w14:paraId="773AF38D" w14:textId="77777777" w:rsidR="003A3722" w:rsidRPr="00CF0992" w:rsidRDefault="003A3722" w:rsidP="00C144B9">
            <w:pPr>
              <w:autoSpaceDE w:val="0"/>
              <w:autoSpaceDN w:val="0"/>
              <w:adjustRightInd w:val="0"/>
              <w:rPr>
                <w:rFonts w:cstheme="minorHAnsi"/>
              </w:rPr>
            </w:pPr>
            <w:r w:rsidRPr="00CF0992">
              <w:rPr>
                <w:rFonts w:cstheme="minorHAnsi"/>
              </w:rPr>
              <w:t>Period 16</w:t>
            </w:r>
          </w:p>
        </w:tc>
        <w:tc>
          <w:tcPr>
            <w:tcW w:w="1276" w:type="dxa"/>
          </w:tcPr>
          <w:p w14:paraId="2B9E5CBD" w14:textId="77777777" w:rsidR="003A3722" w:rsidRPr="00CF0992" w:rsidRDefault="003A3722" w:rsidP="00C144B9">
            <w:pPr>
              <w:autoSpaceDE w:val="0"/>
              <w:autoSpaceDN w:val="0"/>
              <w:adjustRightInd w:val="0"/>
              <w:rPr>
                <w:rFonts w:cstheme="minorHAnsi"/>
              </w:rPr>
            </w:pPr>
            <w:r w:rsidRPr="00CF0992">
              <w:rPr>
                <w:rFonts w:cstheme="minorHAnsi"/>
              </w:rPr>
              <w:t>4</w:t>
            </w:r>
          </w:p>
        </w:tc>
        <w:tc>
          <w:tcPr>
            <w:tcW w:w="6327" w:type="dxa"/>
          </w:tcPr>
          <w:p w14:paraId="75588384"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WILT-661D50, WILT-65E891, WILT-610DD4, WILT-1149C1.</w:t>
            </w:r>
          </w:p>
        </w:tc>
      </w:tr>
      <w:tr w:rsidR="003A3722" w:rsidRPr="00CF0992" w14:paraId="0E1E962F" w14:textId="77777777" w:rsidTr="009A5B2B">
        <w:tc>
          <w:tcPr>
            <w:tcW w:w="1413" w:type="dxa"/>
          </w:tcPr>
          <w:p w14:paraId="0B76F824" w14:textId="77777777" w:rsidR="003A3722" w:rsidRPr="00CF0992" w:rsidRDefault="003A3722" w:rsidP="00C144B9">
            <w:pPr>
              <w:autoSpaceDE w:val="0"/>
              <w:autoSpaceDN w:val="0"/>
              <w:adjustRightInd w:val="0"/>
              <w:rPr>
                <w:rFonts w:cstheme="minorHAnsi"/>
              </w:rPr>
            </w:pPr>
            <w:r w:rsidRPr="00CF0992">
              <w:rPr>
                <w:rFonts w:cstheme="minorHAnsi"/>
              </w:rPr>
              <w:t>Period 15</w:t>
            </w:r>
          </w:p>
        </w:tc>
        <w:tc>
          <w:tcPr>
            <w:tcW w:w="1276" w:type="dxa"/>
          </w:tcPr>
          <w:p w14:paraId="6E1A3D10" w14:textId="77777777" w:rsidR="003A3722" w:rsidRPr="00CF0992" w:rsidRDefault="003A3722" w:rsidP="00C144B9">
            <w:pPr>
              <w:autoSpaceDE w:val="0"/>
              <w:autoSpaceDN w:val="0"/>
              <w:adjustRightInd w:val="0"/>
              <w:rPr>
                <w:rFonts w:cstheme="minorHAnsi"/>
              </w:rPr>
            </w:pPr>
            <w:r w:rsidRPr="00CF0992">
              <w:rPr>
                <w:rFonts w:cstheme="minorHAnsi"/>
              </w:rPr>
              <w:t>2</w:t>
            </w:r>
          </w:p>
        </w:tc>
        <w:tc>
          <w:tcPr>
            <w:tcW w:w="6327" w:type="dxa"/>
          </w:tcPr>
          <w:p w14:paraId="7FA593A8"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WILT-077774, WILT-657583.</w:t>
            </w:r>
          </w:p>
        </w:tc>
      </w:tr>
      <w:tr w:rsidR="003A3722" w:rsidRPr="00CF0992" w14:paraId="6A11A78D" w14:textId="77777777" w:rsidTr="009A5B2B">
        <w:tc>
          <w:tcPr>
            <w:tcW w:w="1413" w:type="dxa"/>
          </w:tcPr>
          <w:p w14:paraId="4674502E" w14:textId="77777777" w:rsidR="003A3722" w:rsidRPr="00CF0992" w:rsidRDefault="003A3722" w:rsidP="00C144B9">
            <w:pPr>
              <w:autoSpaceDE w:val="0"/>
              <w:autoSpaceDN w:val="0"/>
              <w:adjustRightInd w:val="0"/>
              <w:rPr>
                <w:rFonts w:cstheme="minorHAnsi"/>
              </w:rPr>
            </w:pPr>
            <w:r w:rsidRPr="00CF0992">
              <w:rPr>
                <w:rFonts w:cstheme="minorHAnsi"/>
              </w:rPr>
              <w:t>Period 13</w:t>
            </w:r>
          </w:p>
        </w:tc>
        <w:tc>
          <w:tcPr>
            <w:tcW w:w="1276" w:type="dxa"/>
          </w:tcPr>
          <w:p w14:paraId="7734DD02" w14:textId="77777777" w:rsidR="003A3722" w:rsidRPr="00CF0992" w:rsidRDefault="003A3722" w:rsidP="00C144B9">
            <w:pPr>
              <w:autoSpaceDE w:val="0"/>
              <w:autoSpaceDN w:val="0"/>
              <w:adjustRightInd w:val="0"/>
              <w:rPr>
                <w:rFonts w:cstheme="minorHAnsi"/>
              </w:rPr>
            </w:pPr>
            <w:r w:rsidRPr="00CF0992">
              <w:rPr>
                <w:rFonts w:cstheme="minorHAnsi"/>
              </w:rPr>
              <w:t>2</w:t>
            </w:r>
          </w:p>
        </w:tc>
        <w:tc>
          <w:tcPr>
            <w:tcW w:w="6327" w:type="dxa"/>
          </w:tcPr>
          <w:p w14:paraId="420F8FEF" w14:textId="77777777" w:rsidR="003A3722" w:rsidRPr="00CF0992" w:rsidRDefault="003A3722" w:rsidP="00C144B9">
            <w:pPr>
              <w:autoSpaceDE w:val="0"/>
              <w:autoSpaceDN w:val="0"/>
              <w:adjustRightInd w:val="0"/>
              <w:rPr>
                <w:rFonts w:cstheme="minorHAnsi"/>
                <w:color w:val="333333"/>
                <w:shd w:val="clear" w:color="auto" w:fill="FFFFFF"/>
              </w:rPr>
            </w:pPr>
            <w:r w:rsidRPr="00CF0992">
              <w:rPr>
                <w:rFonts w:cstheme="minorHAnsi"/>
                <w:color w:val="333333"/>
                <w:shd w:val="clear" w:color="auto" w:fill="FFFFFF"/>
              </w:rPr>
              <w:t>WILT-666256, WILT-6123A8.</w:t>
            </w:r>
          </w:p>
        </w:tc>
      </w:tr>
      <w:tr w:rsidR="003A3722" w:rsidRPr="00CF0992" w14:paraId="34547932" w14:textId="77777777" w:rsidTr="009A5B2B">
        <w:tc>
          <w:tcPr>
            <w:tcW w:w="1413" w:type="dxa"/>
          </w:tcPr>
          <w:p w14:paraId="4255C35C" w14:textId="77777777" w:rsidR="003A3722" w:rsidRPr="00CF0992" w:rsidRDefault="003A3722" w:rsidP="00C144B9">
            <w:pPr>
              <w:autoSpaceDE w:val="0"/>
              <w:autoSpaceDN w:val="0"/>
              <w:adjustRightInd w:val="0"/>
              <w:rPr>
                <w:rFonts w:cstheme="minorHAnsi"/>
              </w:rPr>
            </w:pPr>
            <w:r w:rsidRPr="00CF0992">
              <w:rPr>
                <w:rFonts w:cstheme="minorHAnsi"/>
              </w:rPr>
              <w:t>Period 12</w:t>
            </w:r>
          </w:p>
        </w:tc>
        <w:tc>
          <w:tcPr>
            <w:tcW w:w="1276" w:type="dxa"/>
          </w:tcPr>
          <w:p w14:paraId="6F3472EA" w14:textId="77777777" w:rsidR="003A3722" w:rsidRPr="00CF0992" w:rsidRDefault="003A3722" w:rsidP="00C144B9">
            <w:pPr>
              <w:autoSpaceDE w:val="0"/>
              <w:autoSpaceDN w:val="0"/>
              <w:adjustRightInd w:val="0"/>
              <w:rPr>
                <w:rFonts w:cstheme="minorHAnsi"/>
              </w:rPr>
            </w:pPr>
            <w:r w:rsidRPr="00CF0992">
              <w:rPr>
                <w:rFonts w:cstheme="minorHAnsi"/>
              </w:rPr>
              <w:t>2</w:t>
            </w:r>
          </w:p>
        </w:tc>
        <w:tc>
          <w:tcPr>
            <w:tcW w:w="6327" w:type="dxa"/>
          </w:tcPr>
          <w:p w14:paraId="4A297AAF" w14:textId="77777777" w:rsidR="003A3722" w:rsidRPr="00CF0992" w:rsidRDefault="003A3722" w:rsidP="00C144B9">
            <w:pPr>
              <w:autoSpaceDE w:val="0"/>
              <w:autoSpaceDN w:val="0"/>
              <w:adjustRightInd w:val="0"/>
              <w:rPr>
                <w:rFonts w:cstheme="minorHAnsi"/>
              </w:rPr>
            </w:pPr>
            <w:r w:rsidRPr="00CF0992">
              <w:rPr>
                <w:rFonts w:cstheme="minorHAnsi"/>
                <w:color w:val="333333"/>
                <w:shd w:val="clear" w:color="auto" w:fill="FFFFFF"/>
              </w:rPr>
              <w:t>WILT-75AB41, WILT-747516.</w:t>
            </w:r>
          </w:p>
        </w:tc>
      </w:tr>
      <w:tr w:rsidR="003A3722" w:rsidRPr="00CF0992" w14:paraId="7626D9A6" w14:textId="77777777" w:rsidTr="009A5B2B">
        <w:tc>
          <w:tcPr>
            <w:tcW w:w="1413" w:type="dxa"/>
          </w:tcPr>
          <w:p w14:paraId="27BA430A" w14:textId="77777777" w:rsidR="003A3722" w:rsidRPr="00CF0992" w:rsidRDefault="003A3722" w:rsidP="00C144B9">
            <w:pPr>
              <w:autoSpaceDE w:val="0"/>
              <w:autoSpaceDN w:val="0"/>
              <w:adjustRightInd w:val="0"/>
              <w:rPr>
                <w:rFonts w:cstheme="minorHAnsi"/>
              </w:rPr>
            </w:pPr>
            <w:r w:rsidRPr="00CF0992">
              <w:rPr>
                <w:rFonts w:cstheme="minorHAnsi"/>
              </w:rPr>
              <w:t>Not known</w:t>
            </w:r>
          </w:p>
        </w:tc>
        <w:tc>
          <w:tcPr>
            <w:tcW w:w="1276" w:type="dxa"/>
          </w:tcPr>
          <w:p w14:paraId="2FAAA23D" w14:textId="77777777" w:rsidR="003A3722" w:rsidRPr="00CF0992" w:rsidRDefault="003A3722" w:rsidP="00C144B9">
            <w:pPr>
              <w:autoSpaceDE w:val="0"/>
              <w:autoSpaceDN w:val="0"/>
              <w:adjustRightInd w:val="0"/>
              <w:rPr>
                <w:rFonts w:cstheme="minorHAnsi"/>
              </w:rPr>
            </w:pPr>
            <w:r w:rsidRPr="00CF0992">
              <w:rPr>
                <w:rFonts w:cstheme="minorHAnsi"/>
              </w:rPr>
              <w:t>1</w:t>
            </w:r>
          </w:p>
        </w:tc>
        <w:tc>
          <w:tcPr>
            <w:tcW w:w="6327" w:type="dxa"/>
          </w:tcPr>
          <w:p w14:paraId="401EBC33" w14:textId="77777777" w:rsidR="003A3722" w:rsidRPr="00CF0992" w:rsidRDefault="003A3722" w:rsidP="00C144B9">
            <w:pPr>
              <w:autoSpaceDE w:val="0"/>
              <w:autoSpaceDN w:val="0"/>
              <w:adjustRightInd w:val="0"/>
              <w:rPr>
                <w:rFonts w:cstheme="minorHAnsi"/>
              </w:rPr>
            </w:pPr>
            <w:r w:rsidRPr="00CF0992">
              <w:rPr>
                <w:rFonts w:cstheme="minorHAnsi"/>
              </w:rPr>
              <w:t>WILT-40D2A1 (radiate or late Roman bronze coin)</w:t>
            </w:r>
          </w:p>
        </w:tc>
      </w:tr>
    </w:tbl>
    <w:p w14:paraId="4B78AF70" w14:textId="77777777" w:rsidR="003A3722" w:rsidRPr="00CF0992" w:rsidRDefault="003A3722" w:rsidP="003A3722">
      <w:pPr>
        <w:autoSpaceDE w:val="0"/>
        <w:autoSpaceDN w:val="0"/>
        <w:adjustRightInd w:val="0"/>
        <w:rPr>
          <w:rFonts w:cstheme="minorHAnsi"/>
        </w:rPr>
      </w:pPr>
    </w:p>
    <w:p w14:paraId="39C8154C" w14:textId="756CB6CE" w:rsidR="00150F24" w:rsidRPr="00CF0992" w:rsidRDefault="004659A6" w:rsidP="00BF28D7">
      <w:pPr>
        <w:autoSpaceDE w:val="0"/>
        <w:autoSpaceDN w:val="0"/>
        <w:adjustRightInd w:val="0"/>
        <w:rPr>
          <w:rFonts w:cstheme="minorHAnsi"/>
        </w:rPr>
      </w:pPr>
      <w:r w:rsidRPr="00CF0992">
        <w:rPr>
          <w:rFonts w:cstheme="minorHAnsi"/>
        </w:rPr>
        <w:t xml:space="preserve">Viewers would have recognised these items as coins, but they have clearly been put beyond use – they are inalienable. </w:t>
      </w:r>
      <w:r w:rsidR="00DE141F" w:rsidRPr="00CF0992">
        <w:rPr>
          <w:rFonts w:cstheme="minorHAnsi"/>
        </w:rPr>
        <w:t xml:space="preserve">A </w:t>
      </w:r>
      <w:r w:rsidRPr="00CF0992">
        <w:rPr>
          <w:rFonts w:cstheme="minorHAnsi"/>
        </w:rPr>
        <w:t>status as votive gifts is likely, display</w:t>
      </w:r>
      <w:r w:rsidR="008A7B43">
        <w:rPr>
          <w:rFonts w:cstheme="minorHAnsi"/>
        </w:rPr>
        <w:t>ing</w:t>
      </w:r>
      <w:r w:rsidRPr="00CF0992">
        <w:rPr>
          <w:rFonts w:cstheme="minorHAnsi"/>
        </w:rPr>
        <w:t xml:space="preserve"> how </w:t>
      </w:r>
      <w:r w:rsidR="00AD2858" w:rsidRPr="00CF0992">
        <w:rPr>
          <w:rFonts w:cstheme="minorHAnsi"/>
        </w:rPr>
        <w:t>a</w:t>
      </w:r>
      <w:r w:rsidRPr="00CF0992">
        <w:rPr>
          <w:rFonts w:cstheme="minorHAnsi"/>
        </w:rPr>
        <w:t xml:space="preserve"> shrine was venerated and the agency attributed to the deity (the power to answer votive requests). The coins were perhaps also intended to encourage others to make similar offerings. From the issue dates represented, </w:t>
      </w:r>
      <w:r w:rsidR="00EE17EE" w:rsidRPr="00CF0992">
        <w:rPr>
          <w:rFonts w:cstheme="minorHAnsi"/>
        </w:rPr>
        <w:t>the activity</w:t>
      </w:r>
      <w:r w:rsidR="005A205D" w:rsidRPr="00CF0992">
        <w:rPr>
          <w:rFonts w:cstheme="minorHAnsi"/>
        </w:rPr>
        <w:t xml:space="preserve"> at this site</w:t>
      </w:r>
      <w:r w:rsidR="00EE17EE" w:rsidRPr="00CF0992">
        <w:rPr>
          <w:rFonts w:cstheme="minorHAnsi"/>
        </w:rPr>
        <w:t xml:space="preserve"> seems </w:t>
      </w:r>
      <w:r w:rsidR="005A205D" w:rsidRPr="00CF0992">
        <w:rPr>
          <w:rFonts w:cstheme="minorHAnsi"/>
        </w:rPr>
        <w:t xml:space="preserve">most likely to be </w:t>
      </w:r>
      <w:r w:rsidR="00EE17EE" w:rsidRPr="00CF0992">
        <w:rPr>
          <w:rFonts w:cstheme="minorHAnsi"/>
        </w:rPr>
        <w:t>late fourth century rather than fifth century</w:t>
      </w:r>
      <w:r w:rsidR="00357064" w:rsidRPr="00CF0992">
        <w:rPr>
          <w:rFonts w:cstheme="minorHAnsi"/>
        </w:rPr>
        <w:t>, though</w:t>
      </w:r>
      <w:r w:rsidR="003A3722">
        <w:rPr>
          <w:rFonts w:cstheme="minorHAnsi"/>
        </w:rPr>
        <w:t xml:space="preserve"> it is possible that</w:t>
      </w:r>
      <w:r w:rsidR="00357064" w:rsidRPr="00CF0992">
        <w:rPr>
          <w:rFonts w:cstheme="minorHAnsi"/>
        </w:rPr>
        <w:t xml:space="preserve"> all the coins could </w:t>
      </w:r>
      <w:r w:rsidR="005A205D" w:rsidRPr="00CF0992">
        <w:rPr>
          <w:rFonts w:cstheme="minorHAnsi"/>
        </w:rPr>
        <w:t xml:space="preserve">have been </w:t>
      </w:r>
      <w:r w:rsidR="00357064" w:rsidRPr="00CF0992">
        <w:rPr>
          <w:rFonts w:cstheme="minorHAnsi"/>
        </w:rPr>
        <w:t>old</w:t>
      </w:r>
      <w:r w:rsidR="005A205D" w:rsidRPr="00CF0992">
        <w:rPr>
          <w:rFonts w:cstheme="minorHAnsi"/>
        </w:rPr>
        <w:t xml:space="preserve"> when they were treated in this way</w:t>
      </w:r>
      <w:r w:rsidR="00EE17EE" w:rsidRPr="00CF0992">
        <w:rPr>
          <w:rFonts w:cstheme="minorHAnsi"/>
        </w:rPr>
        <w:t>.</w:t>
      </w:r>
    </w:p>
    <w:p w14:paraId="1D68DE31" w14:textId="1F39124E" w:rsidR="003565D0" w:rsidRPr="00CF0992" w:rsidRDefault="002A165C" w:rsidP="003565D0">
      <w:pPr>
        <w:rPr>
          <w:rFonts w:cstheme="minorHAnsi"/>
        </w:rPr>
      </w:pPr>
      <w:r w:rsidRPr="00CF0992">
        <w:rPr>
          <w:rFonts w:cstheme="minorHAnsi"/>
        </w:rPr>
        <w:lastRenderedPageBreak/>
        <w:t xml:space="preserve">Overall, the evidence suggests that </w:t>
      </w:r>
      <w:r w:rsidR="003565D0">
        <w:rPr>
          <w:rFonts w:cstheme="minorHAnsi"/>
        </w:rPr>
        <w:t xml:space="preserve">the practice of coin piercing in general is not related </w:t>
      </w:r>
      <w:r w:rsidR="003565D0" w:rsidRPr="00CF0992">
        <w:rPr>
          <w:rFonts w:cstheme="minorHAnsi"/>
        </w:rPr>
        <w:t>to</w:t>
      </w:r>
      <w:r w:rsidR="001A196F">
        <w:rPr>
          <w:rFonts w:cstheme="minorHAnsi"/>
        </w:rPr>
        <w:t xml:space="preserve"> overall</w:t>
      </w:r>
      <w:r w:rsidR="003565D0" w:rsidRPr="00CF0992">
        <w:rPr>
          <w:rFonts w:cstheme="minorHAnsi"/>
        </w:rPr>
        <w:t xml:space="preserve"> changes in how coins were valued at</w:t>
      </w:r>
      <w:r w:rsidR="008A7B43">
        <w:rPr>
          <w:rFonts w:cstheme="minorHAnsi"/>
        </w:rPr>
        <w:t>,</w:t>
      </w:r>
      <w:r w:rsidR="003565D0" w:rsidRPr="00CF0992">
        <w:rPr>
          <w:rFonts w:cstheme="minorHAnsi"/>
        </w:rPr>
        <w:t xml:space="preserve"> and after</w:t>
      </w:r>
      <w:r w:rsidR="008A7B43">
        <w:rPr>
          <w:rFonts w:cstheme="minorHAnsi"/>
        </w:rPr>
        <w:t>,</w:t>
      </w:r>
      <w:r w:rsidR="003565D0" w:rsidRPr="00CF0992">
        <w:rPr>
          <w:rFonts w:cstheme="minorHAnsi"/>
        </w:rPr>
        <w:t xml:space="preserve"> the end of the Roman period in Britain</w:t>
      </w:r>
      <w:r w:rsidR="00AB57C4">
        <w:rPr>
          <w:rFonts w:cstheme="minorHAnsi"/>
        </w:rPr>
        <w:t xml:space="preserve"> (for instance their obsolescence as currency)</w:t>
      </w:r>
      <w:r w:rsidR="004319B5">
        <w:rPr>
          <w:rFonts w:cstheme="minorHAnsi"/>
        </w:rPr>
        <w:t xml:space="preserve">. </w:t>
      </w:r>
      <w:r w:rsidR="004319B5" w:rsidRPr="004319B5">
        <w:rPr>
          <w:rFonts w:cstheme="minorHAnsi"/>
        </w:rPr>
        <w:t>M</w:t>
      </w:r>
      <w:r w:rsidR="002B4885" w:rsidRPr="004319B5">
        <w:rPr>
          <w:rFonts w:cstheme="minorHAnsi"/>
        </w:rPr>
        <w:t>ore variety in piercings in coins of the later issue periods</w:t>
      </w:r>
      <w:r w:rsidR="004319B5">
        <w:rPr>
          <w:rFonts w:cstheme="minorHAnsi"/>
        </w:rPr>
        <w:t xml:space="preserve">, </w:t>
      </w:r>
      <w:r w:rsidR="004319B5" w:rsidRPr="004319B5">
        <w:rPr>
          <w:rFonts w:cstheme="minorHAnsi"/>
        </w:rPr>
        <w:t>however,</w:t>
      </w:r>
      <w:r w:rsidR="002B4885" w:rsidRPr="004319B5">
        <w:rPr>
          <w:rFonts w:cstheme="minorHAnsi"/>
        </w:rPr>
        <w:t xml:space="preserve"> </w:t>
      </w:r>
      <w:r w:rsidR="00AB57C4" w:rsidRPr="004319B5">
        <w:rPr>
          <w:rFonts w:cstheme="minorHAnsi"/>
        </w:rPr>
        <w:t>does appear to show attitudes to coins as object</w:t>
      </w:r>
      <w:r w:rsidR="008A7B43">
        <w:rPr>
          <w:rFonts w:cstheme="minorHAnsi"/>
        </w:rPr>
        <w:t>s</w:t>
      </w:r>
      <w:r w:rsidR="00AB57C4" w:rsidRPr="004319B5">
        <w:rPr>
          <w:rFonts w:cstheme="minorHAnsi"/>
        </w:rPr>
        <w:t xml:space="preserve"> for potential reuse were changing during the fourth century</w:t>
      </w:r>
      <w:r w:rsidR="00AB57C4">
        <w:rPr>
          <w:rFonts w:cstheme="minorHAnsi"/>
        </w:rPr>
        <w:t>.</w:t>
      </w:r>
      <w:r w:rsidR="004319B5">
        <w:rPr>
          <w:rStyle w:val="FootnoteReference"/>
          <w:rFonts w:cstheme="minorHAnsi"/>
        </w:rPr>
        <w:footnoteReference w:id="5"/>
      </w:r>
      <w:r w:rsidR="00AB57C4">
        <w:rPr>
          <w:rFonts w:cstheme="minorHAnsi"/>
        </w:rPr>
        <w:t xml:space="preserve"> </w:t>
      </w:r>
      <w:r w:rsidR="003565D0">
        <w:rPr>
          <w:rFonts w:cstheme="minorHAnsi"/>
        </w:rPr>
        <w:t>C</w:t>
      </w:r>
      <w:r w:rsidRPr="00CF0992">
        <w:rPr>
          <w:rFonts w:cstheme="minorHAnsi"/>
        </w:rPr>
        <w:t>oin-piercing</w:t>
      </w:r>
      <w:r w:rsidR="00D06EC2">
        <w:rPr>
          <w:rFonts w:cstheme="minorHAnsi"/>
        </w:rPr>
        <w:t xml:space="preserve"> </w:t>
      </w:r>
      <w:r w:rsidRPr="00CF0992">
        <w:rPr>
          <w:rFonts w:cstheme="minorHAnsi"/>
        </w:rPr>
        <w:t>occurred across a long period</w:t>
      </w:r>
      <w:r w:rsidR="008A7B43">
        <w:rPr>
          <w:rFonts w:cstheme="minorHAnsi"/>
        </w:rPr>
        <w:t>,</w:t>
      </w:r>
      <w:r w:rsidRPr="00CF0992">
        <w:rPr>
          <w:rFonts w:cstheme="minorHAnsi"/>
        </w:rPr>
        <w:t xml:space="preserve"> and </w:t>
      </w:r>
      <w:r w:rsidR="00C62656" w:rsidRPr="00CF0992">
        <w:rPr>
          <w:rFonts w:cstheme="minorHAnsi"/>
        </w:rPr>
        <w:t>pierced coins were valued in multiple ways</w:t>
      </w:r>
      <w:r w:rsidR="002B4885">
        <w:rPr>
          <w:rFonts w:cstheme="minorHAnsi"/>
        </w:rPr>
        <w:t xml:space="preserve">, evident from their different contexts and the position and number of piercings. </w:t>
      </w:r>
    </w:p>
    <w:p w14:paraId="183345D1" w14:textId="262F0AB8" w:rsidR="00042B68" w:rsidRPr="00CF0992" w:rsidRDefault="00CA204E" w:rsidP="009D5D4B">
      <w:pPr>
        <w:autoSpaceDE w:val="0"/>
        <w:autoSpaceDN w:val="0"/>
        <w:adjustRightInd w:val="0"/>
        <w:rPr>
          <w:rFonts w:cstheme="minorHAnsi"/>
        </w:rPr>
      </w:pPr>
      <w:r w:rsidRPr="00CF0992">
        <w:rPr>
          <w:rFonts w:cstheme="minorHAnsi"/>
        </w:rPr>
        <w:t xml:space="preserve">I’d like to finish with an example that illustrates a rather different way </w:t>
      </w:r>
      <w:r w:rsidR="00B4662E" w:rsidRPr="00CF0992">
        <w:rPr>
          <w:rFonts w:cstheme="minorHAnsi"/>
        </w:rPr>
        <w:t xml:space="preserve">that </w:t>
      </w:r>
      <w:r w:rsidRPr="00CF0992">
        <w:rPr>
          <w:rFonts w:cstheme="minorHAnsi"/>
        </w:rPr>
        <w:t>copper alloy objects were valued in the post-Roman period</w:t>
      </w:r>
      <w:r w:rsidR="008A7B43">
        <w:rPr>
          <w:rFonts w:cstheme="minorHAnsi"/>
        </w:rPr>
        <w:t>—</w:t>
      </w:r>
      <w:r w:rsidRPr="00CF0992">
        <w:rPr>
          <w:rFonts w:cstheme="minorHAnsi"/>
        </w:rPr>
        <w:t>as a source of motifs to be copied.</w:t>
      </w:r>
      <w:r w:rsidR="00A00D71" w:rsidRPr="00CF0992">
        <w:rPr>
          <w:rFonts w:cstheme="minorHAnsi"/>
        </w:rPr>
        <w:t xml:space="preserve"> </w:t>
      </w:r>
      <w:r w:rsidR="00727B65" w:rsidRPr="00CF0992">
        <w:rPr>
          <w:rFonts w:cstheme="minorHAnsi"/>
        </w:rPr>
        <w:t>I</w:t>
      </w:r>
      <w:r w:rsidR="0017305D" w:rsidRPr="00CF0992">
        <w:rPr>
          <w:rFonts w:cstheme="minorHAnsi"/>
        </w:rPr>
        <w:t xml:space="preserve">t </w:t>
      </w:r>
      <w:r w:rsidR="00727B65" w:rsidRPr="00CF0992">
        <w:rPr>
          <w:rFonts w:cstheme="minorHAnsi"/>
        </w:rPr>
        <w:t xml:space="preserve">also </w:t>
      </w:r>
      <w:r w:rsidR="0017305D" w:rsidRPr="00CF0992">
        <w:rPr>
          <w:rFonts w:cstheme="minorHAnsi"/>
        </w:rPr>
        <w:t xml:space="preserve">shows that </w:t>
      </w:r>
      <w:r w:rsidR="00C62656" w:rsidRPr="00CF0992">
        <w:rPr>
          <w:rFonts w:cstheme="minorHAnsi"/>
        </w:rPr>
        <w:t xml:space="preserve">coin </w:t>
      </w:r>
      <w:r w:rsidR="0017305D" w:rsidRPr="00CF0992">
        <w:rPr>
          <w:rFonts w:cstheme="minorHAnsi"/>
        </w:rPr>
        <w:t xml:space="preserve">motifs </w:t>
      </w:r>
      <w:r w:rsidR="00C62656" w:rsidRPr="00CF0992">
        <w:rPr>
          <w:rFonts w:cstheme="minorHAnsi"/>
        </w:rPr>
        <w:t xml:space="preserve">were </w:t>
      </w:r>
      <w:r w:rsidR="0017305D" w:rsidRPr="00CF0992">
        <w:rPr>
          <w:rFonts w:cstheme="minorHAnsi"/>
        </w:rPr>
        <w:t>looked at and valued specifically as images</w:t>
      </w:r>
      <w:r w:rsidR="00727B65" w:rsidRPr="00CF0992">
        <w:rPr>
          <w:rFonts w:cstheme="minorHAnsi"/>
        </w:rPr>
        <w:t xml:space="preserve"> in </w:t>
      </w:r>
      <w:r w:rsidR="00A00D71" w:rsidRPr="00CF0992">
        <w:rPr>
          <w:rFonts w:cstheme="minorHAnsi"/>
        </w:rPr>
        <w:t>fifth-century Britain</w:t>
      </w:r>
      <w:r w:rsidR="006D52E3" w:rsidRPr="00CF0992">
        <w:rPr>
          <w:rFonts w:cstheme="minorHAnsi"/>
        </w:rPr>
        <w:t xml:space="preserve">. </w:t>
      </w:r>
    </w:p>
    <w:p w14:paraId="402F28E9" w14:textId="5C1534AD" w:rsidR="009D5D4B" w:rsidRPr="004424D3" w:rsidRDefault="009D5D4B" w:rsidP="009D5D4B">
      <w:pPr>
        <w:autoSpaceDE w:val="0"/>
        <w:autoSpaceDN w:val="0"/>
        <w:adjustRightInd w:val="0"/>
        <w:rPr>
          <w:rFonts w:cstheme="minorHAnsi"/>
          <w:b/>
          <w:bCs/>
        </w:rPr>
      </w:pPr>
      <w:r w:rsidRPr="004424D3">
        <w:rPr>
          <w:rFonts w:cstheme="minorHAnsi"/>
          <w:b/>
          <w:bCs/>
        </w:rPr>
        <w:t>Motifs from Late Roman Bronze Coinage</w:t>
      </w:r>
    </w:p>
    <w:p w14:paraId="6C8FBEF6" w14:textId="54BAF787" w:rsidR="009D5D4B" w:rsidRPr="00CF0992" w:rsidRDefault="005D2C51" w:rsidP="003D7517">
      <w:pPr>
        <w:rPr>
          <w:rFonts w:cstheme="minorHAnsi"/>
        </w:rPr>
      </w:pPr>
      <w:r>
        <w:rPr>
          <w:rFonts w:cstheme="minorHAnsi"/>
        </w:rPr>
        <w:t xml:space="preserve">The </w:t>
      </w:r>
      <w:r w:rsidR="0002296A" w:rsidRPr="00CF0992">
        <w:rPr>
          <w:rFonts w:cstheme="minorHAnsi"/>
        </w:rPr>
        <w:t xml:space="preserve">Brancaster finger-ring </w:t>
      </w:r>
      <w:r>
        <w:rPr>
          <w:rFonts w:cstheme="minorHAnsi"/>
        </w:rPr>
        <w:t>is an</w:t>
      </w:r>
      <w:r w:rsidR="0002296A" w:rsidRPr="00CF0992">
        <w:rPr>
          <w:rFonts w:cstheme="minorHAnsi"/>
        </w:rPr>
        <w:t xml:space="preserve"> object type that principally dates to the fifth century ((Henig and Gerrard 2016, 229</w:t>
      </w:r>
      <w:r w:rsidR="00D06F9F">
        <w:rPr>
          <w:rFonts w:cstheme="minorHAnsi"/>
        </w:rPr>
        <w:t>–</w:t>
      </w:r>
      <w:r w:rsidR="0002296A" w:rsidRPr="00CF0992">
        <w:rPr>
          <w:rFonts w:cstheme="minorHAnsi"/>
        </w:rPr>
        <w:t>231)</w:t>
      </w:r>
      <w:r>
        <w:rPr>
          <w:rFonts w:cstheme="minorHAnsi"/>
        </w:rPr>
        <w:t xml:space="preserve"> and </w:t>
      </w:r>
      <w:r w:rsidR="00B44464" w:rsidRPr="00CF0992">
        <w:rPr>
          <w:rFonts w:cstheme="minorHAnsi"/>
        </w:rPr>
        <w:t>occur</w:t>
      </w:r>
      <w:r>
        <w:rPr>
          <w:rFonts w:cstheme="minorHAnsi"/>
        </w:rPr>
        <w:t>s</w:t>
      </w:r>
      <w:r w:rsidR="00B44464" w:rsidRPr="00CF0992">
        <w:rPr>
          <w:rFonts w:cstheme="minorHAnsi"/>
        </w:rPr>
        <w:t xml:space="preserve"> in gold, </w:t>
      </w:r>
      <w:proofErr w:type="gramStart"/>
      <w:r w:rsidR="00B44464" w:rsidRPr="00CF0992">
        <w:rPr>
          <w:rFonts w:cstheme="minorHAnsi"/>
        </w:rPr>
        <w:t>silver</w:t>
      </w:r>
      <w:proofErr w:type="gramEnd"/>
      <w:r w:rsidR="00B44464" w:rsidRPr="00CF0992">
        <w:rPr>
          <w:rFonts w:cstheme="minorHAnsi"/>
        </w:rPr>
        <w:t xml:space="preserve"> and copper alloy.</w:t>
      </w:r>
      <w:r w:rsidR="00937AD0" w:rsidRPr="00CF0992">
        <w:rPr>
          <w:rFonts w:cstheme="minorHAnsi"/>
        </w:rPr>
        <w:t xml:space="preserve"> It has been observed that motifs representing a head or bust on </w:t>
      </w:r>
      <w:r>
        <w:rPr>
          <w:rFonts w:cstheme="minorHAnsi"/>
        </w:rPr>
        <w:t>Brancaster</w:t>
      </w:r>
      <w:r w:rsidR="00937AD0" w:rsidRPr="00CF0992">
        <w:rPr>
          <w:rFonts w:cstheme="minorHAnsi"/>
        </w:rPr>
        <w:t xml:space="preserve"> rings are likely to have been taken from late Roman coinage, since some of them recognisably show</w:t>
      </w:r>
      <w:r w:rsidR="007A313C">
        <w:rPr>
          <w:rFonts w:cstheme="minorHAnsi"/>
        </w:rPr>
        <w:t xml:space="preserve"> either</w:t>
      </w:r>
      <w:r w:rsidR="00937AD0" w:rsidRPr="00CF0992">
        <w:rPr>
          <w:rFonts w:cstheme="minorHAnsi"/>
        </w:rPr>
        <w:t xml:space="preserve"> the emperor wearing his late Roman regalia of a pearl diadem, or a helmeted figure that could also be imperial (</w:t>
      </w:r>
      <w:r w:rsidR="00937AD0" w:rsidRPr="00CF0992">
        <w:rPr>
          <w:rFonts w:eastAsia="Times New Roman" w:cstheme="minorHAnsi"/>
        </w:rPr>
        <w:t>Henig and Gerrard 2016, 232</w:t>
      </w:r>
      <w:r w:rsidR="00D06F9F">
        <w:rPr>
          <w:rFonts w:eastAsia="Times New Roman" w:cstheme="minorHAnsi"/>
        </w:rPr>
        <w:t>–</w:t>
      </w:r>
      <w:r w:rsidR="00937AD0" w:rsidRPr="00CF0992">
        <w:rPr>
          <w:rFonts w:eastAsia="Times New Roman" w:cstheme="minorHAnsi"/>
        </w:rPr>
        <w:t>4; 245).</w:t>
      </w:r>
    </w:p>
    <w:p w14:paraId="7CBAFD33" w14:textId="4037D2A8" w:rsidR="009D5D4B" w:rsidRDefault="00082D75" w:rsidP="003D7517">
      <w:pPr>
        <w:rPr>
          <w:rFonts w:cstheme="minorHAnsi"/>
        </w:rPr>
      </w:pPr>
      <w:r w:rsidRPr="00CF0992">
        <w:rPr>
          <w:rFonts w:cstheme="minorHAnsi"/>
        </w:rPr>
        <w:t>As part of a wider ongoing study</w:t>
      </w:r>
      <w:r w:rsidR="005D2C51">
        <w:rPr>
          <w:rFonts w:cstheme="minorHAnsi"/>
        </w:rPr>
        <w:t xml:space="preserve"> of </w:t>
      </w:r>
      <w:r w:rsidR="00284261">
        <w:rPr>
          <w:rFonts w:cstheme="minorHAnsi"/>
        </w:rPr>
        <w:t xml:space="preserve">material from </w:t>
      </w:r>
      <w:r w:rsidR="005D2C51">
        <w:rPr>
          <w:rFonts w:cstheme="minorHAnsi"/>
        </w:rPr>
        <w:t xml:space="preserve">fifth-century </w:t>
      </w:r>
      <w:r w:rsidR="00284261">
        <w:rPr>
          <w:rFonts w:cstheme="minorHAnsi"/>
        </w:rPr>
        <w:t>contexts</w:t>
      </w:r>
      <w:r w:rsidR="005D2C51">
        <w:rPr>
          <w:rFonts w:cstheme="minorHAnsi"/>
        </w:rPr>
        <w:t xml:space="preserve">, </w:t>
      </w:r>
      <w:r w:rsidRPr="00CF0992">
        <w:rPr>
          <w:rFonts w:cstheme="minorHAnsi"/>
        </w:rPr>
        <w:t xml:space="preserve">I </w:t>
      </w:r>
      <w:r w:rsidR="00812675">
        <w:rPr>
          <w:rFonts w:cstheme="minorHAnsi"/>
        </w:rPr>
        <w:t xml:space="preserve">have noticed some further relationships between </w:t>
      </w:r>
      <w:r w:rsidRPr="00CF0992">
        <w:rPr>
          <w:rFonts w:cstheme="minorHAnsi"/>
        </w:rPr>
        <w:t xml:space="preserve">motifs used </w:t>
      </w:r>
      <w:r w:rsidR="00812675">
        <w:rPr>
          <w:rFonts w:cstheme="minorHAnsi"/>
        </w:rPr>
        <w:t xml:space="preserve">on Brancaster rings and those </w:t>
      </w:r>
      <w:r w:rsidRPr="00CF0992">
        <w:rPr>
          <w:rFonts w:cstheme="minorHAnsi"/>
        </w:rPr>
        <w:t>taken specifically from late Roman coinage</w:t>
      </w:r>
      <w:r w:rsidR="00A70B00">
        <w:rPr>
          <w:rFonts w:cstheme="minorHAnsi"/>
        </w:rPr>
        <w:t>. In this paper</w:t>
      </w:r>
      <w:r w:rsidR="00DC4C12" w:rsidRPr="00CF0992">
        <w:rPr>
          <w:rFonts w:cstheme="minorHAnsi"/>
        </w:rPr>
        <w:t xml:space="preserve">, I will give examples based on copper alloy coins specifically, to fit with the </w:t>
      </w:r>
      <w:r w:rsidR="005D2C51">
        <w:rPr>
          <w:rFonts w:cstheme="minorHAnsi"/>
        </w:rPr>
        <w:t>volume</w:t>
      </w:r>
      <w:r w:rsidR="00DC4C12" w:rsidRPr="00CF0992">
        <w:rPr>
          <w:rFonts w:cstheme="minorHAnsi"/>
        </w:rPr>
        <w:t xml:space="preserve"> theme</w:t>
      </w:r>
      <w:r w:rsidRPr="00CF0992">
        <w:rPr>
          <w:rFonts w:cstheme="minorHAnsi"/>
        </w:rPr>
        <w:t>.</w:t>
      </w:r>
      <w:r w:rsidR="00985887" w:rsidRPr="00CF0992">
        <w:rPr>
          <w:rFonts w:cstheme="minorHAnsi"/>
        </w:rPr>
        <w:t xml:space="preserve"> Notably</w:t>
      </w:r>
      <w:r w:rsidR="00747647" w:rsidRPr="00CF0992">
        <w:rPr>
          <w:rFonts w:cstheme="minorHAnsi"/>
        </w:rPr>
        <w:t>,</w:t>
      </w:r>
      <w:r w:rsidR="00985887" w:rsidRPr="00CF0992">
        <w:rPr>
          <w:rFonts w:cstheme="minorHAnsi"/>
        </w:rPr>
        <w:t xml:space="preserve"> these are not </w:t>
      </w:r>
      <w:r w:rsidR="00747647" w:rsidRPr="00CF0992">
        <w:rPr>
          <w:rFonts w:cstheme="minorHAnsi"/>
        </w:rPr>
        <w:t xml:space="preserve">motifs from </w:t>
      </w:r>
      <w:r w:rsidR="00985887" w:rsidRPr="00CF0992">
        <w:rPr>
          <w:rFonts w:cstheme="minorHAnsi"/>
        </w:rPr>
        <w:t xml:space="preserve">the latest Roman coin issues closest in date to the finger-rings, but </w:t>
      </w:r>
      <w:r w:rsidR="00747647" w:rsidRPr="00CF0992">
        <w:rPr>
          <w:rFonts w:cstheme="minorHAnsi"/>
        </w:rPr>
        <w:t xml:space="preserve">motifs on </w:t>
      </w:r>
      <w:r w:rsidR="00985887" w:rsidRPr="00CF0992">
        <w:rPr>
          <w:rFonts w:cstheme="minorHAnsi"/>
        </w:rPr>
        <w:t>coins</w:t>
      </w:r>
      <w:r w:rsidR="00DC4C12" w:rsidRPr="00CF0992">
        <w:rPr>
          <w:rFonts w:cstheme="minorHAnsi"/>
        </w:rPr>
        <w:t xml:space="preserve"> mostly</w:t>
      </w:r>
      <w:r w:rsidR="00985887" w:rsidRPr="00CF0992">
        <w:rPr>
          <w:rFonts w:cstheme="minorHAnsi"/>
        </w:rPr>
        <w:t xml:space="preserve"> from the mid</w:t>
      </w:r>
      <w:r w:rsidR="00B94BCD">
        <w:rPr>
          <w:rFonts w:cstheme="minorHAnsi"/>
        </w:rPr>
        <w:t>-</w:t>
      </w:r>
      <w:r w:rsidR="00985887" w:rsidRPr="00CF0992">
        <w:rPr>
          <w:rFonts w:cstheme="minorHAnsi"/>
        </w:rPr>
        <w:t xml:space="preserve"> and earlier fourth century. </w:t>
      </w:r>
      <w:r w:rsidR="0005316C" w:rsidRPr="00CF0992">
        <w:rPr>
          <w:rFonts w:cstheme="minorHAnsi"/>
        </w:rPr>
        <w:t xml:space="preserve">These </w:t>
      </w:r>
      <w:r w:rsidR="00985887" w:rsidRPr="00CF0992">
        <w:rPr>
          <w:rFonts w:cstheme="minorHAnsi"/>
        </w:rPr>
        <w:t>are among the most plentiful types recorded in Britain, that are more likely than less common issues to have survived into this period</w:t>
      </w:r>
      <w:r w:rsidR="00924EF9" w:rsidRPr="00CF0992">
        <w:rPr>
          <w:rFonts w:cstheme="minorHAnsi"/>
        </w:rPr>
        <w:t>, as</w:t>
      </w:r>
      <w:r w:rsidR="0005316C" w:rsidRPr="00CF0992">
        <w:rPr>
          <w:rFonts w:cstheme="minorHAnsi"/>
        </w:rPr>
        <w:t xml:space="preserve"> we have seen previously</w:t>
      </w:r>
      <w:r w:rsidR="00924EF9" w:rsidRPr="00CF0992">
        <w:rPr>
          <w:rFonts w:cstheme="minorHAnsi"/>
        </w:rPr>
        <w:t>.</w:t>
      </w:r>
    </w:p>
    <w:p w14:paraId="777141DE" w14:textId="3477AA38" w:rsidR="00063215" w:rsidRPr="00CF0992" w:rsidRDefault="00063215" w:rsidP="003D7517">
      <w:pPr>
        <w:rPr>
          <w:rFonts w:cstheme="minorHAnsi"/>
        </w:rPr>
      </w:pPr>
      <w:r>
        <w:rPr>
          <w:rFonts w:cstheme="minorHAnsi"/>
        </w:rPr>
        <w:t>[INSERT FIGURE 6</w:t>
      </w:r>
      <w:r w:rsidR="00D45403">
        <w:rPr>
          <w:rFonts w:cstheme="minorHAnsi"/>
        </w:rPr>
        <w:t>A-B</w:t>
      </w:r>
      <w:r>
        <w:rPr>
          <w:rFonts w:cstheme="minorHAnsi"/>
        </w:rPr>
        <w:t xml:space="preserve"> HERE]</w:t>
      </w:r>
    </w:p>
    <w:p w14:paraId="2FA471A0" w14:textId="551D40F4" w:rsidR="0002486B" w:rsidRDefault="007F7C37" w:rsidP="003D7517">
      <w:pPr>
        <w:rPr>
          <w:rFonts w:cstheme="minorHAnsi"/>
          <w:noProof/>
        </w:rPr>
      </w:pPr>
      <w:r>
        <w:rPr>
          <w:rFonts w:cstheme="minorHAnsi"/>
        </w:rPr>
        <w:t>F</w:t>
      </w:r>
      <w:r w:rsidR="00E57D3C">
        <w:rPr>
          <w:rFonts w:cstheme="minorHAnsi"/>
        </w:rPr>
        <w:t>igure</w:t>
      </w:r>
      <w:r w:rsidR="004147EC">
        <w:rPr>
          <w:rFonts w:cstheme="minorHAnsi"/>
        </w:rPr>
        <w:t xml:space="preserve"> 6</w:t>
      </w:r>
      <w:r>
        <w:rPr>
          <w:rFonts w:cstheme="minorHAnsi"/>
        </w:rPr>
        <w:t xml:space="preserve"> shows a </w:t>
      </w:r>
      <w:proofErr w:type="spellStart"/>
      <w:r w:rsidR="0002486B" w:rsidRPr="00CF0992">
        <w:rPr>
          <w:rFonts w:cstheme="minorHAnsi"/>
        </w:rPr>
        <w:t>C</w:t>
      </w:r>
      <w:r w:rsidR="00D43FFA">
        <w:rPr>
          <w:rFonts w:cstheme="minorHAnsi"/>
        </w:rPr>
        <w:t>onstantinopolis</w:t>
      </w:r>
      <w:proofErr w:type="spellEnd"/>
      <w:r w:rsidR="0002486B" w:rsidRPr="00CF0992">
        <w:rPr>
          <w:rFonts w:cstheme="minorHAnsi"/>
        </w:rPr>
        <w:t xml:space="preserve"> obverse (RIC VII Lyon 266</w:t>
      </w:r>
      <w:r>
        <w:rPr>
          <w:rFonts w:cstheme="minorHAnsi"/>
        </w:rPr>
        <w:t xml:space="preserve">, Reece </w:t>
      </w:r>
      <w:r w:rsidRPr="00AB796F">
        <w:rPr>
          <w:rFonts w:cstheme="minorHAnsi"/>
        </w:rPr>
        <w:t>Period 17</w:t>
      </w:r>
      <w:r w:rsidR="0002486B" w:rsidRPr="00CF0992">
        <w:rPr>
          <w:rFonts w:cstheme="minorHAnsi"/>
        </w:rPr>
        <w:t>) compared with</w:t>
      </w:r>
      <w:r w:rsidR="005D590F">
        <w:rPr>
          <w:rFonts w:cstheme="minorHAnsi"/>
        </w:rPr>
        <w:t xml:space="preserve"> a </w:t>
      </w:r>
      <w:r w:rsidR="00273A1F">
        <w:rPr>
          <w:rFonts w:cstheme="minorHAnsi"/>
        </w:rPr>
        <w:t xml:space="preserve">Brancaster </w:t>
      </w:r>
      <w:r w:rsidR="005D590F">
        <w:rPr>
          <w:rFonts w:cstheme="minorHAnsi"/>
        </w:rPr>
        <w:t>finger-ring</w:t>
      </w:r>
      <w:r w:rsidR="0002486B" w:rsidRPr="00CF0992">
        <w:rPr>
          <w:rFonts w:cstheme="minorHAnsi"/>
        </w:rPr>
        <w:t xml:space="preserve"> </w:t>
      </w:r>
      <w:r w:rsidR="005D590F">
        <w:rPr>
          <w:rFonts w:cstheme="minorHAnsi"/>
        </w:rPr>
        <w:t>from Amesbury</w:t>
      </w:r>
      <w:r w:rsidR="008036A1">
        <w:rPr>
          <w:rFonts w:cstheme="minorHAnsi"/>
        </w:rPr>
        <w:t>, Wiltshire</w:t>
      </w:r>
      <w:r w:rsidR="005D590F">
        <w:rPr>
          <w:rFonts w:cstheme="minorHAnsi"/>
        </w:rPr>
        <w:t xml:space="preserve"> (</w:t>
      </w:r>
      <w:r w:rsidR="0002486B" w:rsidRPr="00CF0992">
        <w:rPr>
          <w:rFonts w:cstheme="minorHAnsi"/>
        </w:rPr>
        <w:t>Henig and Gerrard cat. no. 6</w:t>
      </w:r>
      <w:r w:rsidR="005D590F">
        <w:rPr>
          <w:rFonts w:cstheme="minorHAnsi"/>
        </w:rPr>
        <w:t>) with a motif of replicated helmeted figures.</w:t>
      </w:r>
      <w:r w:rsidR="0002486B" w:rsidRPr="00CF0992">
        <w:rPr>
          <w:rFonts w:cstheme="minorHAnsi"/>
        </w:rPr>
        <w:t xml:space="preserve"> </w:t>
      </w:r>
      <w:r w:rsidR="005D590F">
        <w:rPr>
          <w:rFonts w:cstheme="minorHAnsi"/>
        </w:rPr>
        <w:t xml:space="preserve">Although there are also some similarities to helmeted Imperial portraits, </w:t>
      </w:r>
      <w:proofErr w:type="spellStart"/>
      <w:r w:rsidR="006D52E3" w:rsidRPr="00CF0992">
        <w:rPr>
          <w:rFonts w:cstheme="minorHAnsi"/>
        </w:rPr>
        <w:t>Constantinopolis</w:t>
      </w:r>
      <w:proofErr w:type="spellEnd"/>
      <w:r w:rsidR="005D590F">
        <w:rPr>
          <w:rFonts w:cstheme="minorHAnsi"/>
        </w:rPr>
        <w:t xml:space="preserve"> is a more likely model for the motifs on this </w:t>
      </w:r>
      <w:proofErr w:type="gramStart"/>
      <w:r w:rsidR="005D590F">
        <w:rPr>
          <w:rFonts w:cstheme="minorHAnsi"/>
        </w:rPr>
        <w:t>particular finger-ring</w:t>
      </w:r>
      <w:proofErr w:type="gramEnd"/>
      <w:r w:rsidR="006D52E3" w:rsidRPr="00CF0992">
        <w:rPr>
          <w:rFonts w:cstheme="minorHAnsi"/>
        </w:rPr>
        <w:t xml:space="preserve">. </w:t>
      </w:r>
      <w:r w:rsidR="0002486B" w:rsidRPr="00CF0992">
        <w:rPr>
          <w:rFonts w:cstheme="minorHAnsi"/>
          <w:noProof/>
        </w:rPr>
        <w:t xml:space="preserve">In addition to the crested helmet and large eye, notice how on the coin, the spear overlaps with the end of the helmet crest to make a shape that appears to be the inspiration for the swastika motif in the centre of the </w:t>
      </w:r>
      <w:r w:rsidR="005D590F">
        <w:rPr>
          <w:rFonts w:cstheme="minorHAnsi"/>
          <w:noProof/>
        </w:rPr>
        <w:t>finger-</w:t>
      </w:r>
      <w:r w:rsidR="0002486B" w:rsidRPr="00CF0992">
        <w:rPr>
          <w:rFonts w:cstheme="minorHAnsi"/>
          <w:noProof/>
        </w:rPr>
        <w:t>ring</w:t>
      </w:r>
      <w:r w:rsidR="005D590F">
        <w:rPr>
          <w:rFonts w:cstheme="minorHAnsi"/>
          <w:noProof/>
        </w:rPr>
        <w:t xml:space="preserve"> bezel</w:t>
      </w:r>
      <w:r w:rsidR="0002486B" w:rsidRPr="00CF0992">
        <w:rPr>
          <w:rFonts w:cstheme="minorHAnsi"/>
          <w:noProof/>
        </w:rPr>
        <w:t>.</w:t>
      </w:r>
      <w:r w:rsidR="001F3C0A">
        <w:rPr>
          <w:rFonts w:cstheme="minorHAnsi"/>
          <w:noProof/>
        </w:rPr>
        <w:t xml:space="preserve"> It is very unlikely the principal motifs were still intended to represent Constantinopolis, the personification of the city of Constantinople. A helmeted warrior is a possible interpretation</w:t>
      </w:r>
      <w:r w:rsidR="00E57D3C">
        <w:rPr>
          <w:rFonts w:cstheme="minorHAnsi"/>
          <w:noProof/>
        </w:rPr>
        <w:t xml:space="preserve"> of the finger-ring motif</w:t>
      </w:r>
      <w:r w:rsidR="001F3C0A">
        <w:rPr>
          <w:rFonts w:cstheme="minorHAnsi"/>
          <w:noProof/>
        </w:rPr>
        <w:t>, or perhaps even a cockerel with its wattles and comb.</w:t>
      </w:r>
    </w:p>
    <w:p w14:paraId="45E11807" w14:textId="68DC40C6" w:rsidR="00063215" w:rsidRPr="00CF0992" w:rsidRDefault="00063215" w:rsidP="003D7517">
      <w:pPr>
        <w:rPr>
          <w:rFonts w:cstheme="minorHAnsi"/>
          <w:noProof/>
        </w:rPr>
      </w:pPr>
      <w:r>
        <w:rPr>
          <w:rFonts w:cstheme="minorHAnsi"/>
          <w:noProof/>
        </w:rPr>
        <w:t>[INSERT FIGURE 7</w:t>
      </w:r>
      <w:r w:rsidR="00D45403">
        <w:rPr>
          <w:rFonts w:cstheme="minorHAnsi"/>
          <w:noProof/>
        </w:rPr>
        <w:t>A-B</w:t>
      </w:r>
      <w:r>
        <w:rPr>
          <w:rFonts w:cstheme="minorHAnsi"/>
          <w:noProof/>
        </w:rPr>
        <w:t xml:space="preserve"> HERE]</w:t>
      </w:r>
    </w:p>
    <w:p w14:paraId="375C8952" w14:textId="66532B6C" w:rsidR="0002486B" w:rsidRDefault="007F7C37" w:rsidP="003D7517">
      <w:pPr>
        <w:rPr>
          <w:rFonts w:cstheme="minorHAnsi"/>
          <w:noProof/>
        </w:rPr>
      </w:pPr>
      <w:r>
        <w:rPr>
          <w:rFonts w:cstheme="minorHAnsi"/>
          <w:noProof/>
        </w:rPr>
        <w:t>F</w:t>
      </w:r>
      <w:r w:rsidR="00E57D3C">
        <w:rPr>
          <w:rFonts w:cstheme="minorHAnsi"/>
          <w:noProof/>
        </w:rPr>
        <w:t>igure</w:t>
      </w:r>
      <w:r>
        <w:rPr>
          <w:rFonts w:cstheme="minorHAnsi"/>
          <w:noProof/>
        </w:rPr>
        <w:t xml:space="preserve"> </w:t>
      </w:r>
      <w:r w:rsidR="004147EC">
        <w:rPr>
          <w:rFonts w:cstheme="minorHAnsi"/>
          <w:noProof/>
        </w:rPr>
        <w:t xml:space="preserve">7 </w:t>
      </w:r>
      <w:r>
        <w:rPr>
          <w:rFonts w:cstheme="minorHAnsi"/>
          <w:noProof/>
        </w:rPr>
        <w:t xml:space="preserve">shows a </w:t>
      </w:r>
      <w:r w:rsidR="00273A1F">
        <w:rPr>
          <w:rFonts w:cstheme="minorHAnsi"/>
          <w:noProof/>
        </w:rPr>
        <w:t xml:space="preserve">coin </w:t>
      </w:r>
      <w:r w:rsidR="0002486B" w:rsidRPr="00CF0992">
        <w:rPr>
          <w:rFonts w:cstheme="minorHAnsi"/>
          <w:noProof/>
        </w:rPr>
        <w:t>reverse</w:t>
      </w:r>
      <w:r w:rsidR="00273A1F">
        <w:rPr>
          <w:rFonts w:cstheme="minorHAnsi"/>
          <w:noProof/>
        </w:rPr>
        <w:t xml:space="preserve"> with an owl on an altar</w:t>
      </w:r>
      <w:r w:rsidR="0002486B" w:rsidRPr="00CF0992">
        <w:rPr>
          <w:rFonts w:cstheme="minorHAnsi"/>
          <w:noProof/>
        </w:rPr>
        <w:t xml:space="preserve"> (RIC VII Trier 62</w:t>
      </w:r>
      <w:r>
        <w:rPr>
          <w:rFonts w:cstheme="minorHAnsi"/>
          <w:noProof/>
        </w:rPr>
        <w:t xml:space="preserve">, </w:t>
      </w:r>
      <w:r>
        <w:rPr>
          <w:rFonts w:cstheme="minorHAnsi"/>
        </w:rPr>
        <w:t xml:space="preserve">Reece </w:t>
      </w:r>
      <w:r w:rsidRPr="00AB796F">
        <w:rPr>
          <w:rFonts w:cstheme="minorHAnsi"/>
        </w:rPr>
        <w:t>Period 15</w:t>
      </w:r>
      <w:r w:rsidR="0002486B" w:rsidRPr="00CF0992">
        <w:rPr>
          <w:rFonts w:cstheme="minorHAnsi"/>
          <w:noProof/>
        </w:rPr>
        <w:t>)</w:t>
      </w:r>
      <w:r w:rsidR="00203EB8">
        <w:rPr>
          <w:rFonts w:cstheme="minorHAnsi"/>
          <w:noProof/>
        </w:rPr>
        <w:t xml:space="preserve"> </w:t>
      </w:r>
      <w:r w:rsidR="0002486B" w:rsidRPr="00CF0992">
        <w:rPr>
          <w:rFonts w:cstheme="minorHAnsi"/>
          <w:noProof/>
        </w:rPr>
        <w:t>compared with</w:t>
      </w:r>
      <w:r w:rsidR="008036A1">
        <w:rPr>
          <w:rFonts w:cstheme="minorHAnsi"/>
          <w:noProof/>
        </w:rPr>
        <w:t xml:space="preserve"> a </w:t>
      </w:r>
      <w:r w:rsidR="00E57D3C">
        <w:rPr>
          <w:rFonts w:cstheme="minorHAnsi"/>
          <w:noProof/>
        </w:rPr>
        <w:t xml:space="preserve">Brancaster </w:t>
      </w:r>
      <w:r w:rsidR="008036A1">
        <w:rPr>
          <w:rFonts w:cstheme="minorHAnsi"/>
          <w:noProof/>
        </w:rPr>
        <w:t>finger-ring from</w:t>
      </w:r>
      <w:r w:rsidR="0002486B" w:rsidRPr="00CF0992">
        <w:rPr>
          <w:rFonts w:cstheme="minorHAnsi"/>
          <w:noProof/>
        </w:rPr>
        <w:t xml:space="preserve"> </w:t>
      </w:r>
      <w:r w:rsidR="008036A1">
        <w:rPr>
          <w:rFonts w:cstheme="minorHAnsi"/>
          <w:noProof/>
        </w:rPr>
        <w:t>Sleaford, Lincolnshire (</w:t>
      </w:r>
      <w:r w:rsidR="0002486B" w:rsidRPr="00CF0992">
        <w:rPr>
          <w:rFonts w:cstheme="minorHAnsi"/>
          <w:noProof/>
        </w:rPr>
        <w:t>Henig and Gerrard cat. no. 36</w:t>
      </w:r>
      <w:r w:rsidR="006D103A">
        <w:rPr>
          <w:rFonts w:cstheme="minorHAnsi"/>
          <w:noProof/>
        </w:rPr>
        <w:t>, P</w:t>
      </w:r>
      <w:r w:rsidR="008036A1">
        <w:rPr>
          <w:rFonts w:cstheme="minorHAnsi"/>
          <w:noProof/>
        </w:rPr>
        <w:t>ortable Antiquities Scheme</w:t>
      </w:r>
      <w:r w:rsidR="006D103A" w:rsidRPr="006D103A">
        <w:rPr>
          <w:rFonts w:cstheme="minorHAnsi"/>
          <w:noProof/>
        </w:rPr>
        <w:t xml:space="preserve"> </w:t>
      </w:r>
      <w:r w:rsidR="006D103A" w:rsidRPr="006D103A">
        <w:rPr>
          <w:rFonts w:eastAsia="AGaramondPro-Regular" w:cstheme="minorHAnsi"/>
        </w:rPr>
        <w:t>LIN-337C26</w:t>
      </w:r>
      <w:r w:rsidR="008036A1">
        <w:rPr>
          <w:rFonts w:eastAsia="AGaramondPro-Regular" w:cstheme="minorHAnsi"/>
        </w:rPr>
        <w:t>)</w:t>
      </w:r>
      <w:r w:rsidR="006D103A" w:rsidRPr="006D103A">
        <w:rPr>
          <w:rFonts w:eastAsia="AGaramondPro-Regular" w:cstheme="minorHAnsi"/>
        </w:rPr>
        <w:t>.</w:t>
      </w:r>
      <w:r w:rsidR="008036A1">
        <w:rPr>
          <w:rFonts w:cstheme="minorHAnsi"/>
          <w:noProof/>
        </w:rPr>
        <w:t xml:space="preserve"> </w:t>
      </w:r>
      <w:r w:rsidR="0002486B" w:rsidRPr="00CF0992">
        <w:rPr>
          <w:rFonts w:cstheme="minorHAnsi"/>
          <w:noProof/>
        </w:rPr>
        <w:t>Features</w:t>
      </w:r>
      <w:r w:rsidR="00E57D3C">
        <w:rPr>
          <w:rFonts w:cstheme="minorHAnsi"/>
          <w:noProof/>
        </w:rPr>
        <w:t xml:space="preserve"> of the finger-ring motif</w:t>
      </w:r>
      <w:r w:rsidR="0002486B" w:rsidRPr="00CF0992">
        <w:rPr>
          <w:rFonts w:cstheme="minorHAnsi"/>
          <w:noProof/>
        </w:rPr>
        <w:t xml:space="preserve"> that correspond with this coin issue are the owl facing left with head turned to the front, the left edge of the altar, and the two </w:t>
      </w:r>
      <w:r w:rsidR="0002486B" w:rsidRPr="00CF0992">
        <w:rPr>
          <w:rFonts w:cstheme="minorHAnsi"/>
          <w:noProof/>
        </w:rPr>
        <w:lastRenderedPageBreak/>
        <w:t xml:space="preserve">circular shapes to left and right </w:t>
      </w:r>
      <w:r w:rsidR="00B94BCD">
        <w:rPr>
          <w:rFonts w:cstheme="minorHAnsi"/>
          <w:noProof/>
        </w:rPr>
        <w:t>that</w:t>
      </w:r>
      <w:r w:rsidR="0002486B" w:rsidRPr="00CF0992">
        <w:rPr>
          <w:rFonts w:cstheme="minorHAnsi"/>
          <w:noProof/>
        </w:rPr>
        <w:t xml:space="preserve"> are derived from the shield and helmet resting against the sides of the altar.</w:t>
      </w:r>
      <w:r w:rsidR="00D87FA0">
        <w:rPr>
          <w:rFonts w:cstheme="minorHAnsi"/>
          <w:noProof/>
        </w:rPr>
        <w:t xml:space="preserve"> Although the owl is still recognisable, the other parts of the image no longer appear to have any significant meaning.</w:t>
      </w:r>
    </w:p>
    <w:p w14:paraId="72A2EB6A" w14:textId="399C55D5" w:rsidR="004147EC" w:rsidRPr="00CF0992" w:rsidRDefault="00901612" w:rsidP="003D7517">
      <w:pPr>
        <w:rPr>
          <w:rFonts w:cstheme="minorHAnsi"/>
          <w:noProof/>
        </w:rPr>
      </w:pPr>
      <w:r>
        <w:rPr>
          <w:rFonts w:cstheme="minorHAnsi"/>
          <w:noProof/>
        </w:rPr>
        <w:t>[</w:t>
      </w:r>
      <w:r w:rsidR="004147EC">
        <w:rPr>
          <w:rFonts w:cstheme="minorHAnsi"/>
          <w:noProof/>
        </w:rPr>
        <w:t>INSERT FIGURE 8</w:t>
      </w:r>
      <w:r w:rsidR="00D45403">
        <w:rPr>
          <w:rFonts w:cstheme="minorHAnsi"/>
          <w:noProof/>
        </w:rPr>
        <w:t>A-B</w:t>
      </w:r>
      <w:r w:rsidR="004147EC">
        <w:rPr>
          <w:rFonts w:cstheme="minorHAnsi"/>
          <w:noProof/>
        </w:rPr>
        <w:t xml:space="preserve"> HERE</w:t>
      </w:r>
      <w:r>
        <w:rPr>
          <w:rFonts w:cstheme="minorHAnsi"/>
          <w:noProof/>
        </w:rPr>
        <w:t>]</w:t>
      </w:r>
    </w:p>
    <w:p w14:paraId="454E9F63" w14:textId="65734010" w:rsidR="0002486B" w:rsidRPr="00CF0992" w:rsidRDefault="00DB6339" w:rsidP="003D7517">
      <w:pPr>
        <w:rPr>
          <w:rFonts w:cstheme="minorHAnsi"/>
          <w:noProof/>
        </w:rPr>
      </w:pPr>
      <w:r>
        <w:rPr>
          <w:rFonts w:cstheme="minorHAnsi"/>
          <w:noProof/>
        </w:rPr>
        <w:t>F</w:t>
      </w:r>
      <w:r w:rsidR="00E57D3C">
        <w:rPr>
          <w:rFonts w:cstheme="minorHAnsi"/>
          <w:noProof/>
        </w:rPr>
        <w:t>igure</w:t>
      </w:r>
      <w:r w:rsidR="004147EC">
        <w:rPr>
          <w:rFonts w:cstheme="minorHAnsi"/>
          <w:noProof/>
        </w:rPr>
        <w:t xml:space="preserve"> 8</w:t>
      </w:r>
      <w:r>
        <w:rPr>
          <w:rFonts w:cstheme="minorHAnsi"/>
          <w:noProof/>
        </w:rPr>
        <w:t xml:space="preserve"> shows a </w:t>
      </w:r>
      <w:r w:rsidR="0002486B" w:rsidRPr="00CF0992">
        <w:rPr>
          <w:rFonts w:cstheme="minorHAnsi"/>
          <w:noProof/>
        </w:rPr>
        <w:t xml:space="preserve">GLORIA EXERCITVS reverse (Portable Antiquities Scheme </w:t>
      </w:r>
      <w:r w:rsidR="0002486B" w:rsidRPr="00CF0992">
        <w:rPr>
          <w:rFonts w:cstheme="minorHAnsi"/>
          <w:color w:val="333333"/>
          <w:shd w:val="clear" w:color="auto" w:fill="FFFFFF"/>
        </w:rPr>
        <w:t>HAMP-C01C46</w:t>
      </w:r>
      <w:r w:rsidR="0002486B" w:rsidRPr="00CF0992">
        <w:rPr>
          <w:rFonts w:cstheme="minorHAnsi"/>
          <w:noProof/>
        </w:rPr>
        <w:t xml:space="preserve">) compared with </w:t>
      </w:r>
      <w:r w:rsidR="008036A1">
        <w:rPr>
          <w:rFonts w:cstheme="minorHAnsi"/>
          <w:noProof/>
        </w:rPr>
        <w:t>a finger-</w:t>
      </w:r>
      <w:r w:rsidR="0002486B" w:rsidRPr="00CF0992">
        <w:rPr>
          <w:rFonts w:cstheme="minorHAnsi"/>
          <w:noProof/>
        </w:rPr>
        <w:t>ring bezel</w:t>
      </w:r>
      <w:r w:rsidR="008036A1">
        <w:rPr>
          <w:rFonts w:cstheme="minorHAnsi"/>
          <w:noProof/>
        </w:rPr>
        <w:t xml:space="preserve"> from Coombe Bissett in Wiltshire (</w:t>
      </w:r>
      <w:r w:rsidR="0002486B" w:rsidRPr="00CF0992">
        <w:rPr>
          <w:rFonts w:cstheme="minorHAnsi"/>
          <w:noProof/>
        </w:rPr>
        <w:t>Portable Antiquities Scheme WILT-529902</w:t>
      </w:r>
      <w:r w:rsidR="008036A1">
        <w:rPr>
          <w:rFonts w:cstheme="minorHAnsi"/>
          <w:noProof/>
        </w:rPr>
        <w:t>)</w:t>
      </w:r>
      <w:r w:rsidR="0002486B" w:rsidRPr="00CF0992">
        <w:rPr>
          <w:rFonts w:cstheme="minorHAnsi"/>
          <w:noProof/>
        </w:rPr>
        <w:t>. Both feature two figures either side of a standard. In particular, we can compare the tilt of each figure’s head and the central standard embellished with circular shapes in the centre.</w:t>
      </w:r>
      <w:r w:rsidR="00B922B2">
        <w:rPr>
          <w:rFonts w:cstheme="minorHAnsi"/>
          <w:noProof/>
        </w:rPr>
        <w:t xml:space="preserve"> The figures on the ring-bezel no longer look like soldiers, but appear rather bird-like in appearance.</w:t>
      </w:r>
    </w:p>
    <w:p w14:paraId="28449E40" w14:textId="63C5177B" w:rsidR="00082D75" w:rsidRPr="00CF0992" w:rsidRDefault="00D75E19" w:rsidP="003D7517">
      <w:pPr>
        <w:rPr>
          <w:rFonts w:cstheme="minorHAnsi"/>
        </w:rPr>
      </w:pPr>
      <w:r w:rsidRPr="00CF0992">
        <w:rPr>
          <w:rFonts w:cstheme="minorHAnsi"/>
        </w:rPr>
        <w:t>What does this tell us about the way the coins were valued?</w:t>
      </w:r>
      <w:r w:rsidR="00DC4C12" w:rsidRPr="00CF0992">
        <w:rPr>
          <w:rFonts w:cstheme="minorHAnsi"/>
        </w:rPr>
        <w:t xml:space="preserve"> </w:t>
      </w:r>
      <w:r w:rsidR="00423321" w:rsidRPr="00CF0992">
        <w:rPr>
          <w:rFonts w:cstheme="minorHAnsi"/>
        </w:rPr>
        <w:t xml:space="preserve">The uses we see here provide a contrast to the much more well-documented value for copper alloy coins as a source of material for metal recycling in this period (see above). </w:t>
      </w:r>
      <w:r w:rsidR="004272F8" w:rsidRPr="00CF0992">
        <w:rPr>
          <w:rFonts w:cstheme="minorHAnsi"/>
        </w:rPr>
        <w:t xml:space="preserve">The motifs on the coins, rather than their material, </w:t>
      </w:r>
      <w:r w:rsidR="00E57D3C">
        <w:rPr>
          <w:rFonts w:cstheme="minorHAnsi"/>
        </w:rPr>
        <w:t>are</w:t>
      </w:r>
      <w:r w:rsidR="004272F8" w:rsidRPr="00CF0992">
        <w:rPr>
          <w:rFonts w:cstheme="minorHAnsi"/>
        </w:rPr>
        <w:t xml:space="preserve"> what is important. </w:t>
      </w:r>
      <w:r w:rsidR="00DC4C12" w:rsidRPr="00CF0992">
        <w:rPr>
          <w:rFonts w:cstheme="minorHAnsi"/>
        </w:rPr>
        <w:t>The images</w:t>
      </w:r>
      <w:r w:rsidR="004272F8" w:rsidRPr="00CF0992">
        <w:rPr>
          <w:rFonts w:cstheme="minorHAnsi"/>
        </w:rPr>
        <w:t xml:space="preserve"> taken from the coins, however,</w:t>
      </w:r>
      <w:r w:rsidR="00DC4C12" w:rsidRPr="00CF0992">
        <w:rPr>
          <w:rFonts w:cstheme="minorHAnsi"/>
        </w:rPr>
        <w:t xml:space="preserve"> have been significantly transformed,</w:t>
      </w:r>
      <w:r w:rsidR="00CE6C47" w:rsidRPr="00CF0992">
        <w:rPr>
          <w:rFonts w:cstheme="minorHAnsi"/>
        </w:rPr>
        <w:t xml:space="preserve"> as well as used on a wholly different object type</w:t>
      </w:r>
      <w:r w:rsidR="00B94BCD">
        <w:rPr>
          <w:rFonts w:cstheme="minorHAnsi"/>
        </w:rPr>
        <w:t>:</w:t>
      </w:r>
      <w:r w:rsidR="004272F8" w:rsidRPr="00CF0992">
        <w:rPr>
          <w:rFonts w:cstheme="minorHAnsi"/>
        </w:rPr>
        <w:t xml:space="preserve"> the finger-ring</w:t>
      </w:r>
      <w:r w:rsidR="00273A1F">
        <w:rPr>
          <w:rFonts w:cstheme="minorHAnsi"/>
        </w:rPr>
        <w:t>.</w:t>
      </w:r>
      <w:r w:rsidR="00A31051">
        <w:rPr>
          <w:rFonts w:cstheme="minorHAnsi"/>
        </w:rPr>
        <w:t xml:space="preserve"> </w:t>
      </w:r>
      <w:r w:rsidR="004272F8" w:rsidRPr="00CF0992">
        <w:rPr>
          <w:rFonts w:cstheme="minorHAnsi"/>
        </w:rPr>
        <w:t>T</w:t>
      </w:r>
      <w:r w:rsidR="00CE6C47" w:rsidRPr="00CF0992">
        <w:rPr>
          <w:rFonts w:cstheme="minorHAnsi"/>
        </w:rPr>
        <w:t>he original meanings of the images</w:t>
      </w:r>
      <w:r w:rsidR="00A8382B" w:rsidRPr="00CF0992">
        <w:rPr>
          <w:rFonts w:cstheme="minorHAnsi"/>
        </w:rPr>
        <w:t xml:space="preserve"> as </w:t>
      </w:r>
      <w:r w:rsidR="00CE6C47" w:rsidRPr="00CF0992">
        <w:rPr>
          <w:rFonts w:cstheme="minorHAnsi"/>
        </w:rPr>
        <w:t xml:space="preserve">Roman military and </w:t>
      </w:r>
      <w:r w:rsidR="00A8382B" w:rsidRPr="00CF0992">
        <w:rPr>
          <w:rFonts w:cstheme="minorHAnsi"/>
        </w:rPr>
        <w:t>Imperial symbols</w:t>
      </w:r>
      <w:r w:rsidR="00403DF8" w:rsidRPr="00CF0992">
        <w:rPr>
          <w:rFonts w:cstheme="minorHAnsi"/>
        </w:rPr>
        <w:t xml:space="preserve"> are not valued, nor even perhaps understood. </w:t>
      </w:r>
      <w:r w:rsidR="004272F8" w:rsidRPr="00CF0992">
        <w:rPr>
          <w:rFonts w:cstheme="minorHAnsi"/>
        </w:rPr>
        <w:t>T</w:t>
      </w:r>
      <w:r w:rsidR="00403DF8" w:rsidRPr="00CF0992">
        <w:rPr>
          <w:rFonts w:cstheme="minorHAnsi"/>
        </w:rPr>
        <w:t>he coins are a repository of imagery</w:t>
      </w:r>
      <w:r w:rsidR="0016367D" w:rsidRPr="00CF0992">
        <w:rPr>
          <w:rFonts w:cstheme="minorHAnsi"/>
        </w:rPr>
        <w:t>,</w:t>
      </w:r>
      <w:r w:rsidR="00403DF8" w:rsidRPr="00CF0992">
        <w:rPr>
          <w:rFonts w:cstheme="minorHAnsi"/>
        </w:rPr>
        <w:t xml:space="preserve"> </w:t>
      </w:r>
      <w:r w:rsidR="0016367D" w:rsidRPr="00CF0992">
        <w:rPr>
          <w:rFonts w:cstheme="minorHAnsi"/>
        </w:rPr>
        <w:t xml:space="preserve">and their </w:t>
      </w:r>
      <w:r w:rsidR="00403DF8" w:rsidRPr="00CF0992">
        <w:rPr>
          <w:rFonts w:cstheme="minorHAnsi"/>
        </w:rPr>
        <w:t xml:space="preserve">value relates to their existence as objects </w:t>
      </w:r>
      <w:r w:rsidR="003E2333" w:rsidRPr="00CF0992">
        <w:rPr>
          <w:rFonts w:cstheme="minorHAnsi"/>
        </w:rPr>
        <w:t>made fifty or a hundred years previously</w:t>
      </w:r>
      <w:r w:rsidR="00403DF8" w:rsidRPr="00CF0992">
        <w:rPr>
          <w:rFonts w:cstheme="minorHAnsi"/>
        </w:rPr>
        <w:t>.</w:t>
      </w:r>
    </w:p>
    <w:p w14:paraId="400F90BF" w14:textId="16B17723" w:rsidR="00A47313" w:rsidRPr="0003750B" w:rsidRDefault="00A47313" w:rsidP="003D7517">
      <w:pPr>
        <w:rPr>
          <w:rFonts w:cstheme="minorHAnsi"/>
          <w:b/>
          <w:bCs/>
        </w:rPr>
      </w:pPr>
      <w:r w:rsidRPr="0003750B">
        <w:rPr>
          <w:rFonts w:cstheme="minorHAnsi"/>
          <w:b/>
          <w:bCs/>
        </w:rPr>
        <w:t>C</w:t>
      </w:r>
      <w:r w:rsidR="0003750B" w:rsidRPr="0003750B">
        <w:rPr>
          <w:rFonts w:cstheme="minorHAnsi"/>
          <w:b/>
          <w:bCs/>
        </w:rPr>
        <w:t>onclusion</w:t>
      </w:r>
    </w:p>
    <w:p w14:paraId="49B26DCE" w14:textId="33E6E85D" w:rsidR="00A47313" w:rsidRPr="00CF0992" w:rsidRDefault="00D26A7E" w:rsidP="003D7517">
      <w:pPr>
        <w:rPr>
          <w:rFonts w:cstheme="minorHAnsi"/>
        </w:rPr>
      </w:pPr>
      <w:r w:rsidRPr="00CF0992">
        <w:rPr>
          <w:rFonts w:cstheme="minorHAnsi"/>
        </w:rPr>
        <w:t xml:space="preserve">It is clear from the above examples that the uses and values of copper alloy objects underwent significant change in the late to post-Roman transition period in Britain. Some objects became redundant in cultural terms and were valued mainly as materials, </w:t>
      </w:r>
      <w:r w:rsidR="00B94BCD">
        <w:rPr>
          <w:rFonts w:cstheme="minorHAnsi"/>
        </w:rPr>
        <w:t xml:space="preserve">while </w:t>
      </w:r>
      <w:r w:rsidRPr="00CF0992">
        <w:rPr>
          <w:rFonts w:cstheme="minorHAnsi"/>
        </w:rPr>
        <w:t>others that were still important in fifth century culture were remodelled to bring them up to date and thus maintain their value, and some may have accrued ‘added value’ through their status as heirlooms</w:t>
      </w:r>
      <w:r w:rsidR="00AB4D51" w:rsidRPr="00CF0992">
        <w:rPr>
          <w:rFonts w:cstheme="minorHAnsi"/>
        </w:rPr>
        <w:t>, amulets</w:t>
      </w:r>
      <w:r w:rsidR="00B94BCD">
        <w:rPr>
          <w:rFonts w:cstheme="minorHAnsi"/>
        </w:rPr>
        <w:t>,</w:t>
      </w:r>
      <w:r w:rsidRPr="00CF0992">
        <w:rPr>
          <w:rFonts w:cstheme="minorHAnsi"/>
        </w:rPr>
        <w:t xml:space="preserve"> or personal mementoes. </w:t>
      </w:r>
      <w:r w:rsidR="008952B4" w:rsidRPr="00CF0992">
        <w:rPr>
          <w:rFonts w:cstheme="minorHAnsi"/>
        </w:rPr>
        <w:t xml:space="preserve">Objects could also be valued differently according to the specific alloy that was used. </w:t>
      </w:r>
      <w:r w:rsidRPr="00CF0992">
        <w:rPr>
          <w:rFonts w:cstheme="minorHAnsi"/>
        </w:rPr>
        <w:t xml:space="preserve">Value is always context-dependent and constantly changing, and this is reflected in the diverse life histories of objects </w:t>
      </w:r>
      <w:r w:rsidR="004A3CED" w:rsidRPr="00CF0992">
        <w:rPr>
          <w:rFonts w:cstheme="minorHAnsi"/>
        </w:rPr>
        <w:t xml:space="preserve">within </w:t>
      </w:r>
      <w:proofErr w:type="gramStart"/>
      <w:r w:rsidR="004A3CED" w:rsidRPr="00CF0992">
        <w:rPr>
          <w:rFonts w:cstheme="minorHAnsi"/>
        </w:rPr>
        <w:t>particular categories</w:t>
      </w:r>
      <w:proofErr w:type="gramEnd"/>
      <w:r w:rsidR="004A3CED" w:rsidRPr="00CF0992">
        <w:rPr>
          <w:rFonts w:cstheme="minorHAnsi"/>
        </w:rPr>
        <w:t xml:space="preserve">, </w:t>
      </w:r>
      <w:r w:rsidRPr="00CF0992">
        <w:rPr>
          <w:rFonts w:cstheme="minorHAnsi"/>
        </w:rPr>
        <w:t>such as copper alloy coins. The</w:t>
      </w:r>
      <w:r w:rsidR="004A3CED" w:rsidRPr="00CF0992">
        <w:rPr>
          <w:rFonts w:cstheme="minorHAnsi"/>
        </w:rPr>
        <w:t>se</w:t>
      </w:r>
      <w:r w:rsidRPr="00CF0992">
        <w:rPr>
          <w:rFonts w:cstheme="minorHAnsi"/>
        </w:rPr>
        <w:t xml:space="preserve"> could be melted down to make new objects, pierced to make</w:t>
      </w:r>
      <w:r w:rsidR="006D52E3" w:rsidRPr="00CF0992">
        <w:rPr>
          <w:rFonts w:cstheme="minorHAnsi"/>
        </w:rPr>
        <w:t xml:space="preserve"> votive gifts or</w:t>
      </w:r>
      <w:r w:rsidRPr="00CF0992">
        <w:rPr>
          <w:rFonts w:cstheme="minorHAnsi"/>
        </w:rPr>
        <w:t xml:space="preserve"> amulets and curated over long periods, </w:t>
      </w:r>
      <w:r w:rsidR="004A3CED" w:rsidRPr="00CF0992">
        <w:rPr>
          <w:rFonts w:cstheme="minorHAnsi"/>
        </w:rPr>
        <w:t xml:space="preserve">or serve as the inspiration for motifs on newly made objects that had </w:t>
      </w:r>
      <w:r w:rsidR="00687F8E" w:rsidRPr="00CF0992">
        <w:rPr>
          <w:rFonts w:cstheme="minorHAnsi"/>
        </w:rPr>
        <w:t xml:space="preserve">much higher </w:t>
      </w:r>
      <w:r w:rsidR="004A3CED" w:rsidRPr="00CF0992">
        <w:rPr>
          <w:rFonts w:cstheme="minorHAnsi"/>
        </w:rPr>
        <w:t xml:space="preserve">status connotations compared to the coins themselves. </w:t>
      </w:r>
      <w:r w:rsidRPr="00CF0992">
        <w:rPr>
          <w:rFonts w:cstheme="minorHAnsi"/>
        </w:rPr>
        <w:t xml:space="preserve">It is by studying this kind of detail that can we begin to </w:t>
      </w:r>
      <w:r w:rsidR="004A3CED" w:rsidRPr="00CF0992">
        <w:rPr>
          <w:rFonts w:cstheme="minorHAnsi"/>
        </w:rPr>
        <w:t xml:space="preserve">better </w:t>
      </w:r>
      <w:r w:rsidRPr="00CF0992">
        <w:rPr>
          <w:rFonts w:cstheme="minorHAnsi"/>
        </w:rPr>
        <w:t xml:space="preserve">understand </w:t>
      </w:r>
      <w:r w:rsidR="0067203C" w:rsidRPr="00CF0992">
        <w:rPr>
          <w:rFonts w:cstheme="minorHAnsi"/>
        </w:rPr>
        <w:t xml:space="preserve">the material conditions and cultural transformations that led to </w:t>
      </w:r>
      <w:r w:rsidR="004A3CED" w:rsidRPr="00CF0992">
        <w:rPr>
          <w:rFonts w:cstheme="minorHAnsi"/>
        </w:rPr>
        <w:t>wider social change</w:t>
      </w:r>
      <w:r w:rsidR="0067203C" w:rsidRPr="00CF0992">
        <w:rPr>
          <w:rFonts w:cstheme="minorHAnsi"/>
        </w:rPr>
        <w:t xml:space="preserve"> </w:t>
      </w:r>
      <w:r w:rsidR="004A3CED" w:rsidRPr="00CF0992">
        <w:rPr>
          <w:rFonts w:cstheme="minorHAnsi"/>
        </w:rPr>
        <w:t xml:space="preserve">in the </w:t>
      </w:r>
      <w:r w:rsidR="0067203C" w:rsidRPr="00CF0992">
        <w:rPr>
          <w:rFonts w:cstheme="minorHAnsi"/>
        </w:rPr>
        <w:t>late to post-Roman transition period in Britain.</w:t>
      </w:r>
    </w:p>
    <w:p w14:paraId="44614C1B" w14:textId="1C6956D3" w:rsidR="00687F8E" w:rsidRPr="00CF0992" w:rsidRDefault="00687F8E" w:rsidP="00BC2CAC">
      <w:pPr>
        <w:rPr>
          <w:rFonts w:eastAsia="Brill-Roman" w:cstheme="minorHAnsi"/>
        </w:rPr>
      </w:pPr>
      <w:r w:rsidRPr="00CF0992">
        <w:rPr>
          <w:rFonts w:eastAsia="Brill-Roman" w:cstheme="minorHAnsi"/>
        </w:rPr>
        <w:t>References</w:t>
      </w:r>
    </w:p>
    <w:p w14:paraId="49731937"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Ager, B. M. 1985. ‘The Smaller Variants of the Anglo-Saxon Quoit Brooch’. </w:t>
      </w:r>
      <w:r w:rsidRPr="001E5A73">
        <w:rPr>
          <w:rFonts w:ascii="Calibri" w:eastAsia="Times New Roman" w:hAnsi="Calibri" w:cs="Calibri"/>
          <w:i/>
          <w:iCs/>
          <w:lang w:eastAsia="en-GB"/>
        </w:rPr>
        <w:t>Anglo-Saxon Studies in Archaeology and History</w:t>
      </w:r>
      <w:r w:rsidRPr="001E5A73">
        <w:rPr>
          <w:rFonts w:ascii="Calibri" w:eastAsia="Times New Roman" w:hAnsi="Calibri" w:cs="Calibri"/>
          <w:lang w:eastAsia="en-GB"/>
        </w:rPr>
        <w:t xml:space="preserve"> 4: 1–58.</w:t>
      </w:r>
    </w:p>
    <w:p w14:paraId="5F9B3788"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Baker, J. M. 2013. ‘Colour Composition from Early Anglo-Saxon Copper Alloy Jewellery’. Durham </w:t>
      </w:r>
      <w:proofErr w:type="spellStart"/>
      <w:r w:rsidRPr="001E5A73">
        <w:rPr>
          <w:rFonts w:ascii="Calibri" w:eastAsia="Times New Roman" w:hAnsi="Calibri" w:cs="Calibri"/>
          <w:lang w:eastAsia="en-GB"/>
        </w:rPr>
        <w:t>Etheses</w:t>
      </w:r>
      <w:proofErr w:type="spellEnd"/>
      <w:r w:rsidRPr="001E5A73">
        <w:rPr>
          <w:rFonts w:ascii="Calibri" w:eastAsia="Times New Roman" w:hAnsi="Calibri" w:cs="Calibri"/>
          <w:lang w:eastAsia="en-GB"/>
        </w:rPr>
        <w:t xml:space="preserve"> Online http://etheses.dur.ac.uk/10550/: University of Durham.</w:t>
      </w:r>
    </w:p>
    <w:p w14:paraId="60AE5377" w14:textId="77777777" w:rsidR="001E5A73" w:rsidRPr="001E5A73" w:rsidRDefault="001E5A73" w:rsidP="002B1EA9">
      <w:pPr>
        <w:spacing w:after="0" w:line="240" w:lineRule="auto"/>
        <w:ind w:left="480" w:hanging="480"/>
        <w:rPr>
          <w:rFonts w:ascii="Calibri" w:eastAsia="Times New Roman" w:hAnsi="Calibri" w:cs="Calibri"/>
          <w:lang w:eastAsia="en-GB"/>
        </w:rPr>
      </w:pPr>
      <w:proofErr w:type="spellStart"/>
      <w:r w:rsidRPr="001E5A73">
        <w:rPr>
          <w:rFonts w:ascii="Calibri" w:eastAsia="Times New Roman" w:hAnsi="Calibri" w:cs="Calibri"/>
          <w:lang w:eastAsia="en-GB"/>
        </w:rPr>
        <w:t>Baloglou</w:t>
      </w:r>
      <w:proofErr w:type="spellEnd"/>
      <w:r w:rsidRPr="001E5A73">
        <w:rPr>
          <w:rFonts w:ascii="Calibri" w:eastAsia="Times New Roman" w:hAnsi="Calibri" w:cs="Calibri"/>
          <w:lang w:eastAsia="en-GB"/>
        </w:rPr>
        <w:t xml:space="preserve">, C. P. 2012. ‘The Tradition of Economic Thought in the Mediterranean World from the Ancient Classical Times Through the Hellenistic Times Until the Byzantine Times and Arab-Islamic World’. In </w:t>
      </w:r>
      <w:r w:rsidRPr="001E5A73">
        <w:rPr>
          <w:rFonts w:ascii="Calibri" w:eastAsia="Times New Roman" w:hAnsi="Calibri" w:cs="Calibri"/>
          <w:i/>
          <w:iCs/>
          <w:lang w:eastAsia="en-GB"/>
        </w:rPr>
        <w:t>Handbook of the History of Economic Thought: Insights on the Founders of Modern Economics</w:t>
      </w:r>
      <w:r w:rsidRPr="001E5A73">
        <w:rPr>
          <w:rFonts w:ascii="Calibri" w:eastAsia="Times New Roman" w:hAnsi="Calibri" w:cs="Calibri"/>
          <w:lang w:eastAsia="en-GB"/>
        </w:rPr>
        <w:t>, edited by J. G. Backhaus, 7–91. New York: Springer.</w:t>
      </w:r>
    </w:p>
    <w:p w14:paraId="1AC4EE20"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Bland, R., A. Chadwick, E. </w:t>
      </w:r>
      <w:proofErr w:type="spellStart"/>
      <w:r w:rsidRPr="001E5A73">
        <w:rPr>
          <w:rFonts w:ascii="Calibri" w:eastAsia="Times New Roman" w:hAnsi="Calibri" w:cs="Calibri"/>
          <w:lang w:eastAsia="en-GB"/>
        </w:rPr>
        <w:t>Ghey</w:t>
      </w:r>
      <w:proofErr w:type="spellEnd"/>
      <w:r w:rsidRPr="001E5A73">
        <w:rPr>
          <w:rFonts w:ascii="Calibri" w:eastAsia="Times New Roman" w:hAnsi="Calibri" w:cs="Calibri"/>
          <w:lang w:eastAsia="en-GB"/>
        </w:rPr>
        <w:t xml:space="preserve">, C. Haselgrove, and D. J. Mattingly. 2020. </w:t>
      </w:r>
      <w:r w:rsidRPr="001E5A73">
        <w:rPr>
          <w:rFonts w:ascii="Calibri" w:eastAsia="Times New Roman" w:hAnsi="Calibri" w:cs="Calibri"/>
          <w:i/>
          <w:iCs/>
          <w:lang w:eastAsia="en-GB"/>
        </w:rPr>
        <w:t>Iron Age and Roman Coin Hoards in Britain</w:t>
      </w:r>
      <w:r w:rsidRPr="001E5A73">
        <w:rPr>
          <w:rFonts w:ascii="Calibri" w:eastAsia="Times New Roman" w:hAnsi="Calibri" w:cs="Calibri"/>
          <w:lang w:eastAsia="en-GB"/>
        </w:rPr>
        <w:t>. Oxford: Oxbow.</w:t>
      </w:r>
    </w:p>
    <w:p w14:paraId="0FEFF8B3" w14:textId="77777777"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Böhme, H. 1986. ‘Das Ende Der </w:t>
      </w:r>
      <w:proofErr w:type="spellStart"/>
      <w:r w:rsidRPr="001E5A73">
        <w:rPr>
          <w:rFonts w:ascii="Calibri" w:eastAsia="Times New Roman" w:hAnsi="Calibri" w:cs="Calibri"/>
          <w:lang w:eastAsia="en-GB"/>
        </w:rPr>
        <w:t>Römerherrschaft</w:t>
      </w:r>
      <w:proofErr w:type="spellEnd"/>
      <w:r w:rsidRPr="001E5A73">
        <w:rPr>
          <w:rFonts w:ascii="Calibri" w:eastAsia="Times New Roman" w:hAnsi="Calibri" w:cs="Calibri"/>
          <w:lang w:eastAsia="en-GB"/>
        </w:rPr>
        <w:t xml:space="preserve"> in </w:t>
      </w:r>
      <w:proofErr w:type="spellStart"/>
      <w:r w:rsidRPr="001E5A73">
        <w:rPr>
          <w:rFonts w:ascii="Calibri" w:eastAsia="Times New Roman" w:hAnsi="Calibri" w:cs="Calibri"/>
          <w:lang w:eastAsia="en-GB"/>
        </w:rPr>
        <w:t>Britannien</w:t>
      </w:r>
      <w:proofErr w:type="spellEnd"/>
      <w:r w:rsidRPr="001E5A73">
        <w:rPr>
          <w:rFonts w:ascii="Calibri" w:eastAsia="Times New Roman" w:hAnsi="Calibri" w:cs="Calibri"/>
          <w:lang w:eastAsia="en-GB"/>
        </w:rPr>
        <w:t xml:space="preserve"> Und Die </w:t>
      </w:r>
      <w:proofErr w:type="spellStart"/>
      <w:r w:rsidRPr="001E5A73">
        <w:rPr>
          <w:rFonts w:ascii="Calibri" w:eastAsia="Times New Roman" w:hAnsi="Calibri" w:cs="Calibri"/>
          <w:lang w:eastAsia="en-GB"/>
        </w:rPr>
        <w:t>Angelsächsische</w:t>
      </w:r>
      <w:proofErr w:type="spellEnd"/>
      <w:r w:rsidRPr="001E5A73">
        <w:rPr>
          <w:rFonts w:ascii="Calibri" w:eastAsia="Times New Roman" w:hAnsi="Calibri" w:cs="Calibri"/>
          <w:lang w:eastAsia="en-GB"/>
        </w:rPr>
        <w:t xml:space="preserve"> </w:t>
      </w:r>
      <w:proofErr w:type="spellStart"/>
      <w:r w:rsidRPr="001E5A73">
        <w:rPr>
          <w:rFonts w:ascii="Calibri" w:eastAsia="Times New Roman" w:hAnsi="Calibri" w:cs="Calibri"/>
          <w:lang w:eastAsia="en-GB"/>
        </w:rPr>
        <w:t>Besiedlung</w:t>
      </w:r>
      <w:proofErr w:type="spellEnd"/>
      <w:r w:rsidRPr="001E5A73">
        <w:rPr>
          <w:rFonts w:ascii="Calibri" w:eastAsia="Times New Roman" w:hAnsi="Calibri" w:cs="Calibri"/>
          <w:lang w:eastAsia="en-GB"/>
        </w:rPr>
        <w:t xml:space="preserve"> </w:t>
      </w:r>
      <w:proofErr w:type="spellStart"/>
      <w:r w:rsidRPr="001E5A73">
        <w:rPr>
          <w:rFonts w:ascii="Calibri" w:eastAsia="Times New Roman" w:hAnsi="Calibri" w:cs="Calibri"/>
          <w:lang w:eastAsia="en-GB"/>
        </w:rPr>
        <w:t>Englands</w:t>
      </w:r>
      <w:proofErr w:type="spellEnd"/>
      <w:r w:rsidRPr="001E5A73">
        <w:rPr>
          <w:rFonts w:ascii="Calibri" w:eastAsia="Times New Roman" w:hAnsi="Calibri" w:cs="Calibri"/>
          <w:lang w:eastAsia="en-GB"/>
        </w:rPr>
        <w:t xml:space="preserve"> </w:t>
      </w:r>
      <w:proofErr w:type="spellStart"/>
      <w:r w:rsidRPr="001E5A73">
        <w:rPr>
          <w:rFonts w:ascii="Calibri" w:eastAsia="Times New Roman" w:hAnsi="Calibri" w:cs="Calibri"/>
          <w:lang w:eastAsia="en-GB"/>
        </w:rPr>
        <w:t>Im</w:t>
      </w:r>
      <w:proofErr w:type="spellEnd"/>
      <w:r w:rsidRPr="001E5A73">
        <w:rPr>
          <w:rFonts w:ascii="Calibri" w:eastAsia="Times New Roman" w:hAnsi="Calibri" w:cs="Calibri"/>
          <w:lang w:eastAsia="en-GB"/>
        </w:rPr>
        <w:t xml:space="preserve"> 5 </w:t>
      </w:r>
      <w:proofErr w:type="spellStart"/>
      <w:r w:rsidRPr="001E5A73">
        <w:rPr>
          <w:rFonts w:ascii="Calibri" w:eastAsia="Times New Roman" w:hAnsi="Calibri" w:cs="Calibri"/>
          <w:lang w:eastAsia="en-GB"/>
        </w:rPr>
        <w:t>Jahrhundert</w:t>
      </w:r>
      <w:proofErr w:type="spellEnd"/>
      <w:r w:rsidRPr="001E5A73">
        <w:rPr>
          <w:rFonts w:ascii="Calibri" w:eastAsia="Times New Roman" w:hAnsi="Calibri" w:cs="Calibri"/>
          <w:lang w:eastAsia="en-GB"/>
        </w:rPr>
        <w:t xml:space="preserve">’. </w:t>
      </w:r>
      <w:proofErr w:type="spellStart"/>
      <w:r w:rsidRPr="001E5A73">
        <w:rPr>
          <w:rFonts w:ascii="Calibri" w:eastAsia="Times New Roman" w:hAnsi="Calibri" w:cs="Calibri"/>
          <w:i/>
          <w:iCs/>
          <w:lang w:eastAsia="en-GB"/>
        </w:rPr>
        <w:t>Jahrbuch</w:t>
      </w:r>
      <w:proofErr w:type="spellEnd"/>
      <w:r w:rsidRPr="001E5A73">
        <w:rPr>
          <w:rFonts w:ascii="Calibri" w:eastAsia="Times New Roman" w:hAnsi="Calibri" w:cs="Calibri"/>
          <w:i/>
          <w:iCs/>
          <w:lang w:eastAsia="en-GB"/>
        </w:rPr>
        <w:t xml:space="preserve"> Des </w:t>
      </w:r>
      <w:proofErr w:type="spellStart"/>
      <w:r w:rsidRPr="001E5A73">
        <w:rPr>
          <w:rFonts w:ascii="Calibri" w:eastAsia="Times New Roman" w:hAnsi="Calibri" w:cs="Calibri"/>
          <w:i/>
          <w:iCs/>
          <w:lang w:eastAsia="en-GB"/>
        </w:rPr>
        <w:t>Römisch-Germanischen</w:t>
      </w:r>
      <w:proofErr w:type="spellEnd"/>
      <w:r w:rsidRPr="001E5A73">
        <w:rPr>
          <w:rFonts w:ascii="Calibri" w:eastAsia="Times New Roman" w:hAnsi="Calibri" w:cs="Calibri"/>
          <w:i/>
          <w:iCs/>
          <w:lang w:eastAsia="en-GB"/>
        </w:rPr>
        <w:t xml:space="preserve"> </w:t>
      </w:r>
      <w:proofErr w:type="spellStart"/>
      <w:r w:rsidRPr="001E5A73">
        <w:rPr>
          <w:rFonts w:ascii="Calibri" w:eastAsia="Times New Roman" w:hAnsi="Calibri" w:cs="Calibri"/>
          <w:i/>
          <w:iCs/>
          <w:lang w:eastAsia="en-GB"/>
        </w:rPr>
        <w:t>Zentralmuseums</w:t>
      </w:r>
      <w:proofErr w:type="spellEnd"/>
      <w:r w:rsidRPr="001E5A73">
        <w:rPr>
          <w:rFonts w:ascii="Calibri" w:eastAsia="Times New Roman" w:hAnsi="Calibri" w:cs="Calibri"/>
          <w:i/>
          <w:iCs/>
          <w:lang w:eastAsia="en-GB"/>
        </w:rPr>
        <w:t xml:space="preserve"> Mainz</w:t>
      </w:r>
      <w:r w:rsidRPr="001E5A73">
        <w:rPr>
          <w:rFonts w:ascii="Calibri" w:eastAsia="Times New Roman" w:hAnsi="Calibri" w:cs="Calibri"/>
          <w:lang w:eastAsia="en-GB"/>
        </w:rPr>
        <w:t xml:space="preserve"> 33: 469–574.</w:t>
      </w:r>
    </w:p>
    <w:p w14:paraId="14C2068B" w14:textId="336F8040" w:rsidR="00721138" w:rsidRPr="000F191C" w:rsidRDefault="00721138" w:rsidP="002B1EA9">
      <w:pPr>
        <w:spacing w:after="0" w:line="240" w:lineRule="auto"/>
        <w:ind w:left="480" w:hanging="480"/>
        <w:rPr>
          <w:rFonts w:ascii="Calibri" w:eastAsia="Times New Roman" w:hAnsi="Calibri" w:cs="Calibri"/>
          <w:lang w:eastAsia="en-GB"/>
        </w:rPr>
      </w:pPr>
      <w:r w:rsidRPr="000F191C">
        <w:rPr>
          <w:rFonts w:ascii="Calibri" w:eastAsia="Times New Roman" w:hAnsi="Calibri" w:cs="Calibri"/>
          <w:lang w:eastAsia="en-GB"/>
        </w:rPr>
        <w:lastRenderedPageBreak/>
        <w:t>B</w:t>
      </w:r>
      <w:r w:rsidR="000F191C" w:rsidRPr="000F191C">
        <w:rPr>
          <w:rFonts w:ascii="Calibri" w:eastAsia="Times New Roman" w:hAnsi="Calibri" w:cs="Calibri"/>
          <w:lang w:eastAsia="en-GB"/>
        </w:rPr>
        <w:t>ruhn, J.</w:t>
      </w:r>
      <w:r w:rsidRPr="000F191C">
        <w:rPr>
          <w:rFonts w:ascii="Calibri" w:eastAsia="Times New Roman" w:hAnsi="Calibri" w:cs="Calibri"/>
          <w:lang w:eastAsia="en-GB"/>
        </w:rPr>
        <w:t xml:space="preserve"> 1993</w:t>
      </w:r>
      <w:r w:rsidR="000F191C">
        <w:rPr>
          <w:rFonts w:ascii="Calibri" w:eastAsia="Times New Roman" w:hAnsi="Calibri" w:cs="Calibri"/>
          <w:lang w:eastAsia="en-GB"/>
        </w:rPr>
        <w:t xml:space="preserve">. </w:t>
      </w:r>
      <w:r w:rsidR="000F191C">
        <w:rPr>
          <w:rFonts w:ascii="Calibri" w:eastAsia="Times New Roman" w:hAnsi="Calibri" w:cs="Calibri"/>
          <w:i/>
          <w:iCs/>
          <w:lang w:eastAsia="en-GB"/>
        </w:rPr>
        <w:t>Coins and Costume in Late Antiquity.</w:t>
      </w:r>
      <w:r w:rsidR="002E1B86">
        <w:rPr>
          <w:rFonts w:ascii="Calibri" w:eastAsia="Times New Roman" w:hAnsi="Calibri" w:cs="Calibri"/>
          <w:lang w:eastAsia="en-GB"/>
        </w:rPr>
        <w:t xml:space="preserve"> Dumbarton Oaks Byzantine Collection Publication no. 9. Washington DC: Dumbarton Oaks.</w:t>
      </w:r>
    </w:p>
    <w:p w14:paraId="0424B1EA" w14:textId="5D74E60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Burnett, E. L. 2005. ‘An Investigation of Pierced Roman Coins from Britain, Concentrating on Copper Alloy and Silver Examples from the Roman Period’. University College London.</w:t>
      </w:r>
      <w:r w:rsidR="0083686B">
        <w:rPr>
          <w:rFonts w:ascii="Calibri" w:eastAsia="Times New Roman" w:hAnsi="Calibri" w:cs="Calibri"/>
          <w:lang w:eastAsia="en-GB"/>
        </w:rPr>
        <w:t xml:space="preserve"> M.A. dissertation.</w:t>
      </w:r>
    </w:p>
    <w:p w14:paraId="0ECA0B0B"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Caple, C. 2010. ‘Ancestor Artefacts- Ancestor Materials’. </w:t>
      </w:r>
      <w:r w:rsidRPr="001E5A73">
        <w:rPr>
          <w:rFonts w:ascii="Calibri" w:eastAsia="Times New Roman" w:hAnsi="Calibri" w:cs="Calibri"/>
          <w:i/>
          <w:iCs/>
          <w:lang w:eastAsia="en-GB"/>
        </w:rPr>
        <w:t>Oxford Journal of Archaeology</w:t>
      </w:r>
      <w:r w:rsidRPr="001E5A73">
        <w:rPr>
          <w:rFonts w:ascii="Calibri" w:eastAsia="Times New Roman" w:hAnsi="Calibri" w:cs="Calibri"/>
          <w:lang w:eastAsia="en-GB"/>
        </w:rPr>
        <w:t xml:space="preserve"> 29 (3): 305–18.</w:t>
      </w:r>
    </w:p>
    <w:p w14:paraId="78165ED6" w14:textId="77777777"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Chapman, J. 2000. </w:t>
      </w:r>
      <w:r w:rsidRPr="001E5A73">
        <w:rPr>
          <w:rFonts w:ascii="Calibri" w:eastAsia="Times New Roman" w:hAnsi="Calibri" w:cs="Calibri"/>
          <w:i/>
          <w:iCs/>
          <w:lang w:eastAsia="en-GB"/>
        </w:rPr>
        <w:t>Fragmentation in Archaeology</w:t>
      </w:r>
      <w:r w:rsidRPr="001E5A73">
        <w:rPr>
          <w:rFonts w:ascii="Calibri" w:eastAsia="Times New Roman" w:hAnsi="Calibri" w:cs="Calibri"/>
          <w:lang w:eastAsia="en-GB"/>
        </w:rPr>
        <w:t>. London: Routledge.</w:t>
      </w:r>
    </w:p>
    <w:p w14:paraId="49F9D867" w14:textId="31AEAB70" w:rsidR="005D1DA6" w:rsidRPr="001E5A73" w:rsidRDefault="005D1DA6"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Collins, R. 2010. ‘Brooch use in the 4</w:t>
      </w:r>
      <w:r w:rsidRPr="005D1DA6">
        <w:rPr>
          <w:rFonts w:ascii="Calibri" w:eastAsia="Times New Roman" w:hAnsi="Calibri" w:cs="Calibri"/>
          <w:vertAlign w:val="superscript"/>
          <w:lang w:eastAsia="en-GB"/>
        </w:rPr>
        <w:t>th</w:t>
      </w:r>
      <w:r>
        <w:rPr>
          <w:rFonts w:ascii="Calibri" w:eastAsia="Times New Roman" w:hAnsi="Calibri" w:cs="Calibri"/>
          <w:lang w:eastAsia="en-GB"/>
        </w:rPr>
        <w:t xml:space="preserve"> to 5</w:t>
      </w:r>
      <w:r w:rsidRPr="005D1DA6">
        <w:rPr>
          <w:rFonts w:ascii="Calibri" w:eastAsia="Times New Roman" w:hAnsi="Calibri" w:cs="Calibri"/>
          <w:vertAlign w:val="superscript"/>
          <w:lang w:eastAsia="en-GB"/>
        </w:rPr>
        <w:t>th</w:t>
      </w:r>
      <w:r>
        <w:rPr>
          <w:rFonts w:ascii="Calibri" w:eastAsia="Times New Roman" w:hAnsi="Calibri" w:cs="Calibri"/>
          <w:lang w:eastAsia="en-GB"/>
        </w:rPr>
        <w:t xml:space="preserve"> century frontier’. In </w:t>
      </w:r>
      <w:r w:rsidRPr="005D1DA6">
        <w:rPr>
          <w:rFonts w:ascii="Calibri" w:eastAsia="Times New Roman" w:hAnsi="Calibri" w:cs="Calibri"/>
          <w:i/>
          <w:iCs/>
          <w:lang w:eastAsia="en-GB"/>
        </w:rPr>
        <w:t>Finds from the Frontier: Material Culture in the 4</w:t>
      </w:r>
      <w:r w:rsidRPr="005D1DA6">
        <w:rPr>
          <w:rFonts w:ascii="Calibri" w:eastAsia="Times New Roman" w:hAnsi="Calibri" w:cs="Calibri"/>
          <w:i/>
          <w:iCs/>
          <w:vertAlign w:val="superscript"/>
          <w:lang w:eastAsia="en-GB"/>
        </w:rPr>
        <w:t>th</w:t>
      </w:r>
      <w:r w:rsidRPr="005D1DA6">
        <w:rPr>
          <w:rFonts w:ascii="Calibri" w:eastAsia="Times New Roman" w:hAnsi="Calibri" w:cs="Calibri"/>
          <w:i/>
          <w:iCs/>
          <w:lang w:eastAsia="en-GB"/>
        </w:rPr>
        <w:t>-5</w:t>
      </w:r>
      <w:r w:rsidRPr="005D1DA6">
        <w:rPr>
          <w:rFonts w:ascii="Calibri" w:eastAsia="Times New Roman" w:hAnsi="Calibri" w:cs="Calibri"/>
          <w:i/>
          <w:iCs/>
          <w:vertAlign w:val="superscript"/>
          <w:lang w:eastAsia="en-GB"/>
        </w:rPr>
        <w:t>th</w:t>
      </w:r>
      <w:r w:rsidRPr="005D1DA6">
        <w:rPr>
          <w:rFonts w:ascii="Calibri" w:eastAsia="Times New Roman" w:hAnsi="Calibri" w:cs="Calibri"/>
          <w:i/>
          <w:iCs/>
          <w:lang w:eastAsia="en-GB"/>
        </w:rPr>
        <w:t xml:space="preserve"> centuries</w:t>
      </w:r>
      <w:r>
        <w:rPr>
          <w:rFonts w:ascii="Calibri" w:eastAsia="Times New Roman" w:hAnsi="Calibri" w:cs="Calibri"/>
          <w:lang w:eastAsia="en-GB"/>
        </w:rPr>
        <w:t xml:space="preserve">, edited by R. Collins and L. </w:t>
      </w:r>
      <w:proofErr w:type="spellStart"/>
      <w:r>
        <w:rPr>
          <w:rFonts w:ascii="Calibri" w:eastAsia="Times New Roman" w:hAnsi="Calibri" w:cs="Calibri"/>
          <w:lang w:eastAsia="en-GB"/>
        </w:rPr>
        <w:t>Allason</w:t>
      </w:r>
      <w:proofErr w:type="spellEnd"/>
      <w:r>
        <w:rPr>
          <w:rFonts w:ascii="Calibri" w:eastAsia="Times New Roman" w:hAnsi="Calibri" w:cs="Calibri"/>
          <w:lang w:eastAsia="en-GB"/>
        </w:rPr>
        <w:t>-Jones, 64</w:t>
      </w:r>
      <w:r w:rsidRPr="001E5A73">
        <w:rPr>
          <w:rFonts w:ascii="Calibri" w:eastAsia="Times New Roman" w:hAnsi="Calibri" w:cs="Calibri"/>
          <w:lang w:eastAsia="en-GB"/>
        </w:rPr>
        <w:t>–</w:t>
      </w:r>
      <w:r>
        <w:rPr>
          <w:rFonts w:ascii="Calibri" w:eastAsia="Times New Roman" w:hAnsi="Calibri" w:cs="Calibri"/>
          <w:lang w:eastAsia="en-GB"/>
        </w:rPr>
        <w:t>77. CBA Research Report 162. York: Council for British Archaeology.</w:t>
      </w:r>
    </w:p>
    <w:p w14:paraId="0D4140A4" w14:textId="45A068A3"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Cool, H. 2000. ‘The Parts Left Over: Material Culture Into the Fifth Century’. In </w:t>
      </w:r>
      <w:r w:rsidRPr="001E5A73">
        <w:rPr>
          <w:rFonts w:ascii="Calibri" w:eastAsia="Times New Roman" w:hAnsi="Calibri" w:cs="Calibri"/>
          <w:i/>
          <w:iCs/>
          <w:lang w:eastAsia="en-GB"/>
        </w:rPr>
        <w:t>The Late Roman Transition in the North: Papers from the Roman Archaeology Conference, Durham 1999</w:t>
      </w:r>
      <w:r w:rsidRPr="001E5A73">
        <w:rPr>
          <w:rFonts w:ascii="Calibri" w:eastAsia="Times New Roman" w:hAnsi="Calibri" w:cs="Calibri"/>
          <w:lang w:eastAsia="en-GB"/>
        </w:rPr>
        <w:t xml:space="preserve">, edited by T. </w:t>
      </w:r>
      <w:r w:rsidR="0083686B" w:rsidRPr="001E5A73">
        <w:rPr>
          <w:rFonts w:ascii="Calibri" w:eastAsia="Times New Roman" w:hAnsi="Calibri" w:cs="Calibri"/>
          <w:lang w:eastAsia="en-GB"/>
        </w:rPr>
        <w:t xml:space="preserve">Wilmott </w:t>
      </w:r>
      <w:r w:rsidRPr="001E5A73">
        <w:rPr>
          <w:rFonts w:ascii="Calibri" w:eastAsia="Times New Roman" w:hAnsi="Calibri" w:cs="Calibri"/>
          <w:lang w:eastAsia="en-GB"/>
        </w:rPr>
        <w:t xml:space="preserve">and </w:t>
      </w:r>
      <w:r w:rsidR="0083686B">
        <w:rPr>
          <w:rFonts w:ascii="Calibri" w:eastAsia="Times New Roman" w:hAnsi="Calibri" w:cs="Calibri"/>
          <w:lang w:eastAsia="en-GB"/>
        </w:rPr>
        <w:t xml:space="preserve">P. </w:t>
      </w:r>
      <w:r w:rsidRPr="001E5A73">
        <w:rPr>
          <w:rFonts w:ascii="Calibri" w:eastAsia="Times New Roman" w:hAnsi="Calibri" w:cs="Calibri"/>
          <w:lang w:eastAsia="en-GB"/>
        </w:rPr>
        <w:t xml:space="preserve">Wilson, </w:t>
      </w:r>
      <w:r w:rsidR="0083686B" w:rsidRPr="001E5A73">
        <w:rPr>
          <w:rFonts w:ascii="Calibri" w:eastAsia="Times New Roman" w:hAnsi="Calibri" w:cs="Calibri"/>
          <w:lang w:eastAsia="en-GB"/>
        </w:rPr>
        <w:t xml:space="preserve">47–65. </w:t>
      </w:r>
      <w:r w:rsidRPr="001E5A73">
        <w:rPr>
          <w:rFonts w:ascii="Calibri" w:eastAsia="Times New Roman" w:hAnsi="Calibri" w:cs="Calibri"/>
          <w:lang w:eastAsia="en-GB"/>
        </w:rPr>
        <w:t>BAR Brit</w:t>
      </w:r>
      <w:r w:rsidR="0083686B">
        <w:rPr>
          <w:rFonts w:ascii="Calibri" w:eastAsia="Times New Roman" w:hAnsi="Calibri" w:cs="Calibri"/>
          <w:lang w:eastAsia="en-GB"/>
        </w:rPr>
        <w:t>ish</w:t>
      </w:r>
      <w:r w:rsidRPr="001E5A73">
        <w:rPr>
          <w:rFonts w:ascii="Calibri" w:eastAsia="Times New Roman" w:hAnsi="Calibri" w:cs="Calibri"/>
          <w:lang w:eastAsia="en-GB"/>
        </w:rPr>
        <w:t xml:space="preserve"> Series 299</w:t>
      </w:r>
      <w:r w:rsidR="0083686B">
        <w:rPr>
          <w:rFonts w:ascii="Calibri" w:eastAsia="Times New Roman" w:hAnsi="Calibri" w:cs="Calibri"/>
          <w:lang w:eastAsia="en-GB"/>
        </w:rPr>
        <w:t xml:space="preserve">. </w:t>
      </w:r>
      <w:r w:rsidRPr="001E5A73">
        <w:rPr>
          <w:rFonts w:ascii="Calibri" w:eastAsia="Times New Roman" w:hAnsi="Calibri" w:cs="Calibri"/>
          <w:lang w:eastAsia="en-GB"/>
        </w:rPr>
        <w:t xml:space="preserve">Oxford: </w:t>
      </w:r>
      <w:proofErr w:type="spellStart"/>
      <w:r w:rsidRPr="001E5A73">
        <w:rPr>
          <w:rFonts w:ascii="Calibri" w:eastAsia="Times New Roman" w:hAnsi="Calibri" w:cs="Calibri"/>
          <w:lang w:eastAsia="en-GB"/>
        </w:rPr>
        <w:t>Archaeopress</w:t>
      </w:r>
      <w:proofErr w:type="spellEnd"/>
      <w:r w:rsidRPr="001E5A73">
        <w:rPr>
          <w:rFonts w:ascii="Calibri" w:eastAsia="Times New Roman" w:hAnsi="Calibri" w:cs="Calibri"/>
          <w:lang w:eastAsia="en-GB"/>
        </w:rPr>
        <w:t>.</w:t>
      </w:r>
    </w:p>
    <w:p w14:paraId="1B5981A9" w14:textId="7C3875AB"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Cool, H. E. M. 2010. ‘Objects of Glass, Shale, Bone and Metal (Except Nails)’. In </w:t>
      </w:r>
      <w:r w:rsidRPr="001E5A73">
        <w:rPr>
          <w:rFonts w:ascii="Calibri" w:eastAsia="Times New Roman" w:hAnsi="Calibri" w:cs="Calibri"/>
          <w:i/>
          <w:iCs/>
          <w:lang w:eastAsia="en-GB"/>
        </w:rPr>
        <w:t xml:space="preserve">The Late Roman Cemetery at </w:t>
      </w:r>
      <w:proofErr w:type="spellStart"/>
      <w:r w:rsidRPr="001E5A73">
        <w:rPr>
          <w:rFonts w:ascii="Calibri" w:eastAsia="Times New Roman" w:hAnsi="Calibri" w:cs="Calibri"/>
          <w:i/>
          <w:iCs/>
          <w:lang w:eastAsia="en-GB"/>
        </w:rPr>
        <w:t>Lankhills</w:t>
      </w:r>
      <w:proofErr w:type="spellEnd"/>
      <w:r w:rsidRPr="001E5A73">
        <w:rPr>
          <w:rFonts w:ascii="Calibri" w:eastAsia="Times New Roman" w:hAnsi="Calibri" w:cs="Calibri"/>
          <w:i/>
          <w:iCs/>
          <w:lang w:eastAsia="en-GB"/>
        </w:rPr>
        <w:t>, Winchester: Excavations 2000</w:t>
      </w:r>
      <w:r w:rsidR="00D06F9F">
        <w:rPr>
          <w:rFonts w:ascii="Calibri" w:eastAsia="Times New Roman" w:hAnsi="Calibri" w:cs="Calibri"/>
          <w:i/>
          <w:iCs/>
          <w:lang w:eastAsia="en-GB"/>
        </w:rPr>
        <w:t>–</w:t>
      </w:r>
      <w:r w:rsidRPr="001E5A73">
        <w:rPr>
          <w:rFonts w:ascii="Calibri" w:eastAsia="Times New Roman" w:hAnsi="Calibri" w:cs="Calibri"/>
          <w:i/>
          <w:iCs/>
          <w:lang w:eastAsia="en-GB"/>
        </w:rPr>
        <w:t>2005</w:t>
      </w:r>
      <w:r w:rsidRPr="001E5A73">
        <w:rPr>
          <w:rFonts w:ascii="Calibri" w:eastAsia="Times New Roman" w:hAnsi="Calibri" w:cs="Calibri"/>
          <w:lang w:eastAsia="en-GB"/>
        </w:rPr>
        <w:t>, edited by P. Booth, 267–308. Oxford: Oxford Archaeology.</w:t>
      </w:r>
    </w:p>
    <w:p w14:paraId="53CFFF11" w14:textId="15B83171"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Cool, H. E. M</w:t>
      </w:r>
      <w:r w:rsidR="001E5A73" w:rsidRPr="001E5A73">
        <w:rPr>
          <w:rFonts w:ascii="Calibri" w:eastAsia="Times New Roman" w:hAnsi="Calibri" w:cs="Calibri"/>
          <w:lang w:eastAsia="en-GB"/>
        </w:rPr>
        <w:t xml:space="preserve">. 2013. ‘The Finds of Metal, Glass and Stone’. In </w:t>
      </w:r>
      <w:r w:rsidR="0083686B" w:rsidRPr="0083686B">
        <w:rPr>
          <w:rFonts w:ascii="Calibri" w:eastAsia="Times New Roman" w:hAnsi="Calibri" w:cs="Calibri"/>
          <w:i/>
          <w:iCs/>
          <w:lang w:eastAsia="en-GB"/>
        </w:rPr>
        <w:t>The</w:t>
      </w:r>
      <w:r w:rsidR="0083686B">
        <w:rPr>
          <w:rFonts w:ascii="Calibri" w:eastAsia="Times New Roman" w:hAnsi="Calibri" w:cs="Calibri"/>
          <w:lang w:eastAsia="en-GB"/>
        </w:rPr>
        <w:t xml:space="preserve"> </w:t>
      </w:r>
      <w:r w:rsidR="001E5A73" w:rsidRPr="001E5A73">
        <w:rPr>
          <w:rFonts w:ascii="Calibri" w:eastAsia="Times New Roman" w:hAnsi="Calibri" w:cs="Calibri"/>
          <w:i/>
          <w:iCs/>
          <w:lang w:eastAsia="en-GB"/>
        </w:rPr>
        <w:t>Iron Age and Roman Settlement</w:t>
      </w:r>
      <w:r w:rsidR="0083686B">
        <w:rPr>
          <w:rFonts w:ascii="Calibri" w:eastAsia="Times New Roman" w:hAnsi="Calibri" w:cs="Calibri"/>
          <w:i/>
          <w:iCs/>
          <w:lang w:eastAsia="en-GB"/>
        </w:rPr>
        <w:t>s</w:t>
      </w:r>
      <w:r w:rsidR="001E5A73" w:rsidRPr="001E5A73">
        <w:rPr>
          <w:rFonts w:ascii="Calibri" w:eastAsia="Times New Roman" w:hAnsi="Calibri" w:cs="Calibri"/>
          <w:i/>
          <w:iCs/>
          <w:lang w:eastAsia="en-GB"/>
        </w:rPr>
        <w:t xml:space="preserve"> at Wattle Syke</w:t>
      </w:r>
      <w:r w:rsidR="001E5A73" w:rsidRPr="001E5A73">
        <w:rPr>
          <w:rFonts w:ascii="Calibri" w:eastAsia="Times New Roman" w:hAnsi="Calibri" w:cs="Calibri"/>
          <w:lang w:eastAsia="en-GB"/>
        </w:rPr>
        <w:t>, edited by L. Martin, J. Richardson, and I. Roberts</w:t>
      </w:r>
      <w:r w:rsidR="0083686B">
        <w:rPr>
          <w:rFonts w:ascii="Calibri" w:eastAsia="Times New Roman" w:hAnsi="Calibri" w:cs="Calibri"/>
          <w:lang w:eastAsia="en-GB"/>
        </w:rPr>
        <w:t>, 185</w:t>
      </w:r>
      <w:r w:rsidR="0083686B" w:rsidRPr="001E5A73">
        <w:rPr>
          <w:rFonts w:ascii="Calibri" w:eastAsia="Times New Roman" w:hAnsi="Calibri" w:cs="Calibri"/>
          <w:i/>
          <w:iCs/>
          <w:lang w:eastAsia="en-GB"/>
        </w:rPr>
        <w:t>–</w:t>
      </w:r>
      <w:r w:rsidR="0083686B" w:rsidRPr="0083686B">
        <w:rPr>
          <w:rFonts w:ascii="Calibri" w:eastAsia="Times New Roman" w:hAnsi="Calibri" w:cs="Calibri"/>
          <w:lang w:eastAsia="en-GB"/>
        </w:rPr>
        <w:t>95</w:t>
      </w:r>
      <w:r w:rsidR="0083686B">
        <w:rPr>
          <w:rFonts w:ascii="Calibri" w:eastAsia="Times New Roman" w:hAnsi="Calibri" w:cs="Calibri"/>
          <w:lang w:eastAsia="en-GB"/>
        </w:rPr>
        <w:t>.</w:t>
      </w:r>
      <w:r w:rsidR="001E5A73" w:rsidRPr="001E5A73">
        <w:rPr>
          <w:rFonts w:ascii="Calibri" w:eastAsia="Times New Roman" w:hAnsi="Calibri" w:cs="Calibri"/>
          <w:lang w:eastAsia="en-GB"/>
        </w:rPr>
        <w:t xml:space="preserve"> Yorkshire Archaeology 11. Leeds: West Yorkshire Archaeology Service.</w:t>
      </w:r>
      <w:r w:rsidR="0083686B">
        <w:rPr>
          <w:rFonts w:ascii="Calibri" w:eastAsia="Times New Roman" w:hAnsi="Calibri" w:cs="Calibri"/>
          <w:lang w:eastAsia="en-GB"/>
        </w:rPr>
        <w:t xml:space="preserve"> </w:t>
      </w:r>
    </w:p>
    <w:p w14:paraId="6D7924BC" w14:textId="1EFCB73F"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Crummy, N. 2006. ‘The Small Finds’. In </w:t>
      </w:r>
      <w:r w:rsidRPr="001E5A73">
        <w:rPr>
          <w:rFonts w:ascii="Calibri" w:eastAsia="Times New Roman" w:hAnsi="Calibri" w:cs="Calibri"/>
          <w:i/>
          <w:iCs/>
          <w:lang w:eastAsia="en-GB"/>
        </w:rPr>
        <w:t xml:space="preserve">Life and Labour in Late Roman </w:t>
      </w:r>
      <w:proofErr w:type="spellStart"/>
      <w:r w:rsidRPr="001E5A73">
        <w:rPr>
          <w:rFonts w:ascii="Calibri" w:eastAsia="Times New Roman" w:hAnsi="Calibri" w:cs="Calibri"/>
          <w:i/>
          <w:iCs/>
          <w:lang w:eastAsia="en-GB"/>
        </w:rPr>
        <w:t>Silchester</w:t>
      </w:r>
      <w:proofErr w:type="spellEnd"/>
      <w:r w:rsidRPr="001E5A73">
        <w:rPr>
          <w:rFonts w:ascii="Calibri" w:eastAsia="Times New Roman" w:hAnsi="Calibri" w:cs="Calibri"/>
          <w:i/>
          <w:iCs/>
          <w:lang w:eastAsia="en-GB"/>
        </w:rPr>
        <w:t xml:space="preserve"> : Excavations in Insula IX since 1997 </w:t>
      </w:r>
      <w:r w:rsidR="00905D26" w:rsidRPr="00905D26">
        <w:rPr>
          <w:rFonts w:ascii="Calibri" w:eastAsia="Times New Roman" w:hAnsi="Calibri" w:cs="Calibri"/>
          <w:lang w:eastAsia="en-GB"/>
        </w:rPr>
        <w:t>edited by</w:t>
      </w:r>
      <w:r w:rsidRPr="00905D26">
        <w:rPr>
          <w:rFonts w:ascii="Calibri" w:eastAsia="Times New Roman" w:hAnsi="Calibri" w:cs="Calibri"/>
          <w:lang w:eastAsia="en-GB"/>
        </w:rPr>
        <w:t xml:space="preserve"> M</w:t>
      </w:r>
      <w:r w:rsidR="00905D26">
        <w:rPr>
          <w:rFonts w:ascii="Calibri" w:eastAsia="Times New Roman" w:hAnsi="Calibri" w:cs="Calibri"/>
          <w:lang w:eastAsia="en-GB"/>
        </w:rPr>
        <w:t>.</w:t>
      </w:r>
      <w:r w:rsidRPr="00905D26">
        <w:rPr>
          <w:rFonts w:ascii="Calibri" w:eastAsia="Times New Roman" w:hAnsi="Calibri" w:cs="Calibri"/>
          <w:lang w:eastAsia="en-GB"/>
        </w:rPr>
        <w:t xml:space="preserve"> Fulford, A</w:t>
      </w:r>
      <w:r w:rsidR="00905D26">
        <w:rPr>
          <w:rFonts w:ascii="Calibri" w:eastAsia="Times New Roman" w:hAnsi="Calibri" w:cs="Calibri"/>
          <w:lang w:eastAsia="en-GB"/>
        </w:rPr>
        <w:t>.</w:t>
      </w:r>
      <w:r w:rsidRPr="00905D26">
        <w:rPr>
          <w:rFonts w:ascii="Calibri" w:eastAsia="Times New Roman" w:hAnsi="Calibri" w:cs="Calibri"/>
          <w:lang w:eastAsia="en-GB"/>
        </w:rPr>
        <w:t xml:space="preserve"> Clarke, and H</w:t>
      </w:r>
      <w:r w:rsidR="00905D26">
        <w:rPr>
          <w:rFonts w:ascii="Calibri" w:eastAsia="Times New Roman" w:hAnsi="Calibri" w:cs="Calibri"/>
          <w:lang w:eastAsia="en-GB"/>
        </w:rPr>
        <w:t>.</w:t>
      </w:r>
      <w:r w:rsidRPr="00905D26">
        <w:rPr>
          <w:rFonts w:ascii="Calibri" w:eastAsia="Times New Roman" w:hAnsi="Calibri" w:cs="Calibri"/>
          <w:lang w:eastAsia="en-GB"/>
        </w:rPr>
        <w:t xml:space="preserve"> Eckardt</w:t>
      </w:r>
      <w:r w:rsidR="00975D9F">
        <w:rPr>
          <w:rFonts w:ascii="Calibri" w:eastAsia="Times New Roman" w:hAnsi="Calibri" w:cs="Calibri"/>
          <w:lang w:eastAsia="en-GB"/>
        </w:rPr>
        <w:t xml:space="preserve">, </w:t>
      </w:r>
      <w:r w:rsidR="00975D9F" w:rsidRPr="001E5A73">
        <w:rPr>
          <w:rFonts w:ascii="Calibri" w:eastAsia="Times New Roman" w:hAnsi="Calibri" w:cs="Calibri"/>
          <w:lang w:eastAsia="en-GB"/>
        </w:rPr>
        <w:t>120–32.</w:t>
      </w:r>
      <w:r w:rsidR="00975D9F">
        <w:rPr>
          <w:rFonts w:ascii="Calibri" w:eastAsia="Times New Roman" w:hAnsi="Calibri" w:cs="Calibri"/>
          <w:lang w:eastAsia="en-GB"/>
        </w:rPr>
        <w:t xml:space="preserve"> </w:t>
      </w:r>
      <w:r w:rsidRPr="001E5A73">
        <w:rPr>
          <w:rFonts w:ascii="Calibri" w:eastAsia="Times New Roman" w:hAnsi="Calibri" w:cs="Calibri"/>
          <w:lang w:eastAsia="en-GB"/>
        </w:rPr>
        <w:t>Britannia monograph series</w:t>
      </w:r>
      <w:r w:rsidR="00905D26">
        <w:rPr>
          <w:rFonts w:ascii="Calibri" w:eastAsia="Times New Roman" w:hAnsi="Calibri" w:cs="Calibri"/>
          <w:lang w:eastAsia="en-GB"/>
        </w:rPr>
        <w:t xml:space="preserve"> </w:t>
      </w:r>
      <w:r w:rsidRPr="001E5A73">
        <w:rPr>
          <w:rFonts w:ascii="Calibri" w:eastAsia="Times New Roman" w:hAnsi="Calibri" w:cs="Calibri"/>
          <w:lang w:eastAsia="en-GB"/>
        </w:rPr>
        <w:t>no. 22</w:t>
      </w:r>
      <w:r w:rsidR="00905D26">
        <w:rPr>
          <w:rFonts w:ascii="Calibri" w:eastAsia="Times New Roman" w:hAnsi="Calibri" w:cs="Calibri"/>
          <w:lang w:eastAsia="en-GB"/>
        </w:rPr>
        <w:t xml:space="preserve">. </w:t>
      </w:r>
      <w:r w:rsidRPr="001E5A73">
        <w:rPr>
          <w:rFonts w:ascii="Calibri" w:eastAsia="Times New Roman" w:hAnsi="Calibri" w:cs="Calibri"/>
          <w:lang w:eastAsia="en-GB"/>
        </w:rPr>
        <w:t>London: Society for the Promotion of Roman Studies</w:t>
      </w:r>
      <w:r w:rsidR="00975D9F">
        <w:rPr>
          <w:rFonts w:ascii="Calibri" w:eastAsia="Times New Roman" w:hAnsi="Calibri" w:cs="Calibri"/>
          <w:lang w:eastAsia="en-GB"/>
        </w:rPr>
        <w:t>.</w:t>
      </w:r>
    </w:p>
    <w:p w14:paraId="2F1B36F1" w14:textId="34D88770" w:rsidR="00D8575A" w:rsidRPr="001E5A73" w:rsidRDefault="00D8575A"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Crummy, N. 2010 ‘Bears and Coins: the Iconography of Protection in Late Roman Infant Burials’. </w:t>
      </w:r>
      <w:r w:rsidRPr="00D8575A">
        <w:rPr>
          <w:rFonts w:ascii="Calibri" w:eastAsia="Times New Roman" w:hAnsi="Calibri" w:cs="Calibri"/>
          <w:i/>
          <w:iCs/>
          <w:lang w:eastAsia="en-GB"/>
        </w:rPr>
        <w:t xml:space="preserve">Britannia </w:t>
      </w:r>
      <w:r>
        <w:rPr>
          <w:rFonts w:ascii="Calibri" w:eastAsia="Times New Roman" w:hAnsi="Calibri" w:cs="Calibri"/>
          <w:lang w:eastAsia="en-GB"/>
        </w:rPr>
        <w:t>41: 37</w:t>
      </w:r>
      <w:r w:rsidR="00D06F9F">
        <w:rPr>
          <w:rFonts w:ascii="Calibri" w:eastAsia="Times New Roman" w:hAnsi="Calibri" w:cs="Calibri"/>
          <w:lang w:eastAsia="en-GB"/>
        </w:rPr>
        <w:t>–</w:t>
      </w:r>
      <w:r>
        <w:rPr>
          <w:rFonts w:ascii="Calibri" w:eastAsia="Times New Roman" w:hAnsi="Calibri" w:cs="Calibri"/>
          <w:lang w:eastAsia="en-GB"/>
        </w:rPr>
        <w:t>93.</w:t>
      </w:r>
    </w:p>
    <w:p w14:paraId="5B834046" w14:textId="77777777"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Crummy, N., P. Crummy, and C. Crossan. 1993. </w:t>
      </w:r>
      <w:r w:rsidRPr="001E5A73">
        <w:rPr>
          <w:rFonts w:ascii="Calibri" w:eastAsia="Times New Roman" w:hAnsi="Calibri" w:cs="Calibri"/>
          <w:i/>
          <w:iCs/>
          <w:lang w:eastAsia="en-GB"/>
        </w:rPr>
        <w:t xml:space="preserve">Excavations of Roman and Later Cemeteries, </w:t>
      </w:r>
      <w:proofErr w:type="gramStart"/>
      <w:r w:rsidRPr="001E5A73">
        <w:rPr>
          <w:rFonts w:ascii="Calibri" w:eastAsia="Times New Roman" w:hAnsi="Calibri" w:cs="Calibri"/>
          <w:i/>
          <w:iCs/>
          <w:lang w:eastAsia="en-GB"/>
        </w:rPr>
        <w:t>Churches</w:t>
      </w:r>
      <w:proofErr w:type="gramEnd"/>
      <w:r w:rsidRPr="001E5A73">
        <w:rPr>
          <w:rFonts w:ascii="Calibri" w:eastAsia="Times New Roman" w:hAnsi="Calibri" w:cs="Calibri"/>
          <w:i/>
          <w:iCs/>
          <w:lang w:eastAsia="en-GB"/>
        </w:rPr>
        <w:t xml:space="preserve"> and Monastic Buildings in Colchester, 1971–88</w:t>
      </w:r>
      <w:r w:rsidRPr="001E5A73">
        <w:rPr>
          <w:rFonts w:ascii="Calibri" w:eastAsia="Times New Roman" w:hAnsi="Calibri" w:cs="Calibri"/>
          <w:lang w:eastAsia="en-GB"/>
        </w:rPr>
        <w:t>. Colchester Archaeological Report 9. Colchester: Colchester Archaeological Trust.</w:t>
      </w:r>
    </w:p>
    <w:p w14:paraId="375C74C5" w14:textId="119AAF16" w:rsidR="009E5B2F" w:rsidRPr="001E5A73" w:rsidRDefault="00F9171E"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Curnow, P. ‘The Roman Coins’. In </w:t>
      </w:r>
      <w:r w:rsidR="00D51F72" w:rsidRPr="00F9171E">
        <w:rPr>
          <w:rFonts w:ascii="Calibri" w:eastAsia="Times New Roman" w:hAnsi="Calibri" w:cs="Calibri"/>
          <w:i/>
          <w:iCs/>
          <w:lang w:eastAsia="en-GB"/>
        </w:rPr>
        <w:t>West Stow</w:t>
      </w:r>
      <w:r w:rsidRPr="00F9171E">
        <w:rPr>
          <w:rFonts w:ascii="Calibri" w:eastAsia="Times New Roman" w:hAnsi="Calibri" w:cs="Calibri"/>
          <w:i/>
          <w:iCs/>
          <w:lang w:eastAsia="en-GB"/>
        </w:rPr>
        <w:t>: the Anglo-Saxon village</w:t>
      </w:r>
      <w:r>
        <w:rPr>
          <w:rFonts w:ascii="Calibri" w:eastAsia="Times New Roman" w:hAnsi="Calibri" w:cs="Calibri"/>
          <w:lang w:eastAsia="en-GB"/>
        </w:rPr>
        <w:t>,</w:t>
      </w:r>
      <w:r w:rsidR="00905D26">
        <w:rPr>
          <w:rFonts w:ascii="Calibri" w:eastAsia="Times New Roman" w:hAnsi="Calibri" w:cs="Calibri"/>
          <w:lang w:eastAsia="en-GB"/>
        </w:rPr>
        <w:t xml:space="preserve"> edited by S. West, </w:t>
      </w:r>
      <w:r w:rsidR="00582E7D">
        <w:rPr>
          <w:rFonts w:ascii="Calibri" w:eastAsia="Times New Roman" w:hAnsi="Calibri" w:cs="Calibri"/>
          <w:lang w:eastAsia="en-GB"/>
        </w:rPr>
        <w:t>76</w:t>
      </w:r>
      <w:r w:rsidR="00582E7D" w:rsidRPr="001E5A73">
        <w:rPr>
          <w:rFonts w:ascii="Calibri" w:eastAsia="Times New Roman" w:hAnsi="Calibri" w:cs="Calibri"/>
          <w:lang w:eastAsia="en-GB"/>
        </w:rPr>
        <w:t>–</w:t>
      </w:r>
      <w:r w:rsidR="00582E7D">
        <w:rPr>
          <w:rFonts w:ascii="Calibri" w:eastAsia="Times New Roman" w:hAnsi="Calibri" w:cs="Calibri"/>
          <w:lang w:eastAsia="en-GB"/>
        </w:rPr>
        <w:t xml:space="preserve">81. </w:t>
      </w:r>
      <w:r w:rsidR="00905D26">
        <w:rPr>
          <w:rFonts w:ascii="Calibri" w:eastAsia="Times New Roman" w:hAnsi="Calibri" w:cs="Calibri"/>
          <w:lang w:eastAsia="en-GB"/>
        </w:rPr>
        <w:t>East Anglian Archaeology Report 24. Ipswich: Suffolk County Planning Department</w:t>
      </w:r>
      <w:r w:rsidR="00582E7D">
        <w:rPr>
          <w:rFonts w:ascii="Calibri" w:eastAsia="Times New Roman" w:hAnsi="Calibri" w:cs="Calibri"/>
          <w:lang w:eastAsia="en-GB"/>
        </w:rPr>
        <w:t>.</w:t>
      </w:r>
    </w:p>
    <w:p w14:paraId="5545A08F" w14:textId="77777777" w:rsidR="001E5A73" w:rsidRPr="001E5A73" w:rsidRDefault="001E5A73" w:rsidP="002B1EA9">
      <w:pPr>
        <w:spacing w:after="0" w:line="240" w:lineRule="auto"/>
        <w:ind w:left="480" w:hanging="480"/>
        <w:rPr>
          <w:rFonts w:ascii="Calibri" w:eastAsia="Times New Roman" w:hAnsi="Calibri" w:cs="Calibri"/>
          <w:lang w:eastAsia="en-GB"/>
        </w:rPr>
      </w:pPr>
      <w:proofErr w:type="spellStart"/>
      <w:r w:rsidRPr="001E5A73">
        <w:rPr>
          <w:rFonts w:ascii="Calibri" w:eastAsia="Times New Roman" w:hAnsi="Calibri" w:cs="Calibri"/>
          <w:lang w:eastAsia="en-GB"/>
        </w:rPr>
        <w:t>Dungworth</w:t>
      </w:r>
      <w:proofErr w:type="spellEnd"/>
      <w:r w:rsidRPr="001E5A73">
        <w:rPr>
          <w:rFonts w:ascii="Calibri" w:eastAsia="Times New Roman" w:hAnsi="Calibri" w:cs="Calibri"/>
          <w:lang w:eastAsia="en-GB"/>
        </w:rPr>
        <w:t xml:space="preserve">, D. 1997. ‘Roman Copper Alloys: Analysis of Artefacts from Northern Britain’. </w:t>
      </w:r>
      <w:r w:rsidRPr="001E5A73">
        <w:rPr>
          <w:rFonts w:ascii="Calibri" w:eastAsia="Times New Roman" w:hAnsi="Calibri" w:cs="Calibri"/>
          <w:i/>
          <w:iCs/>
          <w:lang w:eastAsia="en-GB"/>
        </w:rPr>
        <w:t>Journal of Archaeological Science</w:t>
      </w:r>
      <w:r w:rsidRPr="001E5A73">
        <w:rPr>
          <w:rFonts w:ascii="Calibri" w:eastAsia="Times New Roman" w:hAnsi="Calibri" w:cs="Calibri"/>
          <w:lang w:eastAsia="en-GB"/>
        </w:rPr>
        <w:t xml:space="preserve"> 24 (10): 901–10.</w:t>
      </w:r>
    </w:p>
    <w:p w14:paraId="6B2D73B3"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Esmonde-Cleary, S. 1989. </w:t>
      </w:r>
      <w:r w:rsidRPr="001E5A73">
        <w:rPr>
          <w:rFonts w:ascii="Calibri" w:eastAsia="Times New Roman" w:hAnsi="Calibri" w:cs="Calibri"/>
          <w:i/>
          <w:iCs/>
          <w:lang w:eastAsia="en-GB"/>
        </w:rPr>
        <w:t>The Ending of Roman Britain</w:t>
      </w:r>
      <w:r w:rsidRPr="001E5A73">
        <w:rPr>
          <w:rFonts w:ascii="Calibri" w:eastAsia="Times New Roman" w:hAnsi="Calibri" w:cs="Calibri"/>
          <w:lang w:eastAsia="en-GB"/>
        </w:rPr>
        <w:t>. London: Batsford.</w:t>
      </w:r>
    </w:p>
    <w:p w14:paraId="49BC8D7E" w14:textId="1CDDCFAB"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Esmonde-Cleary, S</w:t>
      </w:r>
      <w:r w:rsidR="001E5A73" w:rsidRPr="001E5A73">
        <w:rPr>
          <w:rFonts w:ascii="Calibri" w:eastAsia="Times New Roman" w:hAnsi="Calibri" w:cs="Calibri"/>
          <w:lang w:eastAsia="en-GB"/>
        </w:rPr>
        <w:t xml:space="preserve">. 2013. </w:t>
      </w:r>
      <w:r w:rsidR="001E5A73" w:rsidRPr="001E5A73">
        <w:rPr>
          <w:rFonts w:ascii="Calibri" w:eastAsia="Times New Roman" w:hAnsi="Calibri" w:cs="Calibri"/>
          <w:i/>
          <w:iCs/>
          <w:lang w:eastAsia="en-GB"/>
        </w:rPr>
        <w:t>The Roman West, AD 200-500: An Archaeological Study</w:t>
      </w:r>
      <w:r w:rsidR="001E5A73" w:rsidRPr="001E5A73">
        <w:rPr>
          <w:rFonts w:ascii="Calibri" w:eastAsia="Times New Roman" w:hAnsi="Calibri" w:cs="Calibri"/>
          <w:lang w:eastAsia="en-GB"/>
        </w:rPr>
        <w:t>. Cambridge: Cambridge University Press.</w:t>
      </w:r>
    </w:p>
    <w:p w14:paraId="618CF12A"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Evison, V. I. 1965. </w:t>
      </w:r>
      <w:r w:rsidRPr="001E5A73">
        <w:rPr>
          <w:rFonts w:ascii="Calibri" w:eastAsia="Times New Roman" w:hAnsi="Calibri" w:cs="Calibri"/>
          <w:i/>
          <w:iCs/>
          <w:lang w:eastAsia="en-GB"/>
        </w:rPr>
        <w:t>The Fifth Century Invasions South of the Thames</w:t>
      </w:r>
      <w:r w:rsidRPr="001E5A73">
        <w:rPr>
          <w:rFonts w:ascii="Calibri" w:eastAsia="Times New Roman" w:hAnsi="Calibri" w:cs="Calibri"/>
          <w:lang w:eastAsia="en-GB"/>
        </w:rPr>
        <w:t>. London: Athlone Press.</w:t>
      </w:r>
    </w:p>
    <w:p w14:paraId="770CC2A7" w14:textId="1F308B7E"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Evison, V</w:t>
      </w:r>
      <w:r w:rsidR="001E5A73" w:rsidRPr="001E5A73">
        <w:rPr>
          <w:rFonts w:ascii="Calibri" w:eastAsia="Times New Roman" w:hAnsi="Calibri" w:cs="Calibri"/>
          <w:lang w:eastAsia="en-GB"/>
        </w:rPr>
        <w:t>.</w:t>
      </w:r>
      <w:r>
        <w:rPr>
          <w:rFonts w:ascii="Calibri" w:eastAsia="Times New Roman" w:hAnsi="Calibri" w:cs="Calibri"/>
          <w:lang w:eastAsia="en-GB"/>
        </w:rPr>
        <w:t xml:space="preserve"> I.</w:t>
      </w:r>
      <w:r w:rsidR="001E5A73" w:rsidRPr="001E5A73">
        <w:rPr>
          <w:rFonts w:ascii="Calibri" w:eastAsia="Times New Roman" w:hAnsi="Calibri" w:cs="Calibri"/>
          <w:lang w:eastAsia="en-GB"/>
        </w:rPr>
        <w:t xml:space="preserve"> 1987. </w:t>
      </w:r>
      <w:r w:rsidR="001E5A73" w:rsidRPr="001E5A73">
        <w:rPr>
          <w:rFonts w:ascii="Calibri" w:eastAsia="Times New Roman" w:hAnsi="Calibri" w:cs="Calibri"/>
          <w:i/>
          <w:iCs/>
          <w:lang w:eastAsia="en-GB"/>
        </w:rPr>
        <w:t>Dover: The Buckland Anglo-Saxon Cemetery</w:t>
      </w:r>
      <w:r w:rsidR="001E5A73" w:rsidRPr="001E5A73">
        <w:rPr>
          <w:rFonts w:ascii="Calibri" w:eastAsia="Times New Roman" w:hAnsi="Calibri" w:cs="Calibri"/>
          <w:lang w:eastAsia="en-GB"/>
        </w:rPr>
        <w:t>. Historic Buildings and Monuments Commission for England Archaeological Report No. 3. London: Historic Buildings and Monuments Commission for England.</w:t>
      </w:r>
    </w:p>
    <w:p w14:paraId="3F947E2C" w14:textId="77777777"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Farwell, D. E., and T. I. Molleson. 1993. </w:t>
      </w:r>
      <w:r w:rsidRPr="001E5A73">
        <w:rPr>
          <w:rFonts w:ascii="Calibri" w:eastAsia="Times New Roman" w:hAnsi="Calibri" w:cs="Calibri"/>
          <w:i/>
          <w:iCs/>
          <w:lang w:eastAsia="en-GB"/>
        </w:rPr>
        <w:t>Excavations at Poundbury, 1966–1980, Vol. 2 The Cemeteries</w:t>
      </w:r>
      <w:r w:rsidRPr="001E5A73">
        <w:rPr>
          <w:rFonts w:ascii="Calibri" w:eastAsia="Times New Roman" w:hAnsi="Calibri" w:cs="Calibri"/>
          <w:lang w:eastAsia="en-GB"/>
        </w:rPr>
        <w:t>. Dorset Natural History and Archaeology Monograph Series 11. Dorchester: Dorset Natural History and Archaeological Society.</w:t>
      </w:r>
    </w:p>
    <w:p w14:paraId="141BE89A" w14:textId="7003027D" w:rsidR="00AC11AC" w:rsidRPr="001E5A73" w:rsidRDefault="00AC11AC"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Fischer, T. 2019. </w:t>
      </w:r>
      <w:r w:rsidRPr="00AC11AC">
        <w:rPr>
          <w:rFonts w:ascii="Calibri" w:eastAsia="Times New Roman" w:hAnsi="Calibri" w:cs="Calibri"/>
          <w:i/>
          <w:iCs/>
          <w:lang w:eastAsia="en-GB"/>
        </w:rPr>
        <w:t>Army of the Roman Emperors</w:t>
      </w:r>
      <w:r>
        <w:rPr>
          <w:rFonts w:ascii="Calibri" w:eastAsia="Times New Roman" w:hAnsi="Calibri" w:cs="Calibri"/>
          <w:lang w:eastAsia="en-GB"/>
        </w:rPr>
        <w:t>. Oxford: Oxbow Books.</w:t>
      </w:r>
    </w:p>
    <w:p w14:paraId="3EB9416A"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Fleming, R. 2012. ‘Recycling in Britain After the Fall of Rome’s Metal Economy’. </w:t>
      </w:r>
      <w:r w:rsidRPr="001E5A73">
        <w:rPr>
          <w:rFonts w:ascii="Calibri" w:eastAsia="Times New Roman" w:hAnsi="Calibri" w:cs="Calibri"/>
          <w:i/>
          <w:iCs/>
          <w:lang w:eastAsia="en-GB"/>
        </w:rPr>
        <w:t>Past and Present</w:t>
      </w:r>
      <w:r w:rsidRPr="001E5A73">
        <w:rPr>
          <w:rFonts w:ascii="Calibri" w:eastAsia="Times New Roman" w:hAnsi="Calibri" w:cs="Calibri"/>
          <w:lang w:eastAsia="en-GB"/>
        </w:rPr>
        <w:t xml:space="preserve"> 217 (1): 3–45.</w:t>
      </w:r>
    </w:p>
    <w:p w14:paraId="640F5AC5"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Gerrard, J. 2013. </w:t>
      </w:r>
      <w:r w:rsidRPr="001E5A73">
        <w:rPr>
          <w:rFonts w:ascii="Calibri" w:eastAsia="Times New Roman" w:hAnsi="Calibri" w:cs="Calibri"/>
          <w:i/>
          <w:iCs/>
          <w:lang w:eastAsia="en-GB"/>
        </w:rPr>
        <w:t>The Ruin of Roman Britain: An Archaeological Perspective</w:t>
      </w:r>
      <w:r w:rsidRPr="001E5A73">
        <w:rPr>
          <w:rFonts w:ascii="Calibri" w:eastAsia="Times New Roman" w:hAnsi="Calibri" w:cs="Calibri"/>
          <w:lang w:eastAsia="en-GB"/>
        </w:rPr>
        <w:t>. Cambridge: Cambridge University Press.</w:t>
      </w:r>
    </w:p>
    <w:p w14:paraId="3C1A1A8C"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Graeber, D. 2001. </w:t>
      </w:r>
      <w:r w:rsidRPr="001E5A73">
        <w:rPr>
          <w:rFonts w:ascii="Calibri" w:eastAsia="Times New Roman" w:hAnsi="Calibri" w:cs="Calibri"/>
          <w:i/>
          <w:iCs/>
          <w:lang w:eastAsia="en-GB"/>
        </w:rPr>
        <w:t>Towards an Anthropological Theory of Value</w:t>
      </w:r>
      <w:r w:rsidRPr="001E5A73">
        <w:rPr>
          <w:rFonts w:ascii="Calibri" w:eastAsia="Times New Roman" w:hAnsi="Calibri" w:cs="Calibri"/>
          <w:lang w:eastAsia="en-GB"/>
        </w:rPr>
        <w:t>. New York: Palgrave Macmillan.</w:t>
      </w:r>
    </w:p>
    <w:p w14:paraId="507944AD"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Guest, P. S. W. 1997. ‘Hoards from the End of Roman Britain’. In </w:t>
      </w:r>
      <w:r w:rsidRPr="001E5A73">
        <w:rPr>
          <w:rFonts w:ascii="Calibri" w:eastAsia="Times New Roman" w:hAnsi="Calibri" w:cs="Calibri"/>
          <w:i/>
          <w:iCs/>
          <w:lang w:eastAsia="en-GB"/>
        </w:rPr>
        <w:t>Coin Hoards from Roman Britain Volume X</w:t>
      </w:r>
      <w:r w:rsidRPr="001E5A73">
        <w:rPr>
          <w:rFonts w:ascii="Calibri" w:eastAsia="Times New Roman" w:hAnsi="Calibri" w:cs="Calibri"/>
          <w:lang w:eastAsia="en-GB"/>
        </w:rPr>
        <w:t>, edited by R. Bland and J. Orna-Ornstein, 411–23. London: British Museum Press.</w:t>
      </w:r>
    </w:p>
    <w:p w14:paraId="574C7631"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Henig, M., and J. Gerrard. 2016. ‘Brancaster Type Signet Rings’. </w:t>
      </w:r>
      <w:r w:rsidRPr="001E5A73">
        <w:rPr>
          <w:rFonts w:ascii="Calibri" w:eastAsia="Times New Roman" w:hAnsi="Calibri" w:cs="Calibri"/>
          <w:i/>
          <w:iCs/>
          <w:lang w:eastAsia="en-GB"/>
        </w:rPr>
        <w:t xml:space="preserve">Bonner </w:t>
      </w:r>
      <w:proofErr w:type="spellStart"/>
      <w:r w:rsidRPr="001E5A73">
        <w:rPr>
          <w:rFonts w:ascii="Calibri" w:eastAsia="Times New Roman" w:hAnsi="Calibri" w:cs="Calibri"/>
          <w:i/>
          <w:iCs/>
          <w:lang w:eastAsia="en-GB"/>
        </w:rPr>
        <w:t>Jahrbucher</w:t>
      </w:r>
      <w:proofErr w:type="spellEnd"/>
      <w:r w:rsidRPr="001E5A73">
        <w:rPr>
          <w:rFonts w:ascii="Calibri" w:eastAsia="Times New Roman" w:hAnsi="Calibri" w:cs="Calibri"/>
          <w:lang w:eastAsia="en-GB"/>
        </w:rPr>
        <w:t xml:space="preserve"> 216: 225–50.</w:t>
      </w:r>
    </w:p>
    <w:p w14:paraId="2B5F0B5F"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lastRenderedPageBreak/>
        <w:t xml:space="preserve">Jones, A. 2012. </w:t>
      </w:r>
      <w:r w:rsidRPr="001E5A73">
        <w:rPr>
          <w:rFonts w:ascii="Calibri" w:eastAsia="Times New Roman" w:hAnsi="Calibri" w:cs="Calibri"/>
          <w:i/>
          <w:iCs/>
          <w:lang w:eastAsia="en-GB"/>
        </w:rPr>
        <w:t>Prehistoric Materialities</w:t>
      </w:r>
      <w:r w:rsidRPr="001E5A73">
        <w:rPr>
          <w:rFonts w:ascii="Calibri" w:eastAsia="Times New Roman" w:hAnsi="Calibri" w:cs="Calibri"/>
          <w:lang w:eastAsia="en-GB"/>
        </w:rPr>
        <w:t>. Oxford: Oxford University Press.</w:t>
      </w:r>
    </w:p>
    <w:p w14:paraId="7843FF9E"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Joy, J. 2009. ‘Reinvigorating Object Biography: Reproducing the Drama of Object Lives’. </w:t>
      </w:r>
      <w:r w:rsidRPr="001E5A73">
        <w:rPr>
          <w:rFonts w:ascii="Calibri" w:eastAsia="Times New Roman" w:hAnsi="Calibri" w:cs="Calibri"/>
          <w:i/>
          <w:iCs/>
          <w:lang w:eastAsia="en-GB"/>
        </w:rPr>
        <w:t>World Archaeology</w:t>
      </w:r>
      <w:r w:rsidRPr="001E5A73">
        <w:rPr>
          <w:rFonts w:ascii="Calibri" w:eastAsia="Times New Roman" w:hAnsi="Calibri" w:cs="Calibri"/>
          <w:lang w:eastAsia="en-GB"/>
        </w:rPr>
        <w:t xml:space="preserve"> 41 (4): 540–56.</w:t>
      </w:r>
    </w:p>
    <w:p w14:paraId="63B254DF"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Kay, J. E. 2016. ‘Children’s Burials in </w:t>
      </w:r>
      <w:proofErr w:type="gramStart"/>
      <w:r w:rsidRPr="001E5A73">
        <w:rPr>
          <w:rFonts w:ascii="Calibri" w:eastAsia="Times New Roman" w:hAnsi="Calibri" w:cs="Calibri"/>
          <w:lang w:eastAsia="en-GB"/>
        </w:rPr>
        <w:t>Fifth-Century Britain</w:t>
      </w:r>
      <w:proofErr w:type="gramEnd"/>
      <w:r w:rsidRPr="001E5A73">
        <w:rPr>
          <w:rFonts w:ascii="Calibri" w:eastAsia="Times New Roman" w:hAnsi="Calibri" w:cs="Calibri"/>
          <w:lang w:eastAsia="en-GB"/>
        </w:rPr>
        <w:t xml:space="preserve"> and Connections to the Roman Past’. </w:t>
      </w:r>
      <w:r w:rsidRPr="001E5A73">
        <w:rPr>
          <w:rFonts w:ascii="Calibri" w:eastAsia="Times New Roman" w:hAnsi="Calibri" w:cs="Calibri"/>
          <w:i/>
          <w:iCs/>
          <w:lang w:eastAsia="en-GB"/>
        </w:rPr>
        <w:t>Childhood in the Past</w:t>
      </w:r>
      <w:r w:rsidRPr="001E5A73">
        <w:rPr>
          <w:rFonts w:ascii="Calibri" w:eastAsia="Times New Roman" w:hAnsi="Calibri" w:cs="Calibri"/>
          <w:lang w:eastAsia="en-GB"/>
        </w:rPr>
        <w:t xml:space="preserve"> 9 (2): 86–108. </w:t>
      </w:r>
      <w:hyperlink r:id="rId9" w:history="1">
        <w:r w:rsidRPr="001E5A73">
          <w:rPr>
            <w:rFonts w:ascii="Calibri" w:eastAsia="Times New Roman" w:hAnsi="Calibri" w:cs="Calibri"/>
            <w:color w:val="0000FF"/>
            <w:u w:val="single"/>
            <w:lang w:eastAsia="en-GB"/>
          </w:rPr>
          <w:t>https://doi.org/10.1080/17585716.2016.1205340</w:t>
        </w:r>
      </w:hyperlink>
      <w:r w:rsidRPr="001E5A73">
        <w:rPr>
          <w:rFonts w:ascii="Calibri" w:eastAsia="Times New Roman" w:hAnsi="Calibri" w:cs="Calibri"/>
          <w:lang w:eastAsia="en-GB"/>
        </w:rPr>
        <w:t>.</w:t>
      </w:r>
    </w:p>
    <w:p w14:paraId="4B6ECE3F" w14:textId="77777777" w:rsidR="001E5A73" w:rsidRDefault="001E5A73" w:rsidP="002B1EA9">
      <w:pPr>
        <w:spacing w:after="0" w:line="240" w:lineRule="auto"/>
        <w:ind w:left="480" w:hanging="480"/>
        <w:rPr>
          <w:rFonts w:ascii="Calibri" w:eastAsia="Times New Roman" w:hAnsi="Calibri" w:cs="Calibri"/>
          <w:lang w:eastAsia="en-GB"/>
        </w:rPr>
      </w:pPr>
      <w:proofErr w:type="spellStart"/>
      <w:r w:rsidRPr="001E5A73">
        <w:rPr>
          <w:rFonts w:ascii="Calibri" w:eastAsia="Times New Roman" w:hAnsi="Calibri" w:cs="Calibri"/>
          <w:lang w:eastAsia="en-GB"/>
        </w:rPr>
        <w:t>Kemmers</w:t>
      </w:r>
      <w:proofErr w:type="spellEnd"/>
      <w:r w:rsidRPr="001E5A73">
        <w:rPr>
          <w:rFonts w:ascii="Calibri" w:eastAsia="Times New Roman" w:hAnsi="Calibri" w:cs="Calibri"/>
          <w:lang w:eastAsia="en-GB"/>
        </w:rPr>
        <w:t xml:space="preserve">, F. 2022. ‘Coin Iconography and Social Practice in the Roman Empire’. In </w:t>
      </w:r>
      <w:r w:rsidRPr="001E5A73">
        <w:rPr>
          <w:rFonts w:ascii="Calibri" w:eastAsia="Times New Roman" w:hAnsi="Calibri" w:cs="Calibri"/>
          <w:i/>
          <w:iCs/>
          <w:lang w:eastAsia="en-GB"/>
        </w:rPr>
        <w:t>The Oxford Handbook of Imagery and Iconography</w:t>
      </w:r>
      <w:r w:rsidRPr="001E5A73">
        <w:rPr>
          <w:rFonts w:ascii="Calibri" w:eastAsia="Times New Roman" w:hAnsi="Calibri" w:cs="Calibri"/>
          <w:lang w:eastAsia="en-GB"/>
        </w:rPr>
        <w:t>, edited by L. K. Cline and N. T. Elkins. Oxford: Oxford University Press.</w:t>
      </w:r>
    </w:p>
    <w:p w14:paraId="74EB1B8E" w14:textId="77777777" w:rsid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Kopytoff, I. 1986. ‘The Cultural Biography of Things: Commoditization as Process’. In </w:t>
      </w:r>
      <w:r w:rsidRPr="001E5A73">
        <w:rPr>
          <w:rFonts w:ascii="Calibri" w:eastAsia="Times New Roman" w:hAnsi="Calibri" w:cs="Calibri"/>
          <w:i/>
          <w:iCs/>
          <w:lang w:eastAsia="en-GB"/>
        </w:rPr>
        <w:t>The Social Life of Things: Commodities in Cultural Perspective</w:t>
      </w:r>
      <w:r w:rsidRPr="001E5A73">
        <w:rPr>
          <w:rFonts w:ascii="Calibri" w:eastAsia="Times New Roman" w:hAnsi="Calibri" w:cs="Calibri"/>
          <w:lang w:eastAsia="en-GB"/>
        </w:rPr>
        <w:t>, edited by A. Appadurai, 64–91. Cambridge: Cambridge University Press.</w:t>
      </w:r>
    </w:p>
    <w:p w14:paraId="204DD8A1" w14:textId="5185630D" w:rsidR="00C412E1" w:rsidRDefault="00C412E1"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Marshall, F. H. 1907 </w:t>
      </w:r>
      <w:r>
        <w:rPr>
          <w:rFonts w:ascii="Calibri" w:eastAsia="Times New Roman" w:hAnsi="Calibri" w:cs="Calibri"/>
          <w:i/>
          <w:iCs/>
          <w:lang w:eastAsia="en-GB"/>
        </w:rPr>
        <w:t xml:space="preserve">Catalogue of the Finger-rings, Greek, Etruscan, and Roman, in the Department of Antiquities, British Museum. </w:t>
      </w:r>
      <w:r>
        <w:rPr>
          <w:rFonts w:ascii="Calibri" w:eastAsia="Times New Roman" w:hAnsi="Calibri" w:cs="Calibri"/>
          <w:lang w:eastAsia="en-GB"/>
        </w:rPr>
        <w:t>London: Trustees of the British Museum.</w:t>
      </w:r>
    </w:p>
    <w:p w14:paraId="0013995C" w14:textId="51B88404" w:rsidR="0077595A" w:rsidRPr="00C412E1" w:rsidRDefault="0077595A"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Marzinzik, S. 2003. </w:t>
      </w:r>
      <w:r w:rsidRPr="0077595A">
        <w:rPr>
          <w:rFonts w:ascii="Calibri" w:eastAsia="Times New Roman" w:hAnsi="Calibri" w:cs="Calibri"/>
          <w:i/>
          <w:iCs/>
          <w:lang w:eastAsia="en-GB"/>
        </w:rPr>
        <w:t>Early Anglo-Saxon Belt Buckles (late 5</w:t>
      </w:r>
      <w:r w:rsidRPr="0077595A">
        <w:rPr>
          <w:rFonts w:ascii="Calibri" w:eastAsia="Times New Roman" w:hAnsi="Calibri" w:cs="Calibri"/>
          <w:i/>
          <w:iCs/>
          <w:vertAlign w:val="superscript"/>
          <w:lang w:eastAsia="en-GB"/>
        </w:rPr>
        <w:t>th</w:t>
      </w:r>
      <w:r w:rsidRPr="0077595A">
        <w:rPr>
          <w:rFonts w:ascii="Calibri" w:eastAsia="Times New Roman" w:hAnsi="Calibri" w:cs="Calibri"/>
          <w:i/>
          <w:iCs/>
          <w:lang w:eastAsia="en-GB"/>
        </w:rPr>
        <w:t xml:space="preserve"> to early 8</w:t>
      </w:r>
      <w:r w:rsidRPr="0077595A">
        <w:rPr>
          <w:rFonts w:ascii="Calibri" w:eastAsia="Times New Roman" w:hAnsi="Calibri" w:cs="Calibri"/>
          <w:i/>
          <w:iCs/>
          <w:vertAlign w:val="superscript"/>
          <w:lang w:eastAsia="en-GB"/>
        </w:rPr>
        <w:t>th</w:t>
      </w:r>
      <w:r w:rsidRPr="0077595A">
        <w:rPr>
          <w:rFonts w:ascii="Calibri" w:eastAsia="Times New Roman" w:hAnsi="Calibri" w:cs="Calibri"/>
          <w:i/>
          <w:iCs/>
          <w:lang w:eastAsia="en-GB"/>
        </w:rPr>
        <w:t xml:space="preserve"> centuries A.D). Their Classification and Context</w:t>
      </w:r>
      <w:r>
        <w:rPr>
          <w:rFonts w:ascii="Calibri" w:eastAsia="Times New Roman" w:hAnsi="Calibri" w:cs="Calibri"/>
          <w:lang w:eastAsia="en-GB"/>
        </w:rPr>
        <w:t xml:space="preserve">. </w:t>
      </w:r>
      <w:r w:rsidRPr="001E5A73">
        <w:rPr>
          <w:rFonts w:ascii="Calibri" w:eastAsia="Times New Roman" w:hAnsi="Calibri" w:cs="Calibri"/>
          <w:lang w:eastAsia="en-GB"/>
        </w:rPr>
        <w:t>British Archaeological Reports</w:t>
      </w:r>
      <w:r>
        <w:rPr>
          <w:rFonts w:ascii="Calibri" w:eastAsia="Times New Roman" w:hAnsi="Calibri" w:cs="Calibri"/>
          <w:lang w:eastAsia="en-GB"/>
        </w:rPr>
        <w:t xml:space="preserve"> (British Series)</w:t>
      </w:r>
      <w:r w:rsidRPr="001E5A73">
        <w:rPr>
          <w:rFonts w:ascii="Calibri" w:eastAsia="Times New Roman" w:hAnsi="Calibri" w:cs="Calibri"/>
          <w:lang w:eastAsia="en-GB"/>
        </w:rPr>
        <w:t xml:space="preserve"> </w:t>
      </w:r>
      <w:r>
        <w:rPr>
          <w:rFonts w:ascii="Calibri" w:eastAsia="Times New Roman" w:hAnsi="Calibri" w:cs="Calibri"/>
          <w:lang w:eastAsia="en-GB"/>
        </w:rPr>
        <w:t>357</w:t>
      </w:r>
      <w:r w:rsidRPr="001E5A73">
        <w:rPr>
          <w:rFonts w:ascii="Calibri" w:eastAsia="Times New Roman" w:hAnsi="Calibri" w:cs="Calibri"/>
          <w:lang w:eastAsia="en-GB"/>
        </w:rPr>
        <w:t xml:space="preserve">. Oxford: </w:t>
      </w:r>
      <w:proofErr w:type="spellStart"/>
      <w:r w:rsidRPr="001E5A73">
        <w:rPr>
          <w:rFonts w:ascii="Calibri" w:eastAsia="Times New Roman" w:hAnsi="Calibri" w:cs="Calibri"/>
          <w:lang w:eastAsia="en-GB"/>
        </w:rPr>
        <w:t>Archaeopress</w:t>
      </w:r>
      <w:proofErr w:type="spellEnd"/>
      <w:r>
        <w:rPr>
          <w:rFonts w:ascii="Calibri" w:eastAsia="Times New Roman" w:hAnsi="Calibri" w:cs="Calibri"/>
          <w:lang w:eastAsia="en-GB"/>
        </w:rPr>
        <w:t>.</w:t>
      </w:r>
    </w:p>
    <w:p w14:paraId="7A8CFA2A" w14:textId="6692943D"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Middleton, J. H. 1883. ‘Notes on Some Christian Rings and Other Antiquities Found on the Site of a Roman Villa, at </w:t>
      </w:r>
      <w:proofErr w:type="spellStart"/>
      <w:r w:rsidRPr="001E5A73">
        <w:rPr>
          <w:rFonts w:ascii="Calibri" w:eastAsia="Times New Roman" w:hAnsi="Calibri" w:cs="Calibri"/>
          <w:lang w:eastAsia="en-GB"/>
        </w:rPr>
        <w:t>Fifehead</w:t>
      </w:r>
      <w:proofErr w:type="spellEnd"/>
      <w:r w:rsidRPr="001E5A73">
        <w:rPr>
          <w:rFonts w:ascii="Calibri" w:eastAsia="Times New Roman" w:hAnsi="Calibri" w:cs="Calibri"/>
          <w:lang w:eastAsia="en-GB"/>
        </w:rPr>
        <w:t xml:space="preserve"> Neville, Dorset’. </w:t>
      </w:r>
      <w:r w:rsidRPr="001E5A73">
        <w:rPr>
          <w:rFonts w:ascii="Calibri" w:eastAsia="Times New Roman" w:hAnsi="Calibri" w:cs="Calibri"/>
          <w:i/>
          <w:iCs/>
          <w:lang w:eastAsia="en-GB"/>
        </w:rPr>
        <w:t>Proceedings of the Society of Antiquaries</w:t>
      </w:r>
      <w:r w:rsidRPr="001E5A73">
        <w:rPr>
          <w:rFonts w:ascii="Calibri" w:eastAsia="Times New Roman" w:hAnsi="Calibri" w:cs="Calibri"/>
          <w:lang w:eastAsia="en-GB"/>
        </w:rPr>
        <w:t xml:space="preserve"> 9 (2nd series): 66–70.</w:t>
      </w:r>
    </w:p>
    <w:p w14:paraId="08DD3ED5" w14:textId="0AD4E5AB" w:rsidR="008838A3" w:rsidRPr="00893123" w:rsidRDefault="008838A3"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Oliver, A. 2000. ‘Jewellery for the Unmarried’</w:t>
      </w:r>
      <w:r w:rsidR="00893123">
        <w:rPr>
          <w:rFonts w:ascii="Calibri" w:eastAsia="Times New Roman" w:hAnsi="Calibri" w:cs="Calibri"/>
          <w:lang w:eastAsia="en-GB"/>
        </w:rPr>
        <w:t xml:space="preserve">. In </w:t>
      </w:r>
      <w:r w:rsidR="00893123">
        <w:rPr>
          <w:rFonts w:ascii="Calibri" w:eastAsia="Times New Roman" w:hAnsi="Calibri" w:cs="Calibri"/>
          <w:i/>
          <w:iCs/>
          <w:lang w:eastAsia="en-GB"/>
        </w:rPr>
        <w:t>Claudia II: Women in Roman Culture and Society</w:t>
      </w:r>
      <w:r w:rsidR="00893123">
        <w:rPr>
          <w:rFonts w:ascii="Calibri" w:eastAsia="Times New Roman" w:hAnsi="Calibri" w:cs="Calibri"/>
          <w:lang w:eastAsia="en-GB"/>
        </w:rPr>
        <w:t>, edited by D. Kleiner and S. Mathisen, 115</w:t>
      </w:r>
      <w:r w:rsidR="00893123" w:rsidRPr="001E5A73">
        <w:rPr>
          <w:rFonts w:ascii="Calibri" w:eastAsia="Times New Roman" w:hAnsi="Calibri" w:cs="Calibri"/>
          <w:lang w:eastAsia="en-GB"/>
        </w:rPr>
        <w:t>–</w:t>
      </w:r>
      <w:r w:rsidR="00893123">
        <w:rPr>
          <w:rFonts w:ascii="Calibri" w:eastAsia="Times New Roman" w:hAnsi="Calibri" w:cs="Calibri"/>
          <w:lang w:eastAsia="en-GB"/>
        </w:rPr>
        <w:t>24. Austin, Texas: University of Texas Press.</w:t>
      </w:r>
    </w:p>
    <w:p w14:paraId="1A566587" w14:textId="17CF5ADB"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Pollard, A. M., P. Bray, C. Gosden, A. Wilson, and H. </w:t>
      </w:r>
      <w:proofErr w:type="spellStart"/>
      <w:r w:rsidRPr="001E5A73">
        <w:rPr>
          <w:rFonts w:ascii="Calibri" w:eastAsia="Times New Roman" w:hAnsi="Calibri" w:cs="Calibri"/>
          <w:lang w:eastAsia="en-GB"/>
        </w:rPr>
        <w:t>Hamerow</w:t>
      </w:r>
      <w:proofErr w:type="spellEnd"/>
      <w:r w:rsidRPr="001E5A73">
        <w:rPr>
          <w:rFonts w:ascii="Calibri" w:eastAsia="Times New Roman" w:hAnsi="Calibri" w:cs="Calibri"/>
          <w:lang w:eastAsia="en-GB"/>
        </w:rPr>
        <w:t xml:space="preserve">. 2015. ‘Characterising Copper-Based Metals in Britain in the First Millennium AD: A Preliminary Quantification of Metal Flow and Recycling’. </w:t>
      </w:r>
      <w:r w:rsidRPr="001E5A73">
        <w:rPr>
          <w:rFonts w:ascii="Calibri" w:eastAsia="Times New Roman" w:hAnsi="Calibri" w:cs="Calibri"/>
          <w:i/>
          <w:iCs/>
          <w:lang w:eastAsia="en-GB"/>
        </w:rPr>
        <w:t>Antiquity</w:t>
      </w:r>
      <w:r w:rsidRPr="001E5A73">
        <w:rPr>
          <w:rFonts w:ascii="Calibri" w:eastAsia="Times New Roman" w:hAnsi="Calibri" w:cs="Calibri"/>
          <w:lang w:eastAsia="en-GB"/>
        </w:rPr>
        <w:t xml:space="preserve"> 89: 697–713.</w:t>
      </w:r>
    </w:p>
    <w:p w14:paraId="64076970" w14:textId="6B061D1E"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hAnsi="Calibri" w:cs="Calibri"/>
        </w:rPr>
        <w:t xml:space="preserve">Portable Antiquities Scheme Database, </w:t>
      </w:r>
      <w:hyperlink r:id="rId10" w:history="1">
        <w:r w:rsidRPr="001E5A73">
          <w:rPr>
            <w:rStyle w:val="Hyperlink"/>
            <w:rFonts w:ascii="Calibri" w:hAnsi="Calibri" w:cs="Calibri"/>
          </w:rPr>
          <w:t>https://finds.org.uk/database</w:t>
        </w:r>
      </w:hyperlink>
      <w:r w:rsidRPr="001E5A73">
        <w:rPr>
          <w:rFonts w:ascii="Calibri" w:hAnsi="Calibri" w:cs="Calibri"/>
        </w:rPr>
        <w:t>, consulted 30/06/2023</w:t>
      </w:r>
      <w:r w:rsidR="00AF27E8">
        <w:rPr>
          <w:rFonts w:ascii="Calibri" w:hAnsi="Calibri" w:cs="Calibri"/>
        </w:rPr>
        <w:t>, 07/07/23,</w:t>
      </w:r>
      <w:r w:rsidRPr="001E5A73">
        <w:rPr>
          <w:rFonts w:ascii="Calibri" w:hAnsi="Calibri" w:cs="Calibri"/>
        </w:rPr>
        <w:t xml:space="preserve"> and 15/07/23.</w:t>
      </w:r>
    </w:p>
    <w:p w14:paraId="1E157131" w14:textId="21F055E2"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Robinson, D. 2017. ‘Assemblage Theory and the Capacity to Value: An Archaeological Approach from Cache Cave, California, USA’. </w:t>
      </w:r>
      <w:r w:rsidRPr="001E5A73">
        <w:rPr>
          <w:rFonts w:ascii="Calibri" w:eastAsia="Times New Roman" w:hAnsi="Calibri" w:cs="Calibri"/>
          <w:i/>
          <w:iCs/>
          <w:lang w:eastAsia="en-GB"/>
        </w:rPr>
        <w:t>Cambridge Archaeological Journal</w:t>
      </w:r>
      <w:r w:rsidRPr="001E5A73">
        <w:rPr>
          <w:rFonts w:ascii="Calibri" w:eastAsia="Times New Roman" w:hAnsi="Calibri" w:cs="Calibri"/>
          <w:lang w:eastAsia="en-GB"/>
        </w:rPr>
        <w:t xml:space="preserve"> 27 (1): 155–68.</w:t>
      </w:r>
    </w:p>
    <w:p w14:paraId="37A419DA"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Stoner, J. 2019. </w:t>
      </w:r>
      <w:r w:rsidRPr="001E5A73">
        <w:rPr>
          <w:rFonts w:ascii="Calibri" w:eastAsia="Times New Roman" w:hAnsi="Calibri" w:cs="Calibri"/>
          <w:i/>
          <w:iCs/>
          <w:lang w:eastAsia="en-GB"/>
        </w:rPr>
        <w:t>The Cultural Lives of Domestic Objects in Late Antiquity</w:t>
      </w:r>
      <w:r w:rsidRPr="001E5A73">
        <w:rPr>
          <w:rFonts w:ascii="Calibri" w:eastAsia="Times New Roman" w:hAnsi="Calibri" w:cs="Calibri"/>
          <w:lang w:eastAsia="en-GB"/>
        </w:rPr>
        <w:t>. Late Antique Archaeology Supplementary Series 4. Leiden: Brill.</w:t>
      </w:r>
    </w:p>
    <w:p w14:paraId="2D808AC0"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Suzuki, S. 2000. </w:t>
      </w:r>
      <w:r w:rsidRPr="001E5A73">
        <w:rPr>
          <w:rFonts w:ascii="Calibri" w:eastAsia="Times New Roman" w:hAnsi="Calibri" w:cs="Calibri"/>
          <w:i/>
          <w:iCs/>
          <w:lang w:eastAsia="en-GB"/>
        </w:rPr>
        <w:t>The Quoit Brooch Style and Anglo-Saxon Settlement</w:t>
      </w:r>
      <w:r w:rsidRPr="001E5A73">
        <w:rPr>
          <w:rFonts w:ascii="Calibri" w:eastAsia="Times New Roman" w:hAnsi="Calibri" w:cs="Calibri"/>
          <w:lang w:eastAsia="en-GB"/>
        </w:rPr>
        <w:t>. Woodbridge: The Boydell Press.</w:t>
      </w:r>
    </w:p>
    <w:p w14:paraId="3757B753"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Swift, E. 2012. ‘Object Biography, Reuse and Recycling in the Late to Post-Roman Transition Period and Beyond: Rings Made from Romano-British Bracelets’. </w:t>
      </w:r>
      <w:r w:rsidRPr="001E5A73">
        <w:rPr>
          <w:rFonts w:ascii="Calibri" w:eastAsia="Times New Roman" w:hAnsi="Calibri" w:cs="Calibri"/>
          <w:i/>
          <w:iCs/>
          <w:lang w:eastAsia="en-GB"/>
        </w:rPr>
        <w:t>Britannia</w:t>
      </w:r>
      <w:r w:rsidRPr="001E5A73">
        <w:rPr>
          <w:rFonts w:ascii="Calibri" w:eastAsia="Times New Roman" w:hAnsi="Calibri" w:cs="Calibri"/>
          <w:lang w:eastAsia="en-GB"/>
        </w:rPr>
        <w:t xml:space="preserve"> 43: 167–215.</w:t>
      </w:r>
    </w:p>
    <w:p w14:paraId="3B20C13F" w14:textId="69E7B765"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Swift, E</w:t>
      </w:r>
      <w:r w:rsidR="001E5A73" w:rsidRPr="001E5A73">
        <w:rPr>
          <w:rFonts w:ascii="Calibri" w:eastAsia="Times New Roman" w:hAnsi="Calibri" w:cs="Calibri"/>
          <w:lang w:eastAsia="en-GB"/>
        </w:rPr>
        <w:t xml:space="preserve">. 2013. ‘The Analysis of Reused Material Culture for Late Antique Studies’. In </w:t>
      </w:r>
      <w:r w:rsidR="001E5A73" w:rsidRPr="001E5A73">
        <w:rPr>
          <w:rFonts w:ascii="Calibri" w:eastAsia="Times New Roman" w:hAnsi="Calibri" w:cs="Calibri"/>
          <w:i/>
          <w:iCs/>
          <w:lang w:eastAsia="en-GB"/>
        </w:rPr>
        <w:t>Late Antique Archaeology 9: Field Methods and Post-Excavation Techniques in Late Antique Archaeology</w:t>
      </w:r>
      <w:r w:rsidR="001E5A73" w:rsidRPr="001E5A73">
        <w:rPr>
          <w:rFonts w:ascii="Calibri" w:eastAsia="Times New Roman" w:hAnsi="Calibri" w:cs="Calibri"/>
          <w:lang w:eastAsia="en-GB"/>
        </w:rPr>
        <w:t xml:space="preserve">, edited by L. </w:t>
      </w:r>
      <w:proofErr w:type="spellStart"/>
      <w:r w:rsidR="001E5A73" w:rsidRPr="001E5A73">
        <w:rPr>
          <w:rFonts w:ascii="Calibri" w:eastAsia="Times New Roman" w:hAnsi="Calibri" w:cs="Calibri"/>
          <w:lang w:eastAsia="en-GB"/>
        </w:rPr>
        <w:t>Lavan</w:t>
      </w:r>
      <w:proofErr w:type="spellEnd"/>
      <w:r w:rsidR="001E5A73" w:rsidRPr="001E5A73">
        <w:rPr>
          <w:rFonts w:ascii="Calibri" w:eastAsia="Times New Roman" w:hAnsi="Calibri" w:cs="Calibri"/>
          <w:lang w:eastAsia="en-GB"/>
        </w:rPr>
        <w:t>, 91</w:t>
      </w:r>
      <w:r w:rsidR="00893123" w:rsidRPr="001E5A73">
        <w:rPr>
          <w:rFonts w:ascii="Calibri" w:eastAsia="Times New Roman" w:hAnsi="Calibri" w:cs="Calibri"/>
          <w:lang w:eastAsia="en-GB"/>
        </w:rPr>
        <w:t>–</w:t>
      </w:r>
      <w:r w:rsidR="001E5A73" w:rsidRPr="001E5A73">
        <w:rPr>
          <w:rFonts w:ascii="Calibri" w:eastAsia="Times New Roman" w:hAnsi="Calibri" w:cs="Calibri"/>
          <w:lang w:eastAsia="en-GB"/>
        </w:rPr>
        <w:t>119. Leiden: Brill.</w:t>
      </w:r>
    </w:p>
    <w:p w14:paraId="72A25C69" w14:textId="659B4A9D"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Swift, E</w:t>
      </w:r>
      <w:r w:rsidR="001E5A73" w:rsidRPr="001E5A73">
        <w:rPr>
          <w:rFonts w:ascii="Calibri" w:eastAsia="Times New Roman" w:hAnsi="Calibri" w:cs="Calibri"/>
          <w:lang w:eastAsia="en-GB"/>
        </w:rPr>
        <w:t xml:space="preserve">. 2014. ‘Reuse of Glass, Pottery and Copper Alloy Objects in the Late to Post-Roman Transition Period in Britain’. In </w:t>
      </w:r>
      <w:r w:rsidR="001E5A73" w:rsidRPr="001E5A73">
        <w:rPr>
          <w:rFonts w:ascii="Calibri" w:eastAsia="Times New Roman" w:hAnsi="Calibri" w:cs="Calibri"/>
          <w:i/>
          <w:iCs/>
          <w:lang w:eastAsia="en-GB"/>
        </w:rPr>
        <w:t>A.D. 410: The History and Archaeology of Late and Post-Roman Britain</w:t>
      </w:r>
      <w:r w:rsidR="001E5A73" w:rsidRPr="001E5A73">
        <w:rPr>
          <w:rFonts w:ascii="Calibri" w:eastAsia="Times New Roman" w:hAnsi="Calibri" w:cs="Calibri"/>
          <w:lang w:eastAsia="en-GB"/>
        </w:rPr>
        <w:t>, edited by F. Haarer, 130–52. London: Society for the Promotion of Roman Studies.</w:t>
      </w:r>
    </w:p>
    <w:p w14:paraId="59C00FC5" w14:textId="536FF20A" w:rsidR="001E5A73" w:rsidRP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Swift, E</w:t>
      </w:r>
      <w:r w:rsidR="001E5A73" w:rsidRPr="001E5A73">
        <w:rPr>
          <w:rFonts w:ascii="Calibri" w:eastAsia="Times New Roman" w:hAnsi="Calibri" w:cs="Calibri"/>
          <w:lang w:eastAsia="en-GB"/>
        </w:rPr>
        <w:t xml:space="preserve">. 2017. </w:t>
      </w:r>
      <w:r w:rsidR="001E5A73" w:rsidRPr="001E5A73">
        <w:rPr>
          <w:rFonts w:ascii="Calibri" w:eastAsia="Times New Roman" w:hAnsi="Calibri" w:cs="Calibri"/>
          <w:i/>
          <w:iCs/>
          <w:lang w:eastAsia="en-GB"/>
        </w:rPr>
        <w:t>Roman Artefacts and Society: Design, Behaviour, and Experience</w:t>
      </w:r>
      <w:r w:rsidR="001E5A73" w:rsidRPr="001E5A73">
        <w:rPr>
          <w:rFonts w:ascii="Calibri" w:eastAsia="Times New Roman" w:hAnsi="Calibri" w:cs="Calibri"/>
          <w:lang w:eastAsia="en-GB"/>
        </w:rPr>
        <w:t>. Book, Whole. Oxford: Oxford University Press.</w:t>
      </w:r>
    </w:p>
    <w:p w14:paraId="3829DA80" w14:textId="75B309D8" w:rsid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Swift, E</w:t>
      </w:r>
      <w:r w:rsidR="001E5A73" w:rsidRPr="001E5A73">
        <w:rPr>
          <w:rFonts w:ascii="Calibri" w:eastAsia="Times New Roman" w:hAnsi="Calibri" w:cs="Calibri"/>
          <w:lang w:eastAsia="en-GB"/>
        </w:rPr>
        <w:t xml:space="preserve">. 2019. ‘Re-Evaluating the Quoit Brooch Style: Economic and Cultural Transformations in the Fifth Century A.D.’ </w:t>
      </w:r>
      <w:r w:rsidR="001E5A73" w:rsidRPr="001E5A73">
        <w:rPr>
          <w:rFonts w:ascii="Calibri" w:eastAsia="Times New Roman" w:hAnsi="Calibri" w:cs="Calibri"/>
          <w:i/>
          <w:iCs/>
          <w:lang w:eastAsia="en-GB"/>
        </w:rPr>
        <w:t>Medieval Archaeology</w:t>
      </w:r>
      <w:r w:rsidR="001E5A73" w:rsidRPr="001E5A73">
        <w:rPr>
          <w:rFonts w:ascii="Calibri" w:eastAsia="Times New Roman" w:hAnsi="Calibri" w:cs="Calibri"/>
          <w:lang w:eastAsia="en-GB"/>
        </w:rPr>
        <w:t xml:space="preserve"> 63 (1): 1–55.</w:t>
      </w:r>
    </w:p>
    <w:p w14:paraId="32136DD3" w14:textId="69C2E9B6" w:rsidR="00893123" w:rsidRPr="00893123" w:rsidRDefault="00893123"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 xml:space="preserve">Swift, E. 2000. </w:t>
      </w:r>
      <w:r w:rsidRPr="00893123">
        <w:rPr>
          <w:rFonts w:ascii="Calibri" w:eastAsia="Times New Roman" w:hAnsi="Calibri" w:cs="Calibri"/>
          <w:i/>
          <w:iCs/>
          <w:lang w:eastAsia="en-GB"/>
        </w:rPr>
        <w:t>Regionality in Dress Accessories in the Late Roman West</w:t>
      </w:r>
      <w:r>
        <w:rPr>
          <w:rFonts w:ascii="Calibri" w:eastAsia="Times New Roman" w:hAnsi="Calibri" w:cs="Calibri"/>
          <w:lang w:eastAsia="en-GB"/>
        </w:rPr>
        <w:t xml:space="preserve">. Monographies </w:t>
      </w:r>
      <w:proofErr w:type="spellStart"/>
      <w:r>
        <w:rPr>
          <w:rFonts w:ascii="Calibri" w:eastAsia="Times New Roman" w:hAnsi="Calibri" w:cs="Calibri"/>
          <w:lang w:eastAsia="en-GB"/>
        </w:rPr>
        <w:t>Instrumentum</w:t>
      </w:r>
      <w:proofErr w:type="spellEnd"/>
      <w:r>
        <w:rPr>
          <w:rFonts w:ascii="Calibri" w:eastAsia="Times New Roman" w:hAnsi="Calibri" w:cs="Calibri"/>
          <w:lang w:eastAsia="en-GB"/>
        </w:rPr>
        <w:t xml:space="preserve"> 11. </w:t>
      </w:r>
      <w:proofErr w:type="spellStart"/>
      <w:r>
        <w:rPr>
          <w:rFonts w:ascii="Calibri" w:eastAsia="Times New Roman" w:hAnsi="Calibri" w:cs="Calibri"/>
          <w:lang w:eastAsia="en-GB"/>
        </w:rPr>
        <w:t>Montagnac</w:t>
      </w:r>
      <w:proofErr w:type="spellEnd"/>
      <w:r>
        <w:rPr>
          <w:rFonts w:ascii="Calibri" w:eastAsia="Times New Roman" w:hAnsi="Calibri" w:cs="Calibri"/>
          <w:lang w:eastAsia="en-GB"/>
        </w:rPr>
        <w:t xml:space="preserve">: Monique </w:t>
      </w:r>
      <w:proofErr w:type="spellStart"/>
      <w:r>
        <w:rPr>
          <w:rFonts w:ascii="Calibri" w:eastAsia="Times New Roman" w:hAnsi="Calibri" w:cs="Calibri"/>
          <w:lang w:eastAsia="en-GB"/>
        </w:rPr>
        <w:t>Mergoil</w:t>
      </w:r>
      <w:proofErr w:type="spellEnd"/>
      <w:r>
        <w:rPr>
          <w:rFonts w:ascii="Calibri" w:eastAsia="Times New Roman" w:hAnsi="Calibri" w:cs="Calibri"/>
          <w:lang w:eastAsia="en-GB"/>
        </w:rPr>
        <w:t>.</w:t>
      </w:r>
    </w:p>
    <w:p w14:paraId="38B0237D" w14:textId="5FC36DD1" w:rsidR="001E5A73" w:rsidRDefault="002B1EA9" w:rsidP="002B1EA9">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Swift, E</w:t>
      </w:r>
      <w:r w:rsidR="001E5A73" w:rsidRPr="001E5A73">
        <w:rPr>
          <w:rFonts w:ascii="Calibri" w:eastAsia="Times New Roman" w:hAnsi="Calibri" w:cs="Calibri"/>
          <w:lang w:eastAsia="en-GB"/>
        </w:rPr>
        <w:t xml:space="preserve">. 2022. ‘Materiality and Object Design: Perspectives from Artefacts’. In </w:t>
      </w:r>
      <w:r w:rsidR="001E5A73" w:rsidRPr="001E5A73">
        <w:rPr>
          <w:rFonts w:ascii="Calibri" w:eastAsia="Times New Roman" w:hAnsi="Calibri" w:cs="Calibri"/>
          <w:i/>
          <w:iCs/>
          <w:lang w:eastAsia="en-GB"/>
        </w:rPr>
        <w:t>Materiality as Decor: Aesthetics, Semantics, and Function</w:t>
      </w:r>
      <w:r w:rsidR="001E5A73" w:rsidRPr="001E5A73">
        <w:rPr>
          <w:rFonts w:ascii="Calibri" w:eastAsia="Times New Roman" w:hAnsi="Calibri" w:cs="Calibri"/>
          <w:lang w:eastAsia="en-GB"/>
        </w:rPr>
        <w:t>, edited by A. Haug and A. Hielscher, 203–22. Berlin: De Gruyter.</w:t>
      </w:r>
    </w:p>
    <w:p w14:paraId="62F348AF" w14:textId="2A3E42E6" w:rsidR="004C4D87" w:rsidRDefault="004C4D87" w:rsidP="004C4D87">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t>Walton, P. 2011</w:t>
      </w:r>
      <w:r w:rsidR="004D1863">
        <w:rPr>
          <w:rFonts w:ascii="Calibri" w:eastAsia="Times New Roman" w:hAnsi="Calibri" w:cs="Calibri"/>
          <w:lang w:eastAsia="en-GB"/>
        </w:rPr>
        <w:t>.</w:t>
      </w:r>
      <w:r>
        <w:rPr>
          <w:rFonts w:ascii="Calibri" w:eastAsia="Times New Roman" w:hAnsi="Calibri" w:cs="Calibri"/>
          <w:lang w:eastAsia="en-GB"/>
        </w:rPr>
        <w:t xml:space="preserve"> </w:t>
      </w:r>
      <w:r w:rsidRPr="004C4D87">
        <w:rPr>
          <w:rFonts w:ascii="Calibri" w:eastAsia="Times New Roman" w:hAnsi="Calibri" w:cs="Calibri"/>
          <w:lang w:eastAsia="en-GB"/>
        </w:rPr>
        <w:t xml:space="preserve"> </w:t>
      </w:r>
      <w:r w:rsidRPr="004C4D87">
        <w:rPr>
          <w:rFonts w:ascii="Calibri" w:eastAsia="Times New Roman" w:hAnsi="Calibri" w:cs="Calibri"/>
          <w:i/>
          <w:iCs/>
          <w:lang w:eastAsia="en-GB"/>
        </w:rPr>
        <w:t>Rethinking Roman Britain: An Applied Numismatic Analysis of the Roman Coin Data Recorded by the Portable Antiquities Scheme</w:t>
      </w:r>
      <w:r>
        <w:rPr>
          <w:rFonts w:ascii="Calibri" w:eastAsia="Times New Roman" w:hAnsi="Calibri" w:cs="Calibri"/>
          <w:lang w:eastAsia="en-GB"/>
        </w:rPr>
        <w:t>, PhD thesis, University College London.</w:t>
      </w:r>
    </w:p>
    <w:p w14:paraId="2ADD419C" w14:textId="0E14C835" w:rsidR="004D1863" w:rsidRPr="004D1863" w:rsidRDefault="004D1863" w:rsidP="004C4D87">
      <w:pPr>
        <w:spacing w:after="0" w:line="240" w:lineRule="auto"/>
        <w:ind w:left="480" w:hanging="480"/>
        <w:rPr>
          <w:rFonts w:ascii="Calibri" w:eastAsia="Times New Roman" w:hAnsi="Calibri" w:cs="Calibri"/>
          <w:lang w:eastAsia="en-GB"/>
        </w:rPr>
      </w:pPr>
      <w:r>
        <w:rPr>
          <w:rFonts w:ascii="Calibri" w:eastAsia="Times New Roman" w:hAnsi="Calibri" w:cs="Calibri"/>
          <w:lang w:eastAsia="en-GB"/>
        </w:rPr>
        <w:lastRenderedPageBreak/>
        <w:t xml:space="preserve">Welch, M. 1983. </w:t>
      </w:r>
      <w:r>
        <w:rPr>
          <w:rFonts w:ascii="Calibri" w:eastAsia="Times New Roman" w:hAnsi="Calibri" w:cs="Calibri"/>
          <w:i/>
          <w:iCs/>
          <w:lang w:eastAsia="en-GB"/>
        </w:rPr>
        <w:t xml:space="preserve">Anglo-Saxon Sussex. </w:t>
      </w:r>
      <w:r>
        <w:rPr>
          <w:rFonts w:ascii="Calibri" w:eastAsia="Times New Roman" w:hAnsi="Calibri" w:cs="Calibri"/>
          <w:lang w:eastAsia="en-GB"/>
        </w:rPr>
        <w:t>British Archaeological Reports</w:t>
      </w:r>
      <w:r w:rsidR="0077595A">
        <w:rPr>
          <w:rFonts w:ascii="Calibri" w:eastAsia="Times New Roman" w:hAnsi="Calibri" w:cs="Calibri"/>
          <w:lang w:eastAsia="en-GB"/>
        </w:rPr>
        <w:t xml:space="preserve"> (British Series)</w:t>
      </w:r>
      <w:r>
        <w:rPr>
          <w:rFonts w:ascii="Calibri" w:eastAsia="Times New Roman" w:hAnsi="Calibri" w:cs="Calibri"/>
          <w:lang w:eastAsia="en-GB"/>
        </w:rPr>
        <w:t xml:space="preserve"> 112. Oxford: </w:t>
      </w:r>
      <w:proofErr w:type="spellStart"/>
      <w:r>
        <w:rPr>
          <w:rFonts w:ascii="Calibri" w:eastAsia="Times New Roman" w:hAnsi="Calibri" w:cs="Calibri"/>
          <w:lang w:eastAsia="en-GB"/>
        </w:rPr>
        <w:t>Archaeopress</w:t>
      </w:r>
      <w:proofErr w:type="spellEnd"/>
      <w:r>
        <w:rPr>
          <w:rFonts w:ascii="Calibri" w:eastAsia="Times New Roman" w:hAnsi="Calibri" w:cs="Calibri"/>
          <w:lang w:eastAsia="en-GB"/>
        </w:rPr>
        <w:t>.</w:t>
      </w:r>
    </w:p>
    <w:p w14:paraId="584E34B8" w14:textId="77777777" w:rsidR="001E5A73" w:rsidRPr="001E5A73" w:rsidRDefault="001E5A73" w:rsidP="002B1EA9">
      <w:pPr>
        <w:spacing w:after="0" w:line="240" w:lineRule="auto"/>
        <w:ind w:left="480" w:hanging="480"/>
        <w:rPr>
          <w:rFonts w:ascii="Calibri" w:eastAsia="Times New Roman" w:hAnsi="Calibri" w:cs="Calibri"/>
          <w:lang w:eastAsia="en-GB"/>
        </w:rPr>
      </w:pPr>
      <w:r w:rsidRPr="001E5A73">
        <w:rPr>
          <w:rFonts w:ascii="Calibri" w:eastAsia="Times New Roman" w:hAnsi="Calibri" w:cs="Calibri"/>
          <w:lang w:eastAsia="en-GB"/>
        </w:rPr>
        <w:t xml:space="preserve">White, R. H. 1988. </w:t>
      </w:r>
      <w:r w:rsidRPr="001E5A73">
        <w:rPr>
          <w:rFonts w:ascii="Calibri" w:eastAsia="Times New Roman" w:hAnsi="Calibri" w:cs="Calibri"/>
          <w:i/>
          <w:iCs/>
          <w:lang w:eastAsia="en-GB"/>
        </w:rPr>
        <w:t>Roman and Celtic Objects from Anglo-Saxon Graves: A Catalogue and an Interpretation of Their Use</w:t>
      </w:r>
      <w:r w:rsidRPr="001E5A73">
        <w:rPr>
          <w:rFonts w:ascii="Calibri" w:eastAsia="Times New Roman" w:hAnsi="Calibri" w:cs="Calibri"/>
          <w:lang w:eastAsia="en-GB"/>
        </w:rPr>
        <w:t xml:space="preserve">. British Archaeological Reports 191. Oxford: </w:t>
      </w:r>
      <w:proofErr w:type="spellStart"/>
      <w:r w:rsidRPr="001E5A73">
        <w:rPr>
          <w:rFonts w:ascii="Calibri" w:eastAsia="Times New Roman" w:hAnsi="Calibri" w:cs="Calibri"/>
          <w:lang w:eastAsia="en-GB"/>
        </w:rPr>
        <w:t>Archaeopress</w:t>
      </w:r>
      <w:proofErr w:type="spellEnd"/>
      <w:r w:rsidRPr="001E5A73">
        <w:rPr>
          <w:rFonts w:ascii="Calibri" w:eastAsia="Times New Roman" w:hAnsi="Calibri" w:cs="Calibri"/>
          <w:lang w:eastAsia="en-GB"/>
        </w:rPr>
        <w:t>.</w:t>
      </w:r>
    </w:p>
    <w:p w14:paraId="4B496D88" w14:textId="77777777" w:rsidR="001E5A73" w:rsidRDefault="001E5A73" w:rsidP="001E5A73"/>
    <w:p w14:paraId="2C681C40" w14:textId="77777777" w:rsidR="00573DA9" w:rsidRPr="00CF0992" w:rsidRDefault="00573DA9" w:rsidP="00573DA9">
      <w:pPr>
        <w:spacing w:after="0" w:line="240" w:lineRule="auto"/>
        <w:rPr>
          <w:rFonts w:eastAsia="Times New Roman" w:cstheme="minorHAnsi"/>
          <w:lang w:eastAsia="en-GB"/>
        </w:rPr>
      </w:pPr>
    </w:p>
    <w:p w14:paraId="001FDEFA" w14:textId="21644F7C" w:rsidR="00573DA9" w:rsidRDefault="000E06C7" w:rsidP="00EF60A8">
      <w:pPr>
        <w:shd w:val="clear" w:color="auto" w:fill="FFFFFF"/>
        <w:spacing w:after="150" w:line="240" w:lineRule="auto"/>
        <w:rPr>
          <w:rFonts w:eastAsia="Times New Roman" w:cstheme="minorHAnsi"/>
          <w:color w:val="000000"/>
          <w:lang w:eastAsia="en-GB"/>
        </w:rPr>
      </w:pPr>
      <w:r>
        <w:rPr>
          <w:rFonts w:eastAsia="Times New Roman" w:cstheme="minorHAnsi"/>
          <w:color w:val="000000"/>
          <w:lang w:eastAsia="en-GB"/>
        </w:rPr>
        <w:t>List of Figures &amp; figure captions</w:t>
      </w:r>
    </w:p>
    <w:p w14:paraId="4FA223A8" w14:textId="5179048F" w:rsidR="000E06C7" w:rsidRPr="004147EC" w:rsidRDefault="000E06C7" w:rsidP="000E06C7">
      <w:pPr>
        <w:autoSpaceDE w:val="0"/>
        <w:autoSpaceDN w:val="0"/>
        <w:adjustRightInd w:val="0"/>
        <w:rPr>
          <w:rFonts w:cstheme="minorHAnsi"/>
        </w:rPr>
      </w:pPr>
      <w:r w:rsidRPr="004147EC">
        <w:rPr>
          <w:rFonts w:cstheme="minorHAnsi"/>
        </w:rPr>
        <w:t>FIGURE 1A</w:t>
      </w:r>
      <w:r w:rsidR="00E57D3C">
        <w:rPr>
          <w:rFonts w:cstheme="minorHAnsi"/>
        </w:rPr>
        <w:t>-B</w:t>
      </w:r>
      <w:r w:rsidRPr="004147EC">
        <w:rPr>
          <w:rFonts w:cstheme="minorHAnsi"/>
        </w:rPr>
        <w:t xml:space="preserve"> belt fitting </w:t>
      </w:r>
      <w:r w:rsidR="00E57D3C">
        <w:rPr>
          <w:rFonts w:cstheme="minorHAnsi"/>
        </w:rPr>
        <w:t xml:space="preserve">from </w:t>
      </w:r>
      <w:proofErr w:type="spellStart"/>
      <w:r w:rsidR="00E57D3C" w:rsidRPr="004147EC">
        <w:rPr>
          <w:rFonts w:cstheme="minorHAnsi"/>
        </w:rPr>
        <w:t>Highdown</w:t>
      </w:r>
      <w:proofErr w:type="spellEnd"/>
      <w:r w:rsidR="00E57D3C" w:rsidRPr="004147EC">
        <w:rPr>
          <w:rFonts w:cstheme="minorHAnsi"/>
        </w:rPr>
        <w:t xml:space="preserve"> grave 34</w:t>
      </w:r>
      <w:r w:rsidR="00E57D3C">
        <w:rPr>
          <w:rFonts w:cstheme="minorHAnsi"/>
        </w:rPr>
        <w:t>, Sussex, England</w:t>
      </w:r>
      <w:r w:rsidR="00E57D3C" w:rsidRPr="004147EC">
        <w:rPr>
          <w:rFonts w:cstheme="minorHAnsi"/>
        </w:rPr>
        <w:t xml:space="preserve"> </w:t>
      </w:r>
      <w:r w:rsidRPr="004147EC">
        <w:rPr>
          <w:rFonts w:cstheme="minorHAnsi"/>
        </w:rPr>
        <w:t>(buckle frame gunmetal, plate (back) brass/gunmetal, straps between frame and plate bronze</w:t>
      </w:r>
      <w:r w:rsidR="00E57D3C">
        <w:rPr>
          <w:rFonts w:cstheme="minorHAnsi"/>
        </w:rPr>
        <w:t>), compared to b</w:t>
      </w:r>
      <w:r w:rsidR="00E57D3C" w:rsidRPr="004147EC">
        <w:rPr>
          <w:rFonts w:cstheme="minorHAnsi"/>
        </w:rPr>
        <w:t>elt set from Pont-de-Buis-les-</w:t>
      </w:r>
      <w:proofErr w:type="spellStart"/>
      <w:r w:rsidR="00E57D3C" w:rsidRPr="004147EC">
        <w:rPr>
          <w:rFonts w:cstheme="minorHAnsi"/>
        </w:rPr>
        <w:t>Quimerch</w:t>
      </w:r>
      <w:proofErr w:type="spellEnd"/>
      <w:r w:rsidR="00E57D3C" w:rsidRPr="004147EC">
        <w:rPr>
          <w:rFonts w:cstheme="minorHAnsi"/>
        </w:rPr>
        <w:t xml:space="preserve">, </w:t>
      </w:r>
      <w:r w:rsidR="00E57D3C">
        <w:rPr>
          <w:rFonts w:cstheme="minorHAnsi"/>
        </w:rPr>
        <w:t>Brittany, France.</w:t>
      </w:r>
      <w:r w:rsidRPr="004147EC">
        <w:rPr>
          <w:rFonts w:cstheme="minorHAnsi"/>
        </w:rPr>
        <w:t xml:space="preserve"> </w:t>
      </w:r>
      <w:r w:rsidR="00E57D3C">
        <w:rPr>
          <w:rFonts w:cstheme="minorHAnsi"/>
        </w:rPr>
        <w:t xml:space="preserve">1A: </w:t>
      </w:r>
      <w:r w:rsidRPr="004147EC">
        <w:rPr>
          <w:rFonts w:cstheme="minorHAnsi"/>
        </w:rPr>
        <w:t xml:space="preserve">Photo author, edited by Lloyd Bosworth, </w:t>
      </w:r>
      <w:r w:rsidR="00AC5524">
        <w:rPr>
          <w:rFonts w:cstheme="minorHAnsi"/>
        </w:rPr>
        <w:t xml:space="preserve">courtesy of Worthing Museum and Art Gallery </w:t>
      </w:r>
      <w:r w:rsidRPr="004147EC">
        <w:rPr>
          <w:rFonts w:cstheme="minorHAnsi"/>
        </w:rPr>
        <w:t>(acc. no. 3433).</w:t>
      </w:r>
      <w:r w:rsidR="00E57D3C">
        <w:rPr>
          <w:rFonts w:cstheme="minorHAnsi"/>
        </w:rPr>
        <w:t xml:space="preserve"> 1B:</w:t>
      </w:r>
      <w:r w:rsidR="00E57D3C" w:rsidRPr="00E57D3C">
        <w:rPr>
          <w:rFonts w:cstheme="minorHAnsi"/>
        </w:rPr>
        <w:t xml:space="preserve"> </w:t>
      </w:r>
      <w:r w:rsidR="00E57D3C" w:rsidRPr="004147EC">
        <w:rPr>
          <w:rFonts w:cstheme="minorHAnsi"/>
        </w:rPr>
        <w:t>Redrawn by Lloyd Bosworth after Böhme 1986, Abb. 48.</w:t>
      </w:r>
    </w:p>
    <w:p w14:paraId="189283DF" w14:textId="514B92D4" w:rsidR="00F97AE6" w:rsidRPr="00CF0992" w:rsidRDefault="00F97AE6" w:rsidP="00F97AE6">
      <w:pPr>
        <w:rPr>
          <w:rFonts w:cstheme="minorHAnsi"/>
        </w:rPr>
      </w:pPr>
      <w:r>
        <w:rPr>
          <w:rFonts w:cstheme="minorHAnsi"/>
        </w:rPr>
        <w:t>FIGURE 2</w:t>
      </w:r>
      <w:r w:rsidR="004C4D87">
        <w:rPr>
          <w:rFonts w:cstheme="minorHAnsi"/>
        </w:rPr>
        <w:t>A-B Percentage of pierced coins in each Reece period</w:t>
      </w:r>
      <w:r w:rsidR="00AF27E8">
        <w:rPr>
          <w:rFonts w:cstheme="minorHAnsi"/>
        </w:rPr>
        <w:t>,</w:t>
      </w:r>
      <w:r w:rsidR="00466973">
        <w:rPr>
          <w:rFonts w:cstheme="minorHAnsi"/>
        </w:rPr>
        <w:t xml:space="preserve"> </w:t>
      </w:r>
      <w:r w:rsidR="00AF27E8">
        <w:rPr>
          <w:rFonts w:eastAsia="Times New Roman" w:cstheme="minorHAnsi"/>
          <w:color w:val="000000"/>
          <w:lang w:eastAsia="en-GB"/>
        </w:rPr>
        <w:t>using dataset of pierced coins (verified records only) from Portable Antiquities data</w:t>
      </w:r>
      <w:r w:rsidR="00466973">
        <w:rPr>
          <w:rFonts w:eastAsia="Times New Roman" w:cstheme="minorHAnsi"/>
          <w:color w:val="000000"/>
          <w:lang w:eastAsia="en-GB"/>
        </w:rPr>
        <w:t>,</w:t>
      </w:r>
      <w:r w:rsidR="00AF27E8">
        <w:rPr>
          <w:rFonts w:eastAsia="Times New Roman" w:cstheme="minorHAnsi"/>
          <w:color w:val="000000"/>
          <w:lang w:eastAsia="en-GB"/>
        </w:rPr>
        <w:t xml:space="preserve"> </w:t>
      </w:r>
      <w:r w:rsidR="004C4D87">
        <w:rPr>
          <w:rFonts w:cstheme="minorHAnsi"/>
        </w:rPr>
        <w:t xml:space="preserve">compared to Walton’s British Mean excluding </w:t>
      </w:r>
      <w:proofErr w:type="spellStart"/>
      <w:r w:rsidR="004C4D87">
        <w:rPr>
          <w:rFonts w:cstheme="minorHAnsi"/>
        </w:rPr>
        <w:t>Richborough</w:t>
      </w:r>
      <w:proofErr w:type="spellEnd"/>
      <w:r w:rsidR="004C4D87">
        <w:rPr>
          <w:rFonts w:cstheme="minorHAnsi"/>
        </w:rPr>
        <w:t xml:space="preserve"> (data from Walton 2011, Table 7).</w:t>
      </w:r>
    </w:p>
    <w:p w14:paraId="0E965E35" w14:textId="3299ACC3" w:rsidR="00724ED6" w:rsidRDefault="00F97AE6" w:rsidP="00724ED6">
      <w:r>
        <w:rPr>
          <w:rFonts w:eastAsia="Times New Roman" w:cstheme="minorHAnsi"/>
          <w:color w:val="000000"/>
          <w:lang w:eastAsia="en-GB"/>
        </w:rPr>
        <w:t xml:space="preserve">FIGURE 3 Position of piercings on coins of different </w:t>
      </w:r>
      <w:r w:rsidR="00724ED6">
        <w:rPr>
          <w:rFonts w:eastAsia="Times New Roman" w:cstheme="minorHAnsi"/>
          <w:color w:val="000000"/>
          <w:lang w:eastAsia="en-GB"/>
        </w:rPr>
        <w:t>Reece</w:t>
      </w:r>
      <w:r>
        <w:rPr>
          <w:rFonts w:eastAsia="Times New Roman" w:cstheme="minorHAnsi"/>
          <w:color w:val="000000"/>
          <w:lang w:eastAsia="en-GB"/>
        </w:rPr>
        <w:t xml:space="preserve"> periods</w:t>
      </w:r>
      <w:r w:rsidR="00724ED6">
        <w:rPr>
          <w:rFonts w:eastAsia="Times New Roman" w:cstheme="minorHAnsi"/>
          <w:color w:val="000000"/>
          <w:lang w:eastAsia="en-GB"/>
        </w:rPr>
        <w:t xml:space="preserve"> </w:t>
      </w:r>
      <w:r w:rsidR="00724ED6">
        <w:t>(in conventional groupings)</w:t>
      </w:r>
      <w:r>
        <w:rPr>
          <w:rFonts w:eastAsia="Times New Roman" w:cstheme="minorHAnsi"/>
          <w:color w:val="000000"/>
          <w:lang w:eastAsia="en-GB"/>
        </w:rPr>
        <w:t xml:space="preserve">, </w:t>
      </w:r>
      <w:r w:rsidR="00AF27E8">
        <w:rPr>
          <w:rFonts w:eastAsia="Times New Roman" w:cstheme="minorHAnsi"/>
          <w:color w:val="000000"/>
          <w:lang w:eastAsia="en-GB"/>
        </w:rPr>
        <w:t xml:space="preserve">using dataset of pierced coins (verified records only) from </w:t>
      </w:r>
      <w:r>
        <w:rPr>
          <w:rFonts w:eastAsia="Times New Roman" w:cstheme="minorHAnsi"/>
          <w:color w:val="000000"/>
          <w:lang w:eastAsia="en-GB"/>
        </w:rPr>
        <w:t>Portable Antiquities</w:t>
      </w:r>
      <w:r w:rsidR="00AF27E8">
        <w:rPr>
          <w:rFonts w:eastAsia="Times New Roman" w:cstheme="minorHAnsi"/>
          <w:color w:val="000000"/>
          <w:lang w:eastAsia="en-GB"/>
        </w:rPr>
        <w:t xml:space="preserve"> data</w:t>
      </w:r>
      <w:r w:rsidR="00466973">
        <w:rPr>
          <w:rFonts w:eastAsia="Times New Roman" w:cstheme="minorHAnsi"/>
          <w:color w:val="000000"/>
          <w:lang w:eastAsia="en-GB"/>
        </w:rPr>
        <w:t>.</w:t>
      </w:r>
    </w:p>
    <w:p w14:paraId="4FC9E5EF" w14:textId="77777777" w:rsidR="00063215" w:rsidRDefault="00063215" w:rsidP="00063215">
      <w:pPr>
        <w:autoSpaceDE w:val="0"/>
        <w:autoSpaceDN w:val="0"/>
        <w:adjustRightInd w:val="0"/>
        <w:rPr>
          <w:rFonts w:cstheme="minorHAnsi"/>
        </w:rPr>
      </w:pPr>
      <w:r>
        <w:rPr>
          <w:rFonts w:cstheme="minorHAnsi"/>
        </w:rPr>
        <w:t xml:space="preserve">FIGURE 4 Examples of coins </w:t>
      </w:r>
      <w:r w:rsidRPr="00CF0992">
        <w:rPr>
          <w:rFonts w:cstheme="minorHAnsi"/>
        </w:rPr>
        <w:t>pierced for suspension</w:t>
      </w:r>
      <w:r>
        <w:rPr>
          <w:rFonts w:cstheme="minorHAnsi"/>
        </w:rPr>
        <w:t>:</w:t>
      </w:r>
    </w:p>
    <w:p w14:paraId="0F86D945" w14:textId="77777777" w:rsidR="00063215" w:rsidRDefault="00063215" w:rsidP="00063215">
      <w:pPr>
        <w:autoSpaceDE w:val="0"/>
        <w:autoSpaceDN w:val="0"/>
        <w:adjustRightInd w:val="0"/>
        <w:rPr>
          <w:rFonts w:cstheme="minorHAnsi"/>
        </w:rPr>
      </w:pPr>
      <w:r>
        <w:rPr>
          <w:rFonts w:cstheme="minorHAnsi"/>
        </w:rPr>
        <w:t xml:space="preserve">Portable Antiquities Scheme </w:t>
      </w:r>
      <w:r w:rsidRPr="002113F3">
        <w:rPr>
          <w:rFonts w:cstheme="minorHAnsi"/>
        </w:rPr>
        <w:t>SUR-0AD1D0</w:t>
      </w:r>
      <w:r>
        <w:rPr>
          <w:rFonts w:cstheme="minorHAnsi"/>
        </w:rPr>
        <w:t xml:space="preserve"> from Waltham St. Lawrence, Surrey. Surrey County Council, Creative Commons licence CC-BY 2.0,  </w:t>
      </w:r>
      <w:hyperlink r:id="rId11" w:history="1">
        <w:r w:rsidRPr="00E12244">
          <w:rPr>
            <w:rStyle w:val="Hyperlink"/>
            <w:rFonts w:cstheme="minorHAnsi"/>
          </w:rPr>
          <w:t>https://creativecommons.org/licenses/by/2.0/</w:t>
        </w:r>
      </w:hyperlink>
      <w:r>
        <w:rPr>
          <w:rFonts w:cstheme="minorHAnsi"/>
        </w:rPr>
        <w:t xml:space="preserve"> [position top left]</w:t>
      </w:r>
    </w:p>
    <w:p w14:paraId="4349DE91" w14:textId="77777777" w:rsidR="00063215" w:rsidRDefault="00063215" w:rsidP="00063215">
      <w:pPr>
        <w:autoSpaceDE w:val="0"/>
        <w:autoSpaceDN w:val="0"/>
        <w:adjustRightInd w:val="0"/>
        <w:rPr>
          <w:rFonts w:cstheme="minorHAnsi"/>
        </w:rPr>
      </w:pPr>
      <w:r>
        <w:rPr>
          <w:rFonts w:cstheme="minorHAnsi"/>
        </w:rPr>
        <w:t xml:space="preserve">Portable Antiquities Scheme </w:t>
      </w:r>
      <w:r w:rsidRPr="002113F3">
        <w:rPr>
          <w:rFonts w:cstheme="minorHAnsi"/>
        </w:rPr>
        <w:t>BM-EA8D87</w:t>
      </w:r>
      <w:r>
        <w:rPr>
          <w:rFonts w:cstheme="minorHAnsi"/>
        </w:rPr>
        <w:t xml:space="preserve"> from the Huntingdon area, Cambridgeshire. British Museum, Creative Commons licence CC-BY 2.0,  </w:t>
      </w:r>
      <w:hyperlink r:id="rId12" w:history="1">
        <w:r w:rsidRPr="00E12244">
          <w:rPr>
            <w:rStyle w:val="Hyperlink"/>
            <w:rFonts w:cstheme="minorHAnsi"/>
          </w:rPr>
          <w:t>https://creativecommons.org/licenses/by/2.0/</w:t>
        </w:r>
      </w:hyperlink>
      <w:r>
        <w:rPr>
          <w:rFonts w:cstheme="minorHAnsi"/>
        </w:rPr>
        <w:t xml:space="preserve"> [position top right]</w:t>
      </w:r>
    </w:p>
    <w:p w14:paraId="03EC4ADA" w14:textId="77777777" w:rsidR="00063215" w:rsidRDefault="00063215" w:rsidP="00063215">
      <w:pPr>
        <w:autoSpaceDE w:val="0"/>
        <w:autoSpaceDN w:val="0"/>
        <w:adjustRightInd w:val="0"/>
        <w:rPr>
          <w:rFonts w:cstheme="minorHAnsi"/>
        </w:rPr>
      </w:pPr>
      <w:r>
        <w:rPr>
          <w:rFonts w:cstheme="minorHAnsi"/>
        </w:rPr>
        <w:t xml:space="preserve">Portable Antiquities Scheme </w:t>
      </w:r>
      <w:r w:rsidRPr="002113F3">
        <w:rPr>
          <w:rFonts w:cstheme="minorHAnsi"/>
        </w:rPr>
        <w:t>BM-96463B</w:t>
      </w:r>
      <w:r>
        <w:rPr>
          <w:rFonts w:cstheme="minorHAnsi"/>
        </w:rPr>
        <w:t xml:space="preserve"> from Kingston Deverill, Wiltshire. British Museum, Creative Commons licence CC-BY 2.0,  </w:t>
      </w:r>
      <w:hyperlink r:id="rId13" w:history="1">
        <w:r w:rsidRPr="00E12244">
          <w:rPr>
            <w:rStyle w:val="Hyperlink"/>
            <w:rFonts w:cstheme="minorHAnsi"/>
          </w:rPr>
          <w:t>https://creativecommons.org/licenses/by/2.0/</w:t>
        </w:r>
      </w:hyperlink>
      <w:r>
        <w:rPr>
          <w:rFonts w:cstheme="minorHAnsi"/>
        </w:rPr>
        <w:t xml:space="preserve"> [position bottom left]</w:t>
      </w:r>
    </w:p>
    <w:p w14:paraId="1B004F6F" w14:textId="77777777" w:rsidR="00063215" w:rsidRDefault="00063215" w:rsidP="00063215">
      <w:pPr>
        <w:autoSpaceDE w:val="0"/>
        <w:autoSpaceDN w:val="0"/>
        <w:adjustRightInd w:val="0"/>
        <w:rPr>
          <w:rFonts w:cstheme="minorHAnsi"/>
        </w:rPr>
      </w:pPr>
      <w:r>
        <w:rPr>
          <w:rFonts w:cstheme="minorHAnsi"/>
        </w:rPr>
        <w:t xml:space="preserve">Portable Antiquities Scheme </w:t>
      </w:r>
      <w:r w:rsidRPr="005C6417">
        <w:rPr>
          <w:rFonts w:cstheme="minorHAnsi"/>
        </w:rPr>
        <w:t>SUSS-0AA373</w:t>
      </w:r>
      <w:r>
        <w:rPr>
          <w:rFonts w:cstheme="minorHAnsi"/>
        </w:rPr>
        <w:t xml:space="preserve">, from. Sussex Archaeological Society, Creative Commons licence </w:t>
      </w:r>
      <w:r w:rsidRPr="0075737A">
        <w:rPr>
          <w:rFonts w:cstheme="minorHAnsi"/>
        </w:rPr>
        <w:t>CC BY-SA 4</w:t>
      </w:r>
      <w:r>
        <w:rPr>
          <w:rFonts w:cstheme="minorHAnsi"/>
        </w:rPr>
        <w:t xml:space="preserve">.0., </w:t>
      </w:r>
      <w:hyperlink r:id="rId14" w:history="1">
        <w:r w:rsidRPr="00B80D1F">
          <w:rPr>
            <w:rStyle w:val="Hyperlink"/>
            <w:rFonts w:cstheme="minorHAnsi"/>
          </w:rPr>
          <w:t>https://creativecommons.org/licenses/by-sa/4.0/deed.en</w:t>
        </w:r>
      </w:hyperlink>
      <w:r>
        <w:rPr>
          <w:rFonts w:cstheme="minorHAnsi"/>
        </w:rPr>
        <w:t xml:space="preserve">  [position bottom right] </w:t>
      </w:r>
    </w:p>
    <w:p w14:paraId="7BEB95FF" w14:textId="0F0F5D48" w:rsidR="00063215" w:rsidRDefault="00063215" w:rsidP="00063215">
      <w:pPr>
        <w:autoSpaceDE w:val="0"/>
        <w:autoSpaceDN w:val="0"/>
        <w:adjustRightInd w:val="0"/>
        <w:rPr>
          <w:rFonts w:cstheme="minorHAnsi"/>
        </w:rPr>
      </w:pPr>
      <w:r>
        <w:rPr>
          <w:rFonts w:cstheme="minorHAnsi"/>
        </w:rPr>
        <w:t>FIGURE 5 Examples of different types of piercings on coins</w:t>
      </w:r>
      <w:r w:rsidR="00E57D3C">
        <w:rPr>
          <w:rFonts w:cstheme="minorHAnsi"/>
        </w:rPr>
        <w:t>:</w:t>
      </w:r>
    </w:p>
    <w:p w14:paraId="17E65DFC" w14:textId="494DC465" w:rsidR="00063215" w:rsidRDefault="00063215" w:rsidP="00063215">
      <w:pPr>
        <w:autoSpaceDE w:val="0"/>
        <w:autoSpaceDN w:val="0"/>
        <w:adjustRightInd w:val="0"/>
        <w:rPr>
          <w:rFonts w:cstheme="minorHAnsi"/>
        </w:rPr>
      </w:pPr>
      <w:r>
        <w:rPr>
          <w:rFonts w:cstheme="minorHAnsi"/>
        </w:rPr>
        <w:t xml:space="preserve">Portable Antiquities Scheme </w:t>
      </w:r>
      <w:r w:rsidRPr="0075737A">
        <w:rPr>
          <w:rFonts w:cstheme="minorHAnsi"/>
        </w:rPr>
        <w:t>BH-EE6A97 Houghton Conquest</w:t>
      </w:r>
      <w:r>
        <w:rPr>
          <w:rFonts w:cstheme="minorHAnsi"/>
        </w:rPr>
        <w:t>,</w:t>
      </w:r>
      <w:r w:rsidRPr="0075737A">
        <w:rPr>
          <w:rFonts w:cstheme="minorHAnsi"/>
        </w:rPr>
        <w:t xml:space="preserve"> Bed</w:t>
      </w:r>
      <w:r>
        <w:rPr>
          <w:rFonts w:cstheme="minorHAnsi"/>
        </w:rPr>
        <w:t>ford</w:t>
      </w:r>
      <w:r w:rsidRPr="0075737A">
        <w:rPr>
          <w:rFonts w:cstheme="minorHAnsi"/>
        </w:rPr>
        <w:t>s</w:t>
      </w:r>
      <w:r>
        <w:rPr>
          <w:rFonts w:cstheme="minorHAnsi"/>
        </w:rPr>
        <w:t>hire.</w:t>
      </w:r>
      <w:r w:rsidRPr="0075737A">
        <w:rPr>
          <w:rFonts w:cstheme="minorHAnsi"/>
        </w:rPr>
        <w:t xml:space="preserve"> No right holder </w:t>
      </w:r>
      <w:r>
        <w:rPr>
          <w:rFonts w:cstheme="minorHAnsi"/>
        </w:rPr>
        <w:t>specified,</w:t>
      </w:r>
      <w:r w:rsidRPr="0075737A">
        <w:rPr>
          <w:rFonts w:cstheme="minorHAnsi"/>
        </w:rPr>
        <w:t xml:space="preserve"> CC BY-SA 4.0</w:t>
      </w:r>
      <w:r>
        <w:rPr>
          <w:rFonts w:cstheme="minorHAnsi"/>
        </w:rPr>
        <w:t>.</w:t>
      </w:r>
      <w:r w:rsidR="00466973" w:rsidRPr="00466973">
        <w:rPr>
          <w:rFonts w:cstheme="minorHAnsi"/>
        </w:rPr>
        <w:t xml:space="preserve"> </w:t>
      </w:r>
      <w:r w:rsidR="00466973">
        <w:rPr>
          <w:rFonts w:cstheme="minorHAnsi"/>
        </w:rPr>
        <w:t>[position top left]</w:t>
      </w:r>
    </w:p>
    <w:p w14:paraId="7BB05A3F" w14:textId="73FDDFA8" w:rsidR="00063215" w:rsidRDefault="00063215" w:rsidP="00063215">
      <w:pPr>
        <w:autoSpaceDE w:val="0"/>
        <w:autoSpaceDN w:val="0"/>
        <w:adjustRightInd w:val="0"/>
        <w:rPr>
          <w:rFonts w:cstheme="minorHAnsi"/>
        </w:rPr>
      </w:pPr>
      <w:r>
        <w:rPr>
          <w:rFonts w:cstheme="minorHAnsi"/>
        </w:rPr>
        <w:t xml:space="preserve">Portable Antiquities Scheme </w:t>
      </w:r>
      <w:r w:rsidRPr="0075737A">
        <w:rPr>
          <w:rFonts w:cstheme="minorHAnsi"/>
        </w:rPr>
        <w:t>NLM32369 Roxy cum Risby</w:t>
      </w:r>
      <w:r>
        <w:rPr>
          <w:rFonts w:cstheme="minorHAnsi"/>
        </w:rPr>
        <w:t>,</w:t>
      </w:r>
      <w:r w:rsidRPr="0075737A">
        <w:rPr>
          <w:rFonts w:cstheme="minorHAnsi"/>
        </w:rPr>
        <w:t xml:space="preserve"> N</w:t>
      </w:r>
      <w:r>
        <w:rPr>
          <w:rFonts w:cstheme="minorHAnsi"/>
        </w:rPr>
        <w:t xml:space="preserve">orth </w:t>
      </w:r>
      <w:r w:rsidRPr="0075737A">
        <w:rPr>
          <w:rFonts w:cstheme="minorHAnsi"/>
        </w:rPr>
        <w:t>Linc</w:t>
      </w:r>
      <w:r>
        <w:rPr>
          <w:rFonts w:cstheme="minorHAnsi"/>
        </w:rPr>
        <w:t xml:space="preserve">olnshire. </w:t>
      </w:r>
      <w:r w:rsidRPr="0075737A">
        <w:rPr>
          <w:rFonts w:cstheme="minorHAnsi"/>
        </w:rPr>
        <w:t>N</w:t>
      </w:r>
      <w:r>
        <w:rPr>
          <w:rFonts w:cstheme="minorHAnsi"/>
        </w:rPr>
        <w:t xml:space="preserve">orth </w:t>
      </w:r>
      <w:r w:rsidRPr="0075737A">
        <w:rPr>
          <w:rFonts w:cstheme="minorHAnsi"/>
        </w:rPr>
        <w:t>Linc</w:t>
      </w:r>
      <w:r>
        <w:rPr>
          <w:rFonts w:cstheme="minorHAnsi"/>
        </w:rPr>
        <w:t>oln</w:t>
      </w:r>
      <w:r w:rsidRPr="0075737A">
        <w:rPr>
          <w:rFonts w:cstheme="minorHAnsi"/>
        </w:rPr>
        <w:t>shire Museum</w:t>
      </w:r>
      <w:r>
        <w:rPr>
          <w:rFonts w:cstheme="minorHAnsi"/>
        </w:rPr>
        <w:t>,</w:t>
      </w:r>
      <w:r w:rsidRPr="0075737A">
        <w:rPr>
          <w:rFonts w:cstheme="minorHAnsi"/>
        </w:rPr>
        <w:t xml:space="preserve"> CC BY 2.0</w:t>
      </w:r>
      <w:r>
        <w:rPr>
          <w:rFonts w:cstheme="minorHAnsi"/>
        </w:rPr>
        <w:t xml:space="preserve">. </w:t>
      </w:r>
      <w:hyperlink r:id="rId15" w:history="1">
        <w:r w:rsidRPr="00E12244">
          <w:rPr>
            <w:rStyle w:val="Hyperlink"/>
            <w:rFonts w:cstheme="minorHAnsi"/>
          </w:rPr>
          <w:t>https://creativecommons.org/licenses/by/2.0/</w:t>
        </w:r>
      </w:hyperlink>
      <w:r w:rsidR="00466973">
        <w:rPr>
          <w:rStyle w:val="Hyperlink"/>
          <w:rFonts w:cstheme="minorHAnsi"/>
        </w:rPr>
        <w:t xml:space="preserve"> </w:t>
      </w:r>
      <w:r w:rsidR="00466973">
        <w:rPr>
          <w:rFonts w:cstheme="minorHAnsi"/>
        </w:rPr>
        <w:t>[position top right]</w:t>
      </w:r>
    </w:p>
    <w:p w14:paraId="37830A97" w14:textId="6F52C7EF" w:rsidR="00063215" w:rsidRDefault="00063215" w:rsidP="00063215">
      <w:pPr>
        <w:autoSpaceDE w:val="0"/>
        <w:autoSpaceDN w:val="0"/>
        <w:adjustRightInd w:val="0"/>
        <w:rPr>
          <w:rFonts w:cstheme="minorHAnsi"/>
        </w:rPr>
      </w:pPr>
      <w:r>
        <w:rPr>
          <w:rFonts w:cstheme="minorHAnsi"/>
        </w:rPr>
        <w:t xml:space="preserve">Portable Antiquities Scheme </w:t>
      </w:r>
      <w:r w:rsidRPr="0075737A">
        <w:rPr>
          <w:rFonts w:cstheme="minorHAnsi"/>
        </w:rPr>
        <w:t>SUSS-A2F604 Meon Valley</w:t>
      </w:r>
      <w:r>
        <w:rPr>
          <w:rFonts w:cstheme="minorHAnsi"/>
        </w:rPr>
        <w:t>,</w:t>
      </w:r>
      <w:r w:rsidRPr="0075737A">
        <w:rPr>
          <w:rFonts w:cstheme="minorHAnsi"/>
        </w:rPr>
        <w:t xml:space="preserve"> Hampshire</w:t>
      </w:r>
      <w:r>
        <w:rPr>
          <w:rFonts w:cstheme="minorHAnsi"/>
        </w:rPr>
        <w:t>.</w:t>
      </w:r>
      <w:r w:rsidRPr="0075737A">
        <w:rPr>
          <w:rFonts w:cstheme="minorHAnsi"/>
        </w:rPr>
        <w:t xml:space="preserve"> Sussex Arch</w:t>
      </w:r>
      <w:r>
        <w:rPr>
          <w:rFonts w:cstheme="minorHAnsi"/>
        </w:rPr>
        <w:t>aeological</w:t>
      </w:r>
      <w:r w:rsidRPr="0075737A">
        <w:rPr>
          <w:rFonts w:cstheme="minorHAnsi"/>
        </w:rPr>
        <w:t xml:space="preserve"> Soc</w:t>
      </w:r>
      <w:r>
        <w:rPr>
          <w:rFonts w:cstheme="minorHAnsi"/>
        </w:rPr>
        <w:t>iety,</w:t>
      </w:r>
      <w:r w:rsidRPr="0075737A">
        <w:rPr>
          <w:rFonts w:cstheme="minorHAnsi"/>
        </w:rPr>
        <w:t xml:space="preserve"> CC BY-SA 4</w:t>
      </w:r>
      <w:r>
        <w:rPr>
          <w:rFonts w:cstheme="minorHAnsi"/>
        </w:rPr>
        <w:t xml:space="preserve">.0. </w:t>
      </w:r>
      <w:hyperlink r:id="rId16" w:history="1">
        <w:r w:rsidRPr="00B80D1F">
          <w:rPr>
            <w:rStyle w:val="Hyperlink"/>
            <w:rFonts w:cstheme="minorHAnsi"/>
          </w:rPr>
          <w:t>https://creativecommons.org/licenses/by-sa/4.0/deed.en</w:t>
        </w:r>
      </w:hyperlink>
      <w:r w:rsidR="00466973">
        <w:rPr>
          <w:rStyle w:val="Hyperlink"/>
          <w:rFonts w:cstheme="minorHAnsi"/>
        </w:rPr>
        <w:t xml:space="preserve"> </w:t>
      </w:r>
      <w:r w:rsidR="00466973">
        <w:rPr>
          <w:rFonts w:cstheme="minorHAnsi"/>
        </w:rPr>
        <w:t>[position bottom left]</w:t>
      </w:r>
    </w:p>
    <w:p w14:paraId="26BF3E60" w14:textId="77777777" w:rsidR="00466973" w:rsidRDefault="00063215" w:rsidP="00466973">
      <w:pPr>
        <w:autoSpaceDE w:val="0"/>
        <w:autoSpaceDN w:val="0"/>
        <w:adjustRightInd w:val="0"/>
        <w:rPr>
          <w:rFonts w:cstheme="minorHAnsi"/>
        </w:rPr>
      </w:pPr>
      <w:r>
        <w:rPr>
          <w:rFonts w:cstheme="minorHAnsi"/>
        </w:rPr>
        <w:t xml:space="preserve">Portable Antiquities Scheme </w:t>
      </w:r>
      <w:r w:rsidRPr="0075737A">
        <w:rPr>
          <w:rFonts w:cstheme="minorHAnsi"/>
        </w:rPr>
        <w:t>WILT-610DD4 Tisbury</w:t>
      </w:r>
      <w:r>
        <w:rPr>
          <w:rFonts w:cstheme="minorHAnsi"/>
        </w:rPr>
        <w:t>,</w:t>
      </w:r>
      <w:r w:rsidRPr="0075737A">
        <w:rPr>
          <w:rFonts w:cstheme="minorHAnsi"/>
        </w:rPr>
        <w:t xml:space="preserve"> Wilts</w:t>
      </w:r>
      <w:r>
        <w:rPr>
          <w:rFonts w:cstheme="minorHAnsi"/>
        </w:rPr>
        <w:t>hire.</w:t>
      </w:r>
      <w:r w:rsidRPr="0075737A">
        <w:rPr>
          <w:rFonts w:cstheme="minorHAnsi"/>
        </w:rPr>
        <w:t xml:space="preserve"> Salis</w:t>
      </w:r>
      <w:r>
        <w:rPr>
          <w:rFonts w:cstheme="minorHAnsi"/>
        </w:rPr>
        <w:t xml:space="preserve">bury and South </w:t>
      </w:r>
      <w:r w:rsidRPr="0075737A">
        <w:rPr>
          <w:rFonts w:cstheme="minorHAnsi"/>
        </w:rPr>
        <w:t>Wilts</w:t>
      </w:r>
      <w:r>
        <w:rPr>
          <w:rFonts w:cstheme="minorHAnsi"/>
        </w:rPr>
        <w:t>hire</w:t>
      </w:r>
      <w:r w:rsidRPr="0075737A">
        <w:rPr>
          <w:rFonts w:cstheme="minorHAnsi"/>
        </w:rPr>
        <w:t xml:space="preserve"> Mus</w:t>
      </w:r>
      <w:r>
        <w:rPr>
          <w:rFonts w:cstheme="minorHAnsi"/>
        </w:rPr>
        <w:t>eum,</w:t>
      </w:r>
      <w:r w:rsidRPr="0075737A">
        <w:rPr>
          <w:rFonts w:cstheme="minorHAnsi"/>
        </w:rPr>
        <w:t xml:space="preserve"> CC BY-SA 4.0</w:t>
      </w:r>
      <w:r>
        <w:rPr>
          <w:rFonts w:cstheme="minorHAnsi"/>
        </w:rPr>
        <w:t xml:space="preserve">. </w:t>
      </w:r>
      <w:hyperlink r:id="rId17" w:history="1">
        <w:r w:rsidRPr="007F3FDB">
          <w:rPr>
            <w:rStyle w:val="Hyperlink"/>
            <w:rFonts w:cstheme="minorHAnsi"/>
          </w:rPr>
          <w:t>https://creativecommons.org/licenses/by-sa/4.0/deed.en</w:t>
        </w:r>
      </w:hyperlink>
      <w:r w:rsidR="00466973">
        <w:rPr>
          <w:rStyle w:val="Hyperlink"/>
          <w:rFonts w:cstheme="minorHAnsi"/>
        </w:rPr>
        <w:t xml:space="preserve"> </w:t>
      </w:r>
      <w:r w:rsidR="00466973">
        <w:rPr>
          <w:rFonts w:cstheme="minorHAnsi"/>
        </w:rPr>
        <w:t xml:space="preserve">[position bottom right] </w:t>
      </w:r>
    </w:p>
    <w:p w14:paraId="6B00C474" w14:textId="1A56938B" w:rsidR="00063215" w:rsidRPr="00063215" w:rsidRDefault="00063215" w:rsidP="00063215">
      <w:pPr>
        <w:rPr>
          <w:rFonts w:cstheme="minorHAnsi"/>
        </w:rPr>
      </w:pPr>
      <w:r w:rsidRPr="00063215">
        <w:rPr>
          <w:rFonts w:cstheme="minorHAnsi"/>
        </w:rPr>
        <w:lastRenderedPageBreak/>
        <w:t>FIGURE 6</w:t>
      </w:r>
      <w:r w:rsidR="00B518D4">
        <w:rPr>
          <w:rFonts w:cstheme="minorHAnsi"/>
        </w:rPr>
        <w:t>A-B</w:t>
      </w:r>
      <w:r w:rsidRPr="00063215">
        <w:rPr>
          <w:rFonts w:cstheme="minorHAnsi"/>
        </w:rPr>
        <w:t xml:space="preserve"> Late Roman </w:t>
      </w:r>
      <w:proofErr w:type="spellStart"/>
      <w:r w:rsidRPr="00063215">
        <w:rPr>
          <w:rFonts w:cstheme="minorHAnsi"/>
        </w:rPr>
        <w:t>Constantinopolis</w:t>
      </w:r>
      <w:proofErr w:type="spellEnd"/>
      <w:r w:rsidRPr="00063215">
        <w:rPr>
          <w:rFonts w:cstheme="minorHAnsi"/>
        </w:rPr>
        <w:t xml:space="preserve"> issue</w:t>
      </w:r>
      <w:r w:rsidR="00097D0E">
        <w:rPr>
          <w:rFonts w:cstheme="minorHAnsi"/>
        </w:rPr>
        <w:t xml:space="preserve">, </w:t>
      </w:r>
      <w:proofErr w:type="spellStart"/>
      <w:r w:rsidR="00097D0E">
        <w:rPr>
          <w:rFonts w:cstheme="minorHAnsi"/>
        </w:rPr>
        <w:t>Münzkabinett</w:t>
      </w:r>
      <w:proofErr w:type="spellEnd"/>
      <w:r w:rsidR="00097D0E">
        <w:rPr>
          <w:rFonts w:cstheme="minorHAnsi"/>
        </w:rPr>
        <w:t xml:space="preserve"> der </w:t>
      </w:r>
      <w:proofErr w:type="spellStart"/>
      <w:r w:rsidR="00097D0E">
        <w:rPr>
          <w:rFonts w:cstheme="minorHAnsi"/>
        </w:rPr>
        <w:t>Staatlichen</w:t>
      </w:r>
      <w:proofErr w:type="spellEnd"/>
      <w:r w:rsidR="00097D0E">
        <w:rPr>
          <w:rFonts w:cstheme="minorHAnsi"/>
        </w:rPr>
        <w:t xml:space="preserve"> </w:t>
      </w:r>
      <w:proofErr w:type="spellStart"/>
      <w:r w:rsidR="00097D0E">
        <w:rPr>
          <w:rFonts w:cstheme="minorHAnsi"/>
        </w:rPr>
        <w:t>Museen</w:t>
      </w:r>
      <w:proofErr w:type="spellEnd"/>
      <w:r w:rsidR="00097D0E">
        <w:rPr>
          <w:rFonts w:cstheme="minorHAnsi"/>
        </w:rPr>
        <w:t xml:space="preserve"> </w:t>
      </w:r>
      <w:r w:rsidR="00754409">
        <w:rPr>
          <w:rFonts w:cstheme="minorHAnsi"/>
        </w:rPr>
        <w:t xml:space="preserve">Berlin, </w:t>
      </w:r>
      <w:r w:rsidR="00097D0E">
        <w:rPr>
          <w:rFonts w:cstheme="minorHAnsi"/>
        </w:rPr>
        <w:t>18309428, Public Domain image (photo by Karsten Dahmen),</w:t>
      </w:r>
      <w:r w:rsidRPr="00063215">
        <w:rPr>
          <w:rFonts w:cstheme="minorHAnsi"/>
        </w:rPr>
        <w:t xml:space="preserve"> compared with finger-ring from Amesbury</w:t>
      </w:r>
      <w:r w:rsidR="00E44BB0">
        <w:rPr>
          <w:rFonts w:cstheme="minorHAnsi"/>
        </w:rPr>
        <w:t xml:space="preserve">, British Museum acc. no. 1857,0630.2. Copyright The Trustees of the British Museum, all rights reserved. </w:t>
      </w:r>
      <w:r w:rsidR="00CC74B5" w:rsidRPr="00BF13E6">
        <w:rPr>
          <w:rFonts w:cstheme="minorHAnsi"/>
          <w:highlight w:val="yellow"/>
        </w:rPr>
        <w:t>PERMISSIONS TBC</w:t>
      </w:r>
      <w:r w:rsidR="00CC74B5">
        <w:rPr>
          <w:rFonts w:cstheme="minorHAnsi"/>
        </w:rPr>
        <w:t xml:space="preserve">. </w:t>
      </w:r>
    </w:p>
    <w:p w14:paraId="58AB5051" w14:textId="062C7917" w:rsidR="00063215" w:rsidRDefault="00063215" w:rsidP="00063215">
      <w:pPr>
        <w:rPr>
          <w:rFonts w:cstheme="minorHAnsi"/>
        </w:rPr>
      </w:pPr>
      <w:r w:rsidRPr="00063215">
        <w:rPr>
          <w:rFonts w:cstheme="minorHAnsi"/>
        </w:rPr>
        <w:t>FIGURE 7</w:t>
      </w:r>
      <w:r w:rsidR="00B518D4">
        <w:rPr>
          <w:rFonts w:cstheme="minorHAnsi"/>
        </w:rPr>
        <w:t>A-B</w:t>
      </w:r>
      <w:r w:rsidRPr="00063215">
        <w:rPr>
          <w:rFonts w:cstheme="minorHAnsi"/>
        </w:rPr>
        <w:t xml:space="preserve"> Coin reverse SAPIENT PRINCIP depicting an owl on an altar, </w:t>
      </w:r>
      <w:proofErr w:type="spellStart"/>
      <w:r w:rsidR="00754409">
        <w:rPr>
          <w:rFonts w:cstheme="minorHAnsi"/>
        </w:rPr>
        <w:t>Münzkabinett</w:t>
      </w:r>
      <w:proofErr w:type="spellEnd"/>
      <w:r w:rsidR="00754409">
        <w:rPr>
          <w:rFonts w:cstheme="minorHAnsi"/>
        </w:rPr>
        <w:t xml:space="preserve"> der </w:t>
      </w:r>
      <w:proofErr w:type="spellStart"/>
      <w:r w:rsidR="00754409">
        <w:rPr>
          <w:rFonts w:cstheme="minorHAnsi"/>
        </w:rPr>
        <w:t>Staatlichen</w:t>
      </w:r>
      <w:proofErr w:type="spellEnd"/>
      <w:r w:rsidR="00754409">
        <w:rPr>
          <w:rFonts w:cstheme="minorHAnsi"/>
        </w:rPr>
        <w:t xml:space="preserve"> </w:t>
      </w:r>
      <w:proofErr w:type="spellStart"/>
      <w:r w:rsidR="00754409">
        <w:rPr>
          <w:rFonts w:cstheme="minorHAnsi"/>
        </w:rPr>
        <w:t>Museen</w:t>
      </w:r>
      <w:proofErr w:type="spellEnd"/>
      <w:r w:rsidR="00754409">
        <w:rPr>
          <w:rFonts w:cstheme="minorHAnsi"/>
        </w:rPr>
        <w:t xml:space="preserve"> Berlin</w:t>
      </w:r>
      <w:r w:rsidR="00754409">
        <w:rPr>
          <w:rFonts w:cstheme="minorHAnsi"/>
          <w:shd w:val="clear" w:color="auto" w:fill="FFFFFF"/>
        </w:rPr>
        <w:t xml:space="preserve">, 18242816, </w:t>
      </w:r>
      <w:r w:rsidRPr="00063215">
        <w:rPr>
          <w:rFonts w:cstheme="minorHAnsi"/>
          <w:shd w:val="clear" w:color="auto" w:fill="FFFFFF"/>
        </w:rPr>
        <w:t>Public Domain</w:t>
      </w:r>
      <w:r w:rsidRPr="00063215">
        <w:rPr>
          <w:rFonts w:cstheme="minorHAnsi"/>
          <w:noProof/>
        </w:rPr>
        <w:t xml:space="preserve"> </w:t>
      </w:r>
      <w:r w:rsidR="00754409">
        <w:rPr>
          <w:rFonts w:cstheme="minorHAnsi"/>
          <w:noProof/>
        </w:rPr>
        <w:t>i</w:t>
      </w:r>
      <w:r w:rsidRPr="00063215">
        <w:rPr>
          <w:rFonts w:cstheme="minorHAnsi"/>
          <w:noProof/>
        </w:rPr>
        <w:t>mage</w:t>
      </w:r>
      <w:r w:rsidR="00754409">
        <w:rPr>
          <w:rFonts w:cstheme="minorHAnsi"/>
          <w:noProof/>
        </w:rPr>
        <w:t xml:space="preserve"> (photo by Reinhard Saczewski)</w:t>
      </w:r>
      <w:r w:rsidRPr="00063215">
        <w:rPr>
          <w:rFonts w:cstheme="minorHAnsi"/>
          <w:noProof/>
        </w:rPr>
        <w:t xml:space="preserve">, compared with finger-ring bezel from Sleaford, Portable Antiquities Scheme </w:t>
      </w:r>
      <w:r w:rsidRPr="00063215">
        <w:rPr>
          <w:rFonts w:eastAsia="AGaramondPro-Regular" w:cstheme="minorHAnsi"/>
        </w:rPr>
        <w:t xml:space="preserve">LIN-337C26, </w:t>
      </w:r>
      <w:r w:rsidRPr="00063215">
        <w:rPr>
          <w:rFonts w:cstheme="minorHAnsi"/>
        </w:rPr>
        <w:t>CC BY-SA 4.0 rights holder not specified.</w:t>
      </w:r>
      <w:r w:rsidR="00E44BB0" w:rsidRPr="00E44BB0">
        <w:t xml:space="preserve"> </w:t>
      </w:r>
      <w:hyperlink r:id="rId18" w:history="1">
        <w:r w:rsidR="00E44BB0" w:rsidRPr="007F3FDB">
          <w:rPr>
            <w:rStyle w:val="Hyperlink"/>
            <w:rFonts w:cstheme="minorHAnsi"/>
          </w:rPr>
          <w:t>https://creativecommons.org/licenses/by-sa/4.0/deed.en</w:t>
        </w:r>
      </w:hyperlink>
    </w:p>
    <w:p w14:paraId="5DC98000" w14:textId="72E1C62F" w:rsidR="004147EC" w:rsidRPr="00063215" w:rsidRDefault="004147EC" w:rsidP="00063215">
      <w:pPr>
        <w:rPr>
          <w:rFonts w:cstheme="minorHAnsi"/>
        </w:rPr>
      </w:pPr>
      <w:r w:rsidRPr="004147EC">
        <w:rPr>
          <w:rFonts w:cstheme="minorHAnsi"/>
        </w:rPr>
        <w:t>FIGURE 8</w:t>
      </w:r>
      <w:r w:rsidR="00B518D4">
        <w:rPr>
          <w:rFonts w:cstheme="minorHAnsi"/>
        </w:rPr>
        <w:t>A-B</w:t>
      </w:r>
      <w:r w:rsidRPr="004147EC">
        <w:rPr>
          <w:rFonts w:cstheme="minorHAnsi"/>
        </w:rPr>
        <w:t xml:space="preserve"> GLORIA EXERCITUS reverse with two soldiers and standard (Period 17), Portable Antiquities Scheme </w:t>
      </w:r>
      <w:r w:rsidRPr="004147EC">
        <w:rPr>
          <w:rFonts w:cstheme="minorHAnsi"/>
          <w:color w:val="333333"/>
          <w:shd w:val="clear" w:color="auto" w:fill="FFFFFF"/>
        </w:rPr>
        <w:t>HAMP-C01C46,</w:t>
      </w:r>
      <w:r w:rsidRPr="004147EC">
        <w:rPr>
          <w:rFonts w:ascii="Open Sans" w:hAnsi="Open Sans" w:cs="Open Sans"/>
          <w:color w:val="333333"/>
          <w:sz w:val="20"/>
          <w:szCs w:val="20"/>
          <w:shd w:val="clear" w:color="auto" w:fill="FFFFFF"/>
        </w:rPr>
        <w:t xml:space="preserve"> </w:t>
      </w:r>
      <w:r w:rsidRPr="004147EC">
        <w:rPr>
          <w:rFonts w:cstheme="minorHAnsi"/>
        </w:rPr>
        <w:t xml:space="preserve">Rights holder Portable Antiquities Scheme, CC-BY 2.0, </w:t>
      </w:r>
      <w:r w:rsidRPr="004147EC">
        <w:rPr>
          <w:rFonts w:cstheme="minorHAnsi"/>
          <w:noProof/>
        </w:rPr>
        <w:t xml:space="preserve"> compared with </w:t>
      </w:r>
      <w:r w:rsidR="00D45403">
        <w:rPr>
          <w:rFonts w:cstheme="minorHAnsi"/>
          <w:noProof/>
        </w:rPr>
        <w:t>finger-</w:t>
      </w:r>
      <w:r w:rsidRPr="004147EC">
        <w:rPr>
          <w:rFonts w:cstheme="minorHAnsi"/>
          <w:noProof/>
        </w:rPr>
        <w:t>ring bezel from Coombe Bissett, Portable Antiquities Scheme WILT-529902,</w:t>
      </w:r>
      <w:r w:rsidRPr="004147EC">
        <w:rPr>
          <w:rFonts w:cstheme="minorHAnsi"/>
        </w:rPr>
        <w:t xml:space="preserve"> Salisbury and South Wiltshire Museum, CC-BY 2.0,  </w:t>
      </w:r>
      <w:hyperlink r:id="rId19" w:history="1">
        <w:r w:rsidRPr="004147EC">
          <w:rPr>
            <w:rStyle w:val="Hyperlink"/>
            <w:rFonts w:cstheme="minorHAnsi"/>
          </w:rPr>
          <w:t>https://creativecommons.org/licenses/by/2.0/</w:t>
        </w:r>
      </w:hyperlink>
    </w:p>
    <w:sectPr w:rsidR="004147EC" w:rsidRPr="000632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C84" w14:textId="77777777" w:rsidR="005853E0" w:rsidRDefault="005853E0" w:rsidP="005853E0">
      <w:pPr>
        <w:spacing w:after="0" w:line="240" w:lineRule="auto"/>
      </w:pPr>
      <w:r>
        <w:separator/>
      </w:r>
    </w:p>
  </w:endnote>
  <w:endnote w:type="continuationSeparator" w:id="0">
    <w:p w14:paraId="106C36B5" w14:textId="77777777" w:rsidR="005853E0" w:rsidRDefault="005853E0" w:rsidP="0058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ill-Roman">
    <w:altName w:val="Yu Gothic"/>
    <w:panose1 w:val="00000000000000000000"/>
    <w:charset w:val="80"/>
    <w:family w:val="roman"/>
    <w:notTrueType/>
    <w:pitch w:val="default"/>
    <w:sig w:usb0="00000001" w:usb1="08070000" w:usb2="00000010" w:usb3="00000000" w:csb0="00020000" w:csb1="00000000"/>
  </w:font>
  <w:font w:name="AGaramondPro-Regular">
    <w:altName w:val="Yu Gothic"/>
    <w:panose1 w:val="00000000000000000000"/>
    <w:charset w:val="80"/>
    <w:family w:val="roman"/>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E71E" w14:textId="77777777" w:rsidR="005853E0" w:rsidRDefault="005853E0" w:rsidP="005853E0">
      <w:pPr>
        <w:spacing w:after="0" w:line="240" w:lineRule="auto"/>
      </w:pPr>
      <w:r>
        <w:separator/>
      </w:r>
    </w:p>
  </w:footnote>
  <w:footnote w:type="continuationSeparator" w:id="0">
    <w:p w14:paraId="1C1332FA" w14:textId="77777777" w:rsidR="005853E0" w:rsidRDefault="005853E0" w:rsidP="005853E0">
      <w:pPr>
        <w:spacing w:after="0" w:line="240" w:lineRule="auto"/>
      </w:pPr>
      <w:r>
        <w:continuationSeparator/>
      </w:r>
    </w:p>
  </w:footnote>
  <w:footnote w:id="1">
    <w:p w14:paraId="50A9256B" w14:textId="77777777" w:rsidR="001F7A79" w:rsidRDefault="001F7A79" w:rsidP="001F7A79">
      <w:pPr>
        <w:autoSpaceDE w:val="0"/>
        <w:autoSpaceDN w:val="0"/>
        <w:adjustRightInd w:val="0"/>
        <w:rPr>
          <w:rFonts w:cstheme="minorHAnsi"/>
        </w:rPr>
      </w:pPr>
      <w:r>
        <w:rPr>
          <w:rStyle w:val="FootnoteReference"/>
        </w:rPr>
        <w:footnoteRef/>
      </w:r>
      <w:r>
        <w:t xml:space="preserve"> </w:t>
      </w:r>
      <w:r w:rsidRPr="00330EC1">
        <w:rPr>
          <w:rFonts w:cstheme="minorHAnsi"/>
          <w:sz w:val="20"/>
          <w:szCs w:val="20"/>
        </w:rPr>
        <w:t>Non-invasive analysis of the uncleaned metal surfaces using a Niton XL3T portable XRF analyser was carried out. There can be problems with surface corrosion products and metal accumulation at the surface which affect the results, meaning that they may not be indicative of the overall composition of the object. While detailed quantitative results are not reliable, we can at least obtain qualitative assessments of broad alloy type that are likely to reflect the overall composition of the objects (see Swift 2019, 26 for further discussion).</w:t>
      </w:r>
      <w:r>
        <w:rPr>
          <w:rFonts w:cstheme="minorHAnsi"/>
        </w:rPr>
        <w:t xml:space="preserve"> </w:t>
      </w:r>
    </w:p>
    <w:p w14:paraId="040D6878" w14:textId="77777777" w:rsidR="001F7A79" w:rsidRPr="00330EC1" w:rsidRDefault="001F7A79" w:rsidP="001F7A79">
      <w:pPr>
        <w:pStyle w:val="FootnoteText"/>
        <w:rPr>
          <w:lang w:val="en-GB"/>
        </w:rPr>
      </w:pPr>
    </w:p>
  </w:footnote>
  <w:footnote w:id="2">
    <w:p w14:paraId="06278D89" w14:textId="01D7D5AE" w:rsidR="0033263C" w:rsidRPr="0033263C" w:rsidRDefault="0033263C">
      <w:pPr>
        <w:pStyle w:val="FootnoteText"/>
        <w:rPr>
          <w:rFonts w:asciiTheme="minorHAnsi" w:hAnsiTheme="minorHAnsi" w:cstheme="minorHAnsi"/>
          <w:lang w:val="en-GB"/>
        </w:rPr>
      </w:pPr>
      <w:r w:rsidRPr="0033263C">
        <w:rPr>
          <w:rStyle w:val="FootnoteReference"/>
          <w:rFonts w:asciiTheme="minorHAnsi" w:hAnsiTheme="minorHAnsi" w:cstheme="minorHAnsi"/>
        </w:rPr>
        <w:footnoteRef/>
      </w:r>
      <w:r w:rsidRPr="0033263C">
        <w:rPr>
          <w:rFonts w:asciiTheme="minorHAnsi" w:hAnsiTheme="minorHAnsi" w:cstheme="minorHAnsi"/>
        </w:rPr>
        <w:t xml:space="preserve"> </w:t>
      </w:r>
      <w:r w:rsidR="005D5CBA" w:rsidRPr="005D5CBA">
        <w:rPr>
          <w:rFonts w:asciiTheme="minorHAnsi" w:hAnsiTheme="minorHAnsi" w:cstheme="minorHAnsi"/>
        </w:rPr>
        <w:t>In Fig. 2A, the distribution in periods 15–17 also looks different to Walton’s British Mean, but this may result from the use of verified records only, as the</w:t>
      </w:r>
      <w:r w:rsidR="00C530F1">
        <w:rPr>
          <w:rFonts w:asciiTheme="minorHAnsi" w:hAnsiTheme="minorHAnsi" w:cstheme="minorHAnsi"/>
        </w:rPr>
        <w:t xml:space="preserve"> mean calculated from</w:t>
      </w:r>
      <w:r w:rsidR="005D5CBA" w:rsidRPr="005D5CBA">
        <w:rPr>
          <w:rFonts w:asciiTheme="minorHAnsi" w:hAnsiTheme="minorHAnsi" w:cstheme="minorHAnsi"/>
        </w:rPr>
        <w:t xml:space="preserve"> P</w:t>
      </w:r>
      <w:r w:rsidR="00C530F1">
        <w:rPr>
          <w:rFonts w:asciiTheme="minorHAnsi" w:hAnsiTheme="minorHAnsi" w:cstheme="minorHAnsi"/>
        </w:rPr>
        <w:t>ortable Antiquities data (the P</w:t>
      </w:r>
      <w:r w:rsidR="005D5CBA" w:rsidRPr="005D5CBA">
        <w:rPr>
          <w:rFonts w:asciiTheme="minorHAnsi" w:hAnsiTheme="minorHAnsi" w:cstheme="minorHAnsi"/>
        </w:rPr>
        <w:t>AS mean</w:t>
      </w:r>
      <w:r w:rsidR="00C530F1">
        <w:rPr>
          <w:rFonts w:asciiTheme="minorHAnsi" w:hAnsiTheme="minorHAnsi" w:cstheme="minorHAnsi"/>
        </w:rPr>
        <w:t>)</w:t>
      </w:r>
      <w:r w:rsidR="005D5CBA" w:rsidRPr="005D5CBA">
        <w:rPr>
          <w:rFonts w:asciiTheme="minorHAnsi" w:hAnsiTheme="minorHAnsi" w:cstheme="minorHAnsi"/>
        </w:rPr>
        <w:t xml:space="preserve"> using verified records only produces </w:t>
      </w:r>
      <w:r w:rsidR="005D5CBA">
        <w:rPr>
          <w:rFonts w:asciiTheme="minorHAnsi" w:hAnsiTheme="minorHAnsi" w:cstheme="minorHAnsi"/>
        </w:rPr>
        <w:t>a similar pattern for these periods.</w:t>
      </w:r>
      <w:r w:rsidR="00CC74B5">
        <w:rPr>
          <w:rFonts w:asciiTheme="minorHAnsi" w:hAnsiTheme="minorHAnsi" w:cstheme="minorHAnsi"/>
        </w:rPr>
        <w:t xml:space="preserve"> For period 21, </w:t>
      </w:r>
      <w:r w:rsidR="00CC74B5" w:rsidRPr="0033263C">
        <w:rPr>
          <w:rFonts w:asciiTheme="minorHAnsi" w:hAnsiTheme="minorHAnsi" w:cstheme="minorHAnsi"/>
        </w:rPr>
        <w:t xml:space="preserve">White noted </w:t>
      </w:r>
      <w:r w:rsidR="00CC74B5">
        <w:rPr>
          <w:rFonts w:asciiTheme="minorHAnsi" w:hAnsiTheme="minorHAnsi" w:cstheme="minorHAnsi"/>
        </w:rPr>
        <w:t>i</w:t>
      </w:r>
      <w:r w:rsidR="00CC74B5" w:rsidRPr="0033263C">
        <w:rPr>
          <w:rFonts w:asciiTheme="minorHAnsi" w:hAnsiTheme="minorHAnsi" w:cstheme="minorHAnsi"/>
        </w:rPr>
        <w:t>n his data sample that there was a lack of pierced coins issued from 375</w:t>
      </w:r>
      <w:r w:rsidR="00CC74B5" w:rsidRPr="005D5CBA">
        <w:rPr>
          <w:rFonts w:cstheme="minorHAnsi"/>
        </w:rPr>
        <w:t>–</w:t>
      </w:r>
      <w:r w:rsidR="00CC74B5" w:rsidRPr="0033263C">
        <w:rPr>
          <w:rFonts w:asciiTheme="minorHAnsi" w:hAnsiTheme="minorHAnsi" w:cstheme="minorHAnsi"/>
        </w:rPr>
        <w:t>402, which is also seen here. This is probably related to the small sizes of these coins making them a less favoured choice (White 1988, 98-99).</w:t>
      </w:r>
    </w:p>
  </w:footnote>
  <w:footnote w:id="3">
    <w:p w14:paraId="0D870B93" w14:textId="6E107778" w:rsidR="009E5B2F" w:rsidRPr="00A70B00" w:rsidRDefault="009E5B2F">
      <w:pPr>
        <w:pStyle w:val="FootnoteText"/>
        <w:rPr>
          <w:rFonts w:ascii="Calibri" w:hAnsi="Calibri" w:cs="Calibri"/>
          <w:lang w:val="en-GB"/>
        </w:rPr>
      </w:pPr>
      <w:r w:rsidRPr="00A70B00">
        <w:rPr>
          <w:rStyle w:val="FootnoteReference"/>
          <w:rFonts w:ascii="Calibri" w:hAnsi="Calibri" w:cs="Calibri"/>
        </w:rPr>
        <w:footnoteRef/>
      </w:r>
      <w:r w:rsidRPr="00A70B00">
        <w:rPr>
          <w:rFonts w:ascii="Calibri" w:hAnsi="Calibri" w:cs="Calibri"/>
        </w:rPr>
        <w:t xml:space="preserve"> See</w:t>
      </w:r>
      <w:r w:rsidR="00721138" w:rsidRPr="00A70B00">
        <w:rPr>
          <w:rFonts w:ascii="Calibri" w:hAnsi="Calibri" w:cs="Calibri"/>
        </w:rPr>
        <w:t xml:space="preserve"> also </w:t>
      </w:r>
      <w:r w:rsidRPr="00A70B00">
        <w:rPr>
          <w:rFonts w:ascii="Calibri" w:hAnsi="Calibri" w:cs="Calibri"/>
        </w:rPr>
        <w:t>Marshall’s</w:t>
      </w:r>
      <w:r w:rsidR="00721138" w:rsidRPr="00A70B00">
        <w:rPr>
          <w:rFonts w:ascii="Calibri" w:hAnsi="Calibri" w:cs="Calibri"/>
        </w:rPr>
        <w:t xml:space="preserve"> </w:t>
      </w:r>
      <w:r w:rsidRPr="00A70B00">
        <w:rPr>
          <w:rFonts w:ascii="Calibri" w:hAnsi="Calibri" w:cs="Calibri"/>
        </w:rPr>
        <w:t>British Museum catalogue of finger-rings, with 6 of 10 gold coin-set examples dating to the 3</w:t>
      </w:r>
      <w:r w:rsidRPr="00A70B00">
        <w:rPr>
          <w:rFonts w:ascii="Calibri" w:hAnsi="Calibri" w:cs="Calibri"/>
          <w:vertAlign w:val="superscript"/>
        </w:rPr>
        <w:t>rd</w:t>
      </w:r>
      <w:r w:rsidRPr="00A70B00">
        <w:rPr>
          <w:rFonts w:ascii="Calibri" w:hAnsi="Calibri" w:cs="Calibri"/>
        </w:rPr>
        <w:t xml:space="preserve"> c.</w:t>
      </w:r>
      <w:r w:rsidR="00721138" w:rsidRPr="00A70B00">
        <w:rPr>
          <w:rFonts w:ascii="Calibri" w:hAnsi="Calibri" w:cs="Calibri"/>
        </w:rPr>
        <w:t xml:space="preserve"> (Marshall 1907)</w:t>
      </w:r>
      <w:r w:rsidR="00A70B00" w:rsidRPr="00A70B00">
        <w:rPr>
          <w:rFonts w:ascii="Calibri" w:hAnsi="Calibri" w:cs="Calibri"/>
        </w:rPr>
        <w:t>.</w:t>
      </w:r>
    </w:p>
  </w:footnote>
  <w:footnote w:id="4">
    <w:p w14:paraId="0205218E" w14:textId="67E2815F" w:rsidR="00AC11AC" w:rsidRPr="00AC11AC" w:rsidRDefault="00AC11AC" w:rsidP="00AC11AC">
      <w:pPr>
        <w:autoSpaceDE w:val="0"/>
        <w:autoSpaceDN w:val="0"/>
        <w:adjustRightInd w:val="0"/>
        <w:rPr>
          <w:rFonts w:cstheme="minorHAnsi"/>
          <w:sz w:val="20"/>
          <w:szCs w:val="20"/>
        </w:rPr>
      </w:pPr>
      <w:r w:rsidRPr="00AC11AC">
        <w:rPr>
          <w:rStyle w:val="FootnoteReference"/>
          <w:sz w:val="20"/>
          <w:szCs w:val="20"/>
        </w:rPr>
        <w:footnoteRef/>
      </w:r>
      <w:r w:rsidRPr="00AC11AC">
        <w:rPr>
          <w:rFonts w:cstheme="minorHAnsi"/>
          <w:sz w:val="20"/>
          <w:szCs w:val="20"/>
        </w:rPr>
        <w:t xml:space="preserve"> A mid-second to mid-third century cuirass, unfortunately without provenance, with two silver denarii attached to it by rivets (Fischer 2019, 76–6 and fig. 107), may be another example of amuletic use.</w:t>
      </w:r>
    </w:p>
    <w:p w14:paraId="7236A6AF" w14:textId="19E4F837" w:rsidR="00AC11AC" w:rsidRPr="00AC11AC" w:rsidRDefault="00AC11AC">
      <w:pPr>
        <w:pStyle w:val="FootnoteText"/>
        <w:rPr>
          <w:lang w:val="en-GB"/>
        </w:rPr>
      </w:pPr>
    </w:p>
  </w:footnote>
  <w:footnote w:id="5">
    <w:p w14:paraId="595C5C34" w14:textId="7283292C" w:rsidR="004319B5" w:rsidRPr="004319B5" w:rsidRDefault="004319B5">
      <w:pPr>
        <w:pStyle w:val="FootnoteText"/>
        <w:rPr>
          <w:lang w:val="en-GB"/>
        </w:rPr>
      </w:pPr>
      <w:r>
        <w:rPr>
          <w:rStyle w:val="FootnoteReference"/>
        </w:rPr>
        <w:footnoteRef/>
      </w:r>
      <w:r>
        <w:t xml:space="preserve"> </w:t>
      </w:r>
      <w:r w:rsidRPr="004319B5">
        <w:rPr>
          <w:rFonts w:ascii="Calibri" w:hAnsi="Calibri" w:cs="Calibri"/>
        </w:rPr>
        <w:t xml:space="preserve">Although the piercing is not necessarily concurrent with the issue date, </w:t>
      </w:r>
      <w:r>
        <w:rPr>
          <w:rFonts w:ascii="Calibri" w:hAnsi="Calibri" w:cs="Calibri"/>
        </w:rPr>
        <w:t xml:space="preserve">and could have occurred long afterwards, </w:t>
      </w:r>
      <w:r w:rsidRPr="004319B5">
        <w:rPr>
          <w:rFonts w:ascii="Calibri" w:hAnsi="Calibri" w:cs="Calibri"/>
        </w:rPr>
        <w:t xml:space="preserve">the fact that we </w:t>
      </w:r>
      <w:r>
        <w:rPr>
          <w:rFonts w:ascii="Calibri" w:hAnsi="Calibri" w:cs="Calibri"/>
        </w:rPr>
        <w:t xml:space="preserve">see less </w:t>
      </w:r>
      <w:r w:rsidRPr="004319B5">
        <w:rPr>
          <w:rFonts w:ascii="Calibri" w:hAnsi="Calibri" w:cs="Calibri"/>
        </w:rPr>
        <w:t>variety in piercing position for coins with earlier issue dates does imply that there is some correlation between the time when the coin was pierced and its issue date.</w:t>
      </w:r>
      <w:r>
        <w:rPr>
          <w:rFonts w:ascii="Calibri" w:hAnsi="Calibri" w:cs="Calibri"/>
        </w:rPr>
        <w:t xml:space="preserve"> Some types of piercing only appear to occur on later coins.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0C6"/>
    <w:multiLevelType w:val="hybridMultilevel"/>
    <w:tmpl w:val="DA74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9672D"/>
    <w:multiLevelType w:val="multilevel"/>
    <w:tmpl w:val="C7A24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C319C"/>
    <w:multiLevelType w:val="hybridMultilevel"/>
    <w:tmpl w:val="DFC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26455"/>
    <w:multiLevelType w:val="hybridMultilevel"/>
    <w:tmpl w:val="F77E2896"/>
    <w:lvl w:ilvl="0" w:tplc="882A368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172B24"/>
    <w:multiLevelType w:val="hybridMultilevel"/>
    <w:tmpl w:val="73867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75F14"/>
    <w:multiLevelType w:val="hybridMultilevel"/>
    <w:tmpl w:val="97D2FB18"/>
    <w:lvl w:ilvl="0" w:tplc="111A7D9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BA7296"/>
    <w:multiLevelType w:val="hybridMultilevel"/>
    <w:tmpl w:val="67C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650C0"/>
    <w:multiLevelType w:val="hybridMultilevel"/>
    <w:tmpl w:val="39CEFBD2"/>
    <w:lvl w:ilvl="0" w:tplc="4724C65C">
      <w:start w:val="1"/>
      <w:numFmt w:val="bullet"/>
      <w:lvlText w:val="•"/>
      <w:lvlJc w:val="left"/>
      <w:pPr>
        <w:tabs>
          <w:tab w:val="num" w:pos="720"/>
        </w:tabs>
        <w:ind w:left="720" w:hanging="360"/>
      </w:pPr>
      <w:rPr>
        <w:rFonts w:ascii="Arial" w:hAnsi="Arial" w:hint="default"/>
      </w:rPr>
    </w:lvl>
    <w:lvl w:ilvl="1" w:tplc="60C28BB6" w:tentative="1">
      <w:start w:val="1"/>
      <w:numFmt w:val="bullet"/>
      <w:lvlText w:val="•"/>
      <w:lvlJc w:val="left"/>
      <w:pPr>
        <w:tabs>
          <w:tab w:val="num" w:pos="1440"/>
        </w:tabs>
        <w:ind w:left="1440" w:hanging="360"/>
      </w:pPr>
      <w:rPr>
        <w:rFonts w:ascii="Arial" w:hAnsi="Arial" w:hint="default"/>
      </w:rPr>
    </w:lvl>
    <w:lvl w:ilvl="2" w:tplc="277AB9BC" w:tentative="1">
      <w:start w:val="1"/>
      <w:numFmt w:val="bullet"/>
      <w:lvlText w:val="•"/>
      <w:lvlJc w:val="left"/>
      <w:pPr>
        <w:tabs>
          <w:tab w:val="num" w:pos="2160"/>
        </w:tabs>
        <w:ind w:left="2160" w:hanging="360"/>
      </w:pPr>
      <w:rPr>
        <w:rFonts w:ascii="Arial" w:hAnsi="Arial" w:hint="default"/>
      </w:rPr>
    </w:lvl>
    <w:lvl w:ilvl="3" w:tplc="D92ADD00" w:tentative="1">
      <w:start w:val="1"/>
      <w:numFmt w:val="bullet"/>
      <w:lvlText w:val="•"/>
      <w:lvlJc w:val="left"/>
      <w:pPr>
        <w:tabs>
          <w:tab w:val="num" w:pos="2880"/>
        </w:tabs>
        <w:ind w:left="2880" w:hanging="360"/>
      </w:pPr>
      <w:rPr>
        <w:rFonts w:ascii="Arial" w:hAnsi="Arial" w:hint="default"/>
      </w:rPr>
    </w:lvl>
    <w:lvl w:ilvl="4" w:tplc="E152CAD6" w:tentative="1">
      <w:start w:val="1"/>
      <w:numFmt w:val="bullet"/>
      <w:lvlText w:val="•"/>
      <w:lvlJc w:val="left"/>
      <w:pPr>
        <w:tabs>
          <w:tab w:val="num" w:pos="3600"/>
        </w:tabs>
        <w:ind w:left="3600" w:hanging="360"/>
      </w:pPr>
      <w:rPr>
        <w:rFonts w:ascii="Arial" w:hAnsi="Arial" w:hint="default"/>
      </w:rPr>
    </w:lvl>
    <w:lvl w:ilvl="5" w:tplc="F33E429A" w:tentative="1">
      <w:start w:val="1"/>
      <w:numFmt w:val="bullet"/>
      <w:lvlText w:val="•"/>
      <w:lvlJc w:val="left"/>
      <w:pPr>
        <w:tabs>
          <w:tab w:val="num" w:pos="4320"/>
        </w:tabs>
        <w:ind w:left="4320" w:hanging="360"/>
      </w:pPr>
      <w:rPr>
        <w:rFonts w:ascii="Arial" w:hAnsi="Arial" w:hint="default"/>
      </w:rPr>
    </w:lvl>
    <w:lvl w:ilvl="6" w:tplc="86D289EA" w:tentative="1">
      <w:start w:val="1"/>
      <w:numFmt w:val="bullet"/>
      <w:lvlText w:val="•"/>
      <w:lvlJc w:val="left"/>
      <w:pPr>
        <w:tabs>
          <w:tab w:val="num" w:pos="5040"/>
        </w:tabs>
        <w:ind w:left="5040" w:hanging="360"/>
      </w:pPr>
      <w:rPr>
        <w:rFonts w:ascii="Arial" w:hAnsi="Arial" w:hint="default"/>
      </w:rPr>
    </w:lvl>
    <w:lvl w:ilvl="7" w:tplc="5958EB10" w:tentative="1">
      <w:start w:val="1"/>
      <w:numFmt w:val="bullet"/>
      <w:lvlText w:val="•"/>
      <w:lvlJc w:val="left"/>
      <w:pPr>
        <w:tabs>
          <w:tab w:val="num" w:pos="5760"/>
        </w:tabs>
        <w:ind w:left="5760" w:hanging="360"/>
      </w:pPr>
      <w:rPr>
        <w:rFonts w:ascii="Arial" w:hAnsi="Arial" w:hint="default"/>
      </w:rPr>
    </w:lvl>
    <w:lvl w:ilvl="8" w:tplc="7528FE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8A6FC3"/>
    <w:multiLevelType w:val="hybridMultilevel"/>
    <w:tmpl w:val="BA34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17DE8"/>
    <w:multiLevelType w:val="hybridMultilevel"/>
    <w:tmpl w:val="F7C282B0"/>
    <w:lvl w:ilvl="0" w:tplc="1E40F926">
      <w:start w:val="1"/>
      <w:numFmt w:val="bullet"/>
      <w:lvlText w:val="•"/>
      <w:lvlJc w:val="left"/>
      <w:pPr>
        <w:tabs>
          <w:tab w:val="num" w:pos="720"/>
        </w:tabs>
        <w:ind w:left="720" w:hanging="360"/>
      </w:pPr>
      <w:rPr>
        <w:rFonts w:ascii="Arial" w:hAnsi="Arial" w:hint="default"/>
      </w:rPr>
    </w:lvl>
    <w:lvl w:ilvl="1" w:tplc="D7ECF60C" w:tentative="1">
      <w:start w:val="1"/>
      <w:numFmt w:val="bullet"/>
      <w:lvlText w:val="•"/>
      <w:lvlJc w:val="left"/>
      <w:pPr>
        <w:tabs>
          <w:tab w:val="num" w:pos="1440"/>
        </w:tabs>
        <w:ind w:left="1440" w:hanging="360"/>
      </w:pPr>
      <w:rPr>
        <w:rFonts w:ascii="Arial" w:hAnsi="Arial" w:hint="default"/>
      </w:rPr>
    </w:lvl>
    <w:lvl w:ilvl="2" w:tplc="E5DCA536" w:tentative="1">
      <w:start w:val="1"/>
      <w:numFmt w:val="bullet"/>
      <w:lvlText w:val="•"/>
      <w:lvlJc w:val="left"/>
      <w:pPr>
        <w:tabs>
          <w:tab w:val="num" w:pos="2160"/>
        </w:tabs>
        <w:ind w:left="2160" w:hanging="360"/>
      </w:pPr>
      <w:rPr>
        <w:rFonts w:ascii="Arial" w:hAnsi="Arial" w:hint="default"/>
      </w:rPr>
    </w:lvl>
    <w:lvl w:ilvl="3" w:tplc="84D8F750" w:tentative="1">
      <w:start w:val="1"/>
      <w:numFmt w:val="bullet"/>
      <w:lvlText w:val="•"/>
      <w:lvlJc w:val="left"/>
      <w:pPr>
        <w:tabs>
          <w:tab w:val="num" w:pos="2880"/>
        </w:tabs>
        <w:ind w:left="2880" w:hanging="360"/>
      </w:pPr>
      <w:rPr>
        <w:rFonts w:ascii="Arial" w:hAnsi="Arial" w:hint="default"/>
      </w:rPr>
    </w:lvl>
    <w:lvl w:ilvl="4" w:tplc="7B2263B8" w:tentative="1">
      <w:start w:val="1"/>
      <w:numFmt w:val="bullet"/>
      <w:lvlText w:val="•"/>
      <w:lvlJc w:val="left"/>
      <w:pPr>
        <w:tabs>
          <w:tab w:val="num" w:pos="3600"/>
        </w:tabs>
        <w:ind w:left="3600" w:hanging="360"/>
      </w:pPr>
      <w:rPr>
        <w:rFonts w:ascii="Arial" w:hAnsi="Arial" w:hint="default"/>
      </w:rPr>
    </w:lvl>
    <w:lvl w:ilvl="5" w:tplc="E2B49A36" w:tentative="1">
      <w:start w:val="1"/>
      <w:numFmt w:val="bullet"/>
      <w:lvlText w:val="•"/>
      <w:lvlJc w:val="left"/>
      <w:pPr>
        <w:tabs>
          <w:tab w:val="num" w:pos="4320"/>
        </w:tabs>
        <w:ind w:left="4320" w:hanging="360"/>
      </w:pPr>
      <w:rPr>
        <w:rFonts w:ascii="Arial" w:hAnsi="Arial" w:hint="default"/>
      </w:rPr>
    </w:lvl>
    <w:lvl w:ilvl="6" w:tplc="8A0A3460" w:tentative="1">
      <w:start w:val="1"/>
      <w:numFmt w:val="bullet"/>
      <w:lvlText w:val="•"/>
      <w:lvlJc w:val="left"/>
      <w:pPr>
        <w:tabs>
          <w:tab w:val="num" w:pos="5040"/>
        </w:tabs>
        <w:ind w:left="5040" w:hanging="360"/>
      </w:pPr>
      <w:rPr>
        <w:rFonts w:ascii="Arial" w:hAnsi="Arial" w:hint="default"/>
      </w:rPr>
    </w:lvl>
    <w:lvl w:ilvl="7" w:tplc="C0E49C40" w:tentative="1">
      <w:start w:val="1"/>
      <w:numFmt w:val="bullet"/>
      <w:lvlText w:val="•"/>
      <w:lvlJc w:val="left"/>
      <w:pPr>
        <w:tabs>
          <w:tab w:val="num" w:pos="5760"/>
        </w:tabs>
        <w:ind w:left="5760" w:hanging="360"/>
      </w:pPr>
      <w:rPr>
        <w:rFonts w:ascii="Arial" w:hAnsi="Arial" w:hint="default"/>
      </w:rPr>
    </w:lvl>
    <w:lvl w:ilvl="8" w:tplc="DA1C1E9E" w:tentative="1">
      <w:start w:val="1"/>
      <w:numFmt w:val="bullet"/>
      <w:lvlText w:val="•"/>
      <w:lvlJc w:val="left"/>
      <w:pPr>
        <w:tabs>
          <w:tab w:val="num" w:pos="6480"/>
        </w:tabs>
        <w:ind w:left="6480" w:hanging="360"/>
      </w:pPr>
      <w:rPr>
        <w:rFonts w:ascii="Arial" w:hAnsi="Arial" w:hint="default"/>
      </w:rPr>
    </w:lvl>
  </w:abstractNum>
  <w:num w:numId="1" w16cid:durableId="1266692675">
    <w:abstractNumId w:val="9"/>
  </w:num>
  <w:num w:numId="2" w16cid:durableId="513808985">
    <w:abstractNumId w:val="4"/>
  </w:num>
  <w:num w:numId="3" w16cid:durableId="437650532">
    <w:abstractNumId w:val="7"/>
  </w:num>
  <w:num w:numId="4" w16cid:durableId="1859348363">
    <w:abstractNumId w:val="2"/>
  </w:num>
  <w:num w:numId="5" w16cid:durableId="1079058833">
    <w:abstractNumId w:val="8"/>
  </w:num>
  <w:num w:numId="6" w16cid:durableId="307632147">
    <w:abstractNumId w:val="3"/>
  </w:num>
  <w:num w:numId="7" w16cid:durableId="657415897">
    <w:abstractNumId w:val="5"/>
  </w:num>
  <w:num w:numId="8" w16cid:durableId="1495687870">
    <w:abstractNumId w:val="6"/>
  </w:num>
  <w:num w:numId="9" w16cid:durableId="1147865160">
    <w:abstractNumId w:val="1"/>
  </w:num>
  <w:num w:numId="10" w16cid:durableId="113024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77"/>
    <w:rsid w:val="00001217"/>
    <w:rsid w:val="000067EC"/>
    <w:rsid w:val="00007D47"/>
    <w:rsid w:val="00012DFB"/>
    <w:rsid w:val="0002296A"/>
    <w:rsid w:val="0002486B"/>
    <w:rsid w:val="00036342"/>
    <w:rsid w:val="0003750B"/>
    <w:rsid w:val="00042B68"/>
    <w:rsid w:val="00043E6B"/>
    <w:rsid w:val="0005316C"/>
    <w:rsid w:val="00063215"/>
    <w:rsid w:val="00066247"/>
    <w:rsid w:val="00070BD9"/>
    <w:rsid w:val="00082D75"/>
    <w:rsid w:val="00085A00"/>
    <w:rsid w:val="00094618"/>
    <w:rsid w:val="00097169"/>
    <w:rsid w:val="00097D0E"/>
    <w:rsid w:val="000A1483"/>
    <w:rsid w:val="000A7549"/>
    <w:rsid w:val="000B06DB"/>
    <w:rsid w:val="000C2471"/>
    <w:rsid w:val="000C4FCF"/>
    <w:rsid w:val="000D1104"/>
    <w:rsid w:val="000D3A57"/>
    <w:rsid w:val="000D7E53"/>
    <w:rsid w:val="000E06C7"/>
    <w:rsid w:val="000E3CD3"/>
    <w:rsid w:val="000F191C"/>
    <w:rsid w:val="000F5A8D"/>
    <w:rsid w:val="001001E0"/>
    <w:rsid w:val="00111F35"/>
    <w:rsid w:val="001140D4"/>
    <w:rsid w:val="00122101"/>
    <w:rsid w:val="00131E37"/>
    <w:rsid w:val="00150F24"/>
    <w:rsid w:val="001632EA"/>
    <w:rsid w:val="0016367D"/>
    <w:rsid w:val="00164825"/>
    <w:rsid w:val="00164EFC"/>
    <w:rsid w:val="0017305D"/>
    <w:rsid w:val="001809A6"/>
    <w:rsid w:val="00180FD1"/>
    <w:rsid w:val="00184C5E"/>
    <w:rsid w:val="001905BE"/>
    <w:rsid w:val="001953F0"/>
    <w:rsid w:val="001A196F"/>
    <w:rsid w:val="001A2E94"/>
    <w:rsid w:val="001C6F03"/>
    <w:rsid w:val="001E5A73"/>
    <w:rsid w:val="001F029A"/>
    <w:rsid w:val="001F09BD"/>
    <w:rsid w:val="001F23E0"/>
    <w:rsid w:val="001F3C0A"/>
    <w:rsid w:val="001F7A79"/>
    <w:rsid w:val="00203EB8"/>
    <w:rsid w:val="00206980"/>
    <w:rsid w:val="002113F3"/>
    <w:rsid w:val="00223D28"/>
    <w:rsid w:val="00231B7A"/>
    <w:rsid w:val="00232E54"/>
    <w:rsid w:val="0024653A"/>
    <w:rsid w:val="0025517D"/>
    <w:rsid w:val="00262D4A"/>
    <w:rsid w:val="0027331D"/>
    <w:rsid w:val="00273A1F"/>
    <w:rsid w:val="00275364"/>
    <w:rsid w:val="00275818"/>
    <w:rsid w:val="00284261"/>
    <w:rsid w:val="00296346"/>
    <w:rsid w:val="0029652C"/>
    <w:rsid w:val="00297E90"/>
    <w:rsid w:val="002A165C"/>
    <w:rsid w:val="002B1EA9"/>
    <w:rsid w:val="002B1FC3"/>
    <w:rsid w:val="002B22EE"/>
    <w:rsid w:val="002B4885"/>
    <w:rsid w:val="002C4CDE"/>
    <w:rsid w:val="002D1FCF"/>
    <w:rsid w:val="002D667D"/>
    <w:rsid w:val="002E0B51"/>
    <w:rsid w:val="002E1B86"/>
    <w:rsid w:val="002E1C02"/>
    <w:rsid w:val="002F0FB2"/>
    <w:rsid w:val="002F2DFB"/>
    <w:rsid w:val="003113A5"/>
    <w:rsid w:val="00313AF4"/>
    <w:rsid w:val="00315F7C"/>
    <w:rsid w:val="003224C8"/>
    <w:rsid w:val="00322F77"/>
    <w:rsid w:val="00324758"/>
    <w:rsid w:val="00330EC1"/>
    <w:rsid w:val="0033263C"/>
    <w:rsid w:val="003421BF"/>
    <w:rsid w:val="00345F07"/>
    <w:rsid w:val="003565D0"/>
    <w:rsid w:val="00357064"/>
    <w:rsid w:val="00360A07"/>
    <w:rsid w:val="00361531"/>
    <w:rsid w:val="00367A8E"/>
    <w:rsid w:val="00367AD5"/>
    <w:rsid w:val="00377F45"/>
    <w:rsid w:val="00384E93"/>
    <w:rsid w:val="00385242"/>
    <w:rsid w:val="00391035"/>
    <w:rsid w:val="003A2CF0"/>
    <w:rsid w:val="003A3722"/>
    <w:rsid w:val="003B178E"/>
    <w:rsid w:val="003B7D97"/>
    <w:rsid w:val="003C59DA"/>
    <w:rsid w:val="003D073C"/>
    <w:rsid w:val="003D1BE6"/>
    <w:rsid w:val="003D6414"/>
    <w:rsid w:val="003D6A81"/>
    <w:rsid w:val="003D7517"/>
    <w:rsid w:val="003E08E7"/>
    <w:rsid w:val="003E2333"/>
    <w:rsid w:val="003E33C6"/>
    <w:rsid w:val="003F422B"/>
    <w:rsid w:val="003F5150"/>
    <w:rsid w:val="00403DF8"/>
    <w:rsid w:val="004147EC"/>
    <w:rsid w:val="0041613D"/>
    <w:rsid w:val="004169C6"/>
    <w:rsid w:val="0042131A"/>
    <w:rsid w:val="00423321"/>
    <w:rsid w:val="004272F8"/>
    <w:rsid w:val="004319B5"/>
    <w:rsid w:val="00433860"/>
    <w:rsid w:val="00440C54"/>
    <w:rsid w:val="0044143F"/>
    <w:rsid w:val="004424D3"/>
    <w:rsid w:val="004579A2"/>
    <w:rsid w:val="004659A6"/>
    <w:rsid w:val="00466973"/>
    <w:rsid w:val="00472319"/>
    <w:rsid w:val="00472869"/>
    <w:rsid w:val="0047413C"/>
    <w:rsid w:val="004826B4"/>
    <w:rsid w:val="00491D7D"/>
    <w:rsid w:val="0049295D"/>
    <w:rsid w:val="00494763"/>
    <w:rsid w:val="004A3CED"/>
    <w:rsid w:val="004B1759"/>
    <w:rsid w:val="004C4D87"/>
    <w:rsid w:val="004C62BC"/>
    <w:rsid w:val="004D1863"/>
    <w:rsid w:val="004D6145"/>
    <w:rsid w:val="004E750A"/>
    <w:rsid w:val="00501C94"/>
    <w:rsid w:val="00502455"/>
    <w:rsid w:val="00503F4F"/>
    <w:rsid w:val="005055FE"/>
    <w:rsid w:val="005326DF"/>
    <w:rsid w:val="00541CA1"/>
    <w:rsid w:val="005442E0"/>
    <w:rsid w:val="00552495"/>
    <w:rsid w:val="00554B95"/>
    <w:rsid w:val="005572D3"/>
    <w:rsid w:val="00566277"/>
    <w:rsid w:val="00573DA9"/>
    <w:rsid w:val="00577CF0"/>
    <w:rsid w:val="0058159A"/>
    <w:rsid w:val="00582E7D"/>
    <w:rsid w:val="005853E0"/>
    <w:rsid w:val="005857C5"/>
    <w:rsid w:val="0059147A"/>
    <w:rsid w:val="005932C2"/>
    <w:rsid w:val="005979DE"/>
    <w:rsid w:val="00597D5A"/>
    <w:rsid w:val="005A205D"/>
    <w:rsid w:val="005A297D"/>
    <w:rsid w:val="005A30A1"/>
    <w:rsid w:val="005A5E27"/>
    <w:rsid w:val="005A7D85"/>
    <w:rsid w:val="005C26B2"/>
    <w:rsid w:val="005C6417"/>
    <w:rsid w:val="005D1DA6"/>
    <w:rsid w:val="005D2C51"/>
    <w:rsid w:val="005D590F"/>
    <w:rsid w:val="005D5CBA"/>
    <w:rsid w:val="005E0176"/>
    <w:rsid w:val="005E4175"/>
    <w:rsid w:val="005F24C4"/>
    <w:rsid w:val="00607462"/>
    <w:rsid w:val="00612DF2"/>
    <w:rsid w:val="00623F23"/>
    <w:rsid w:val="00645681"/>
    <w:rsid w:val="00653A8D"/>
    <w:rsid w:val="0067203C"/>
    <w:rsid w:val="00673B77"/>
    <w:rsid w:val="00673E7B"/>
    <w:rsid w:val="006771F2"/>
    <w:rsid w:val="006779E4"/>
    <w:rsid w:val="00682E32"/>
    <w:rsid w:val="0068335F"/>
    <w:rsid w:val="00683CE7"/>
    <w:rsid w:val="006855C4"/>
    <w:rsid w:val="00687F8E"/>
    <w:rsid w:val="006960FC"/>
    <w:rsid w:val="00696814"/>
    <w:rsid w:val="00697A23"/>
    <w:rsid w:val="006A591D"/>
    <w:rsid w:val="006A7754"/>
    <w:rsid w:val="006B0392"/>
    <w:rsid w:val="006B5B75"/>
    <w:rsid w:val="006B6E07"/>
    <w:rsid w:val="006C45DD"/>
    <w:rsid w:val="006D103A"/>
    <w:rsid w:val="006D1271"/>
    <w:rsid w:val="006D5010"/>
    <w:rsid w:val="006D52E3"/>
    <w:rsid w:val="006F7AF9"/>
    <w:rsid w:val="00701819"/>
    <w:rsid w:val="00701CED"/>
    <w:rsid w:val="00717580"/>
    <w:rsid w:val="00721138"/>
    <w:rsid w:val="00724ED6"/>
    <w:rsid w:val="00727B65"/>
    <w:rsid w:val="0073481F"/>
    <w:rsid w:val="00737F09"/>
    <w:rsid w:val="00741F9D"/>
    <w:rsid w:val="0074514A"/>
    <w:rsid w:val="00747647"/>
    <w:rsid w:val="00754409"/>
    <w:rsid w:val="0075614D"/>
    <w:rsid w:val="0075737A"/>
    <w:rsid w:val="007576D9"/>
    <w:rsid w:val="007645D9"/>
    <w:rsid w:val="00767B13"/>
    <w:rsid w:val="00767D44"/>
    <w:rsid w:val="0077044C"/>
    <w:rsid w:val="00770B84"/>
    <w:rsid w:val="0077595A"/>
    <w:rsid w:val="0079025C"/>
    <w:rsid w:val="00793A5B"/>
    <w:rsid w:val="007A24E7"/>
    <w:rsid w:val="007A313C"/>
    <w:rsid w:val="007B3AE3"/>
    <w:rsid w:val="007B407A"/>
    <w:rsid w:val="007B58D9"/>
    <w:rsid w:val="007C1ED8"/>
    <w:rsid w:val="007F7C37"/>
    <w:rsid w:val="008036A1"/>
    <w:rsid w:val="008038B1"/>
    <w:rsid w:val="00810FAD"/>
    <w:rsid w:val="00812675"/>
    <w:rsid w:val="00830DB2"/>
    <w:rsid w:val="00834A7F"/>
    <w:rsid w:val="0083686B"/>
    <w:rsid w:val="00842A40"/>
    <w:rsid w:val="008440C1"/>
    <w:rsid w:val="00872C07"/>
    <w:rsid w:val="00874E13"/>
    <w:rsid w:val="00875A50"/>
    <w:rsid w:val="008838A3"/>
    <w:rsid w:val="008858A0"/>
    <w:rsid w:val="00893123"/>
    <w:rsid w:val="008952B4"/>
    <w:rsid w:val="008A7B43"/>
    <w:rsid w:val="008B2B43"/>
    <w:rsid w:val="008C1B09"/>
    <w:rsid w:val="008D4E24"/>
    <w:rsid w:val="008D6E53"/>
    <w:rsid w:val="008E4011"/>
    <w:rsid w:val="008E7A66"/>
    <w:rsid w:val="008F080D"/>
    <w:rsid w:val="008F4ACF"/>
    <w:rsid w:val="008F5AD7"/>
    <w:rsid w:val="00900868"/>
    <w:rsid w:val="00901612"/>
    <w:rsid w:val="00903491"/>
    <w:rsid w:val="00903DE1"/>
    <w:rsid w:val="00905D26"/>
    <w:rsid w:val="00914758"/>
    <w:rsid w:val="00924EF9"/>
    <w:rsid w:val="00937AD0"/>
    <w:rsid w:val="00942523"/>
    <w:rsid w:val="0094283A"/>
    <w:rsid w:val="00944FFC"/>
    <w:rsid w:val="009560AC"/>
    <w:rsid w:val="009574C5"/>
    <w:rsid w:val="009668E8"/>
    <w:rsid w:val="00975D9F"/>
    <w:rsid w:val="00976F9D"/>
    <w:rsid w:val="0098267C"/>
    <w:rsid w:val="00985887"/>
    <w:rsid w:val="009A081F"/>
    <w:rsid w:val="009A095A"/>
    <w:rsid w:val="009A5B2B"/>
    <w:rsid w:val="009C041C"/>
    <w:rsid w:val="009D5D4B"/>
    <w:rsid w:val="009D626B"/>
    <w:rsid w:val="009E5B2F"/>
    <w:rsid w:val="009F48CB"/>
    <w:rsid w:val="00A00D71"/>
    <w:rsid w:val="00A06CC3"/>
    <w:rsid w:val="00A14EAC"/>
    <w:rsid w:val="00A17C89"/>
    <w:rsid w:val="00A213CA"/>
    <w:rsid w:val="00A31051"/>
    <w:rsid w:val="00A47313"/>
    <w:rsid w:val="00A52D58"/>
    <w:rsid w:val="00A53476"/>
    <w:rsid w:val="00A66952"/>
    <w:rsid w:val="00A67D19"/>
    <w:rsid w:val="00A70B00"/>
    <w:rsid w:val="00A72DFF"/>
    <w:rsid w:val="00A75B51"/>
    <w:rsid w:val="00A77F71"/>
    <w:rsid w:val="00A8382B"/>
    <w:rsid w:val="00A95820"/>
    <w:rsid w:val="00AA64B3"/>
    <w:rsid w:val="00AA7183"/>
    <w:rsid w:val="00AB0755"/>
    <w:rsid w:val="00AB23B0"/>
    <w:rsid w:val="00AB4D51"/>
    <w:rsid w:val="00AB56B9"/>
    <w:rsid w:val="00AB57C4"/>
    <w:rsid w:val="00AB796F"/>
    <w:rsid w:val="00AC11AC"/>
    <w:rsid w:val="00AC1ABC"/>
    <w:rsid w:val="00AC28A3"/>
    <w:rsid w:val="00AC5524"/>
    <w:rsid w:val="00AD2858"/>
    <w:rsid w:val="00AE14D2"/>
    <w:rsid w:val="00AE4253"/>
    <w:rsid w:val="00AE4965"/>
    <w:rsid w:val="00AE5171"/>
    <w:rsid w:val="00AE56E4"/>
    <w:rsid w:val="00AF27E8"/>
    <w:rsid w:val="00AF3597"/>
    <w:rsid w:val="00B0231B"/>
    <w:rsid w:val="00B0305B"/>
    <w:rsid w:val="00B15E07"/>
    <w:rsid w:val="00B33061"/>
    <w:rsid w:val="00B4066A"/>
    <w:rsid w:val="00B41AE0"/>
    <w:rsid w:val="00B44464"/>
    <w:rsid w:val="00B4662E"/>
    <w:rsid w:val="00B518D4"/>
    <w:rsid w:val="00B64DD6"/>
    <w:rsid w:val="00B731F2"/>
    <w:rsid w:val="00B7428B"/>
    <w:rsid w:val="00B80D1F"/>
    <w:rsid w:val="00B91DE9"/>
    <w:rsid w:val="00B922B2"/>
    <w:rsid w:val="00B94BCD"/>
    <w:rsid w:val="00B979B7"/>
    <w:rsid w:val="00BA6C0E"/>
    <w:rsid w:val="00BA766D"/>
    <w:rsid w:val="00BB1AE2"/>
    <w:rsid w:val="00BB4BAB"/>
    <w:rsid w:val="00BC2CAC"/>
    <w:rsid w:val="00BC4632"/>
    <w:rsid w:val="00BD6135"/>
    <w:rsid w:val="00BF13E6"/>
    <w:rsid w:val="00BF19CB"/>
    <w:rsid w:val="00BF28D7"/>
    <w:rsid w:val="00BF4D38"/>
    <w:rsid w:val="00C10FAA"/>
    <w:rsid w:val="00C15898"/>
    <w:rsid w:val="00C22AB4"/>
    <w:rsid w:val="00C26DAD"/>
    <w:rsid w:val="00C27DA7"/>
    <w:rsid w:val="00C33582"/>
    <w:rsid w:val="00C412E1"/>
    <w:rsid w:val="00C43393"/>
    <w:rsid w:val="00C4627B"/>
    <w:rsid w:val="00C47B91"/>
    <w:rsid w:val="00C5115C"/>
    <w:rsid w:val="00C530F1"/>
    <w:rsid w:val="00C623D2"/>
    <w:rsid w:val="00C62656"/>
    <w:rsid w:val="00C65A71"/>
    <w:rsid w:val="00C66715"/>
    <w:rsid w:val="00C67030"/>
    <w:rsid w:val="00C710D2"/>
    <w:rsid w:val="00C7786E"/>
    <w:rsid w:val="00C87CD6"/>
    <w:rsid w:val="00C91EF4"/>
    <w:rsid w:val="00C91F70"/>
    <w:rsid w:val="00C942B7"/>
    <w:rsid w:val="00CA1F2B"/>
    <w:rsid w:val="00CA204E"/>
    <w:rsid w:val="00CA3A12"/>
    <w:rsid w:val="00CA44EF"/>
    <w:rsid w:val="00CA731F"/>
    <w:rsid w:val="00CC1BCD"/>
    <w:rsid w:val="00CC60B2"/>
    <w:rsid w:val="00CC74B5"/>
    <w:rsid w:val="00CD07FB"/>
    <w:rsid w:val="00CE6C47"/>
    <w:rsid w:val="00CF0992"/>
    <w:rsid w:val="00D06EC2"/>
    <w:rsid w:val="00D06F9F"/>
    <w:rsid w:val="00D14CE9"/>
    <w:rsid w:val="00D17A5C"/>
    <w:rsid w:val="00D26A7E"/>
    <w:rsid w:val="00D31F0D"/>
    <w:rsid w:val="00D3212F"/>
    <w:rsid w:val="00D430F4"/>
    <w:rsid w:val="00D43FFA"/>
    <w:rsid w:val="00D45403"/>
    <w:rsid w:val="00D4757B"/>
    <w:rsid w:val="00D50B04"/>
    <w:rsid w:val="00D51F72"/>
    <w:rsid w:val="00D57069"/>
    <w:rsid w:val="00D64E01"/>
    <w:rsid w:val="00D64E6B"/>
    <w:rsid w:val="00D74391"/>
    <w:rsid w:val="00D75E19"/>
    <w:rsid w:val="00D8575A"/>
    <w:rsid w:val="00D87FA0"/>
    <w:rsid w:val="00D900E8"/>
    <w:rsid w:val="00D94F20"/>
    <w:rsid w:val="00DA2210"/>
    <w:rsid w:val="00DA5F22"/>
    <w:rsid w:val="00DA6EAA"/>
    <w:rsid w:val="00DB1367"/>
    <w:rsid w:val="00DB6143"/>
    <w:rsid w:val="00DB6339"/>
    <w:rsid w:val="00DC10F8"/>
    <w:rsid w:val="00DC2E32"/>
    <w:rsid w:val="00DC4C12"/>
    <w:rsid w:val="00DC5B3A"/>
    <w:rsid w:val="00DD11EC"/>
    <w:rsid w:val="00DD2524"/>
    <w:rsid w:val="00DD2DBB"/>
    <w:rsid w:val="00DE141F"/>
    <w:rsid w:val="00DF57C6"/>
    <w:rsid w:val="00DF6881"/>
    <w:rsid w:val="00E12658"/>
    <w:rsid w:val="00E16F74"/>
    <w:rsid w:val="00E210F3"/>
    <w:rsid w:val="00E26691"/>
    <w:rsid w:val="00E3511B"/>
    <w:rsid w:val="00E3542B"/>
    <w:rsid w:val="00E4455B"/>
    <w:rsid w:val="00E44BB0"/>
    <w:rsid w:val="00E45336"/>
    <w:rsid w:val="00E52E34"/>
    <w:rsid w:val="00E53DB2"/>
    <w:rsid w:val="00E55B7A"/>
    <w:rsid w:val="00E55C49"/>
    <w:rsid w:val="00E55C86"/>
    <w:rsid w:val="00E57D3C"/>
    <w:rsid w:val="00E66FB4"/>
    <w:rsid w:val="00E674FE"/>
    <w:rsid w:val="00E7556D"/>
    <w:rsid w:val="00E84438"/>
    <w:rsid w:val="00E93667"/>
    <w:rsid w:val="00EA0D6A"/>
    <w:rsid w:val="00EA1C71"/>
    <w:rsid w:val="00EA2D95"/>
    <w:rsid w:val="00EC4443"/>
    <w:rsid w:val="00EC5DC9"/>
    <w:rsid w:val="00ED360F"/>
    <w:rsid w:val="00ED616B"/>
    <w:rsid w:val="00EE17EE"/>
    <w:rsid w:val="00EE71A5"/>
    <w:rsid w:val="00EF024C"/>
    <w:rsid w:val="00EF170C"/>
    <w:rsid w:val="00EF27F0"/>
    <w:rsid w:val="00EF42C5"/>
    <w:rsid w:val="00EF60A8"/>
    <w:rsid w:val="00EF64D0"/>
    <w:rsid w:val="00EF7E14"/>
    <w:rsid w:val="00F1718A"/>
    <w:rsid w:val="00F26AF2"/>
    <w:rsid w:val="00F34757"/>
    <w:rsid w:val="00F47E15"/>
    <w:rsid w:val="00F501BA"/>
    <w:rsid w:val="00F61F60"/>
    <w:rsid w:val="00F67ABD"/>
    <w:rsid w:val="00F76D5D"/>
    <w:rsid w:val="00F87DE8"/>
    <w:rsid w:val="00F916C0"/>
    <w:rsid w:val="00F9171E"/>
    <w:rsid w:val="00F97AE6"/>
    <w:rsid w:val="00FC7C85"/>
    <w:rsid w:val="00FE5CE2"/>
    <w:rsid w:val="00FF0AF6"/>
    <w:rsid w:val="00FF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9857"/>
  <w15:chartTrackingRefBased/>
  <w15:docId w15:val="{7B4BD28A-68FB-4C14-A90B-DF896739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853E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ListParagraph">
    <w:name w:val="List Paragraph"/>
    <w:basedOn w:val="Normal"/>
    <w:uiPriority w:val="34"/>
    <w:qFormat/>
    <w:rsid w:val="005853E0"/>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853E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5853E0"/>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5853E0"/>
    <w:rPr>
      <w:vertAlign w:val="superscript"/>
    </w:rPr>
  </w:style>
  <w:style w:type="table" w:styleId="TableGrid">
    <w:name w:val="Table Grid"/>
    <w:basedOn w:val="TableNormal"/>
    <w:uiPriority w:val="39"/>
    <w:rsid w:val="0094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79DE"/>
    <w:rPr>
      <w:i/>
      <w:iCs/>
    </w:rPr>
  </w:style>
  <w:style w:type="character" w:styleId="Hyperlink">
    <w:name w:val="Hyperlink"/>
    <w:basedOn w:val="DefaultParagraphFont"/>
    <w:uiPriority w:val="99"/>
    <w:unhideWhenUsed/>
    <w:rsid w:val="005979DE"/>
    <w:rPr>
      <w:color w:val="0000FF"/>
      <w:u w:val="single"/>
    </w:rPr>
  </w:style>
  <w:style w:type="paragraph" w:styleId="Header">
    <w:name w:val="header"/>
    <w:basedOn w:val="Normal"/>
    <w:link w:val="HeaderChar"/>
    <w:uiPriority w:val="99"/>
    <w:unhideWhenUsed/>
    <w:rsid w:val="00B4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2E"/>
  </w:style>
  <w:style w:type="paragraph" w:styleId="Footer">
    <w:name w:val="footer"/>
    <w:basedOn w:val="Normal"/>
    <w:link w:val="FooterChar"/>
    <w:uiPriority w:val="99"/>
    <w:unhideWhenUsed/>
    <w:rsid w:val="00B4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2E"/>
  </w:style>
  <w:style w:type="character" w:styleId="UnresolvedMention">
    <w:name w:val="Unresolved Mention"/>
    <w:basedOn w:val="DefaultParagraphFont"/>
    <w:uiPriority w:val="99"/>
    <w:semiHidden/>
    <w:unhideWhenUsed/>
    <w:rsid w:val="004579A2"/>
    <w:rPr>
      <w:color w:val="605E5C"/>
      <w:shd w:val="clear" w:color="auto" w:fill="E1DFDD"/>
    </w:rPr>
  </w:style>
  <w:style w:type="paragraph" w:styleId="NormalWeb">
    <w:name w:val="Normal (Web)"/>
    <w:basedOn w:val="Normal"/>
    <w:uiPriority w:val="99"/>
    <w:semiHidden/>
    <w:unhideWhenUsed/>
    <w:rsid w:val="003A2C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6567">
      <w:bodyDiv w:val="1"/>
      <w:marLeft w:val="0"/>
      <w:marRight w:val="0"/>
      <w:marTop w:val="0"/>
      <w:marBottom w:val="0"/>
      <w:divBdr>
        <w:top w:val="none" w:sz="0" w:space="0" w:color="auto"/>
        <w:left w:val="none" w:sz="0" w:space="0" w:color="auto"/>
        <w:bottom w:val="none" w:sz="0" w:space="0" w:color="auto"/>
        <w:right w:val="none" w:sz="0" w:space="0" w:color="auto"/>
      </w:divBdr>
    </w:div>
    <w:div w:id="355665060">
      <w:bodyDiv w:val="1"/>
      <w:marLeft w:val="0"/>
      <w:marRight w:val="0"/>
      <w:marTop w:val="0"/>
      <w:marBottom w:val="0"/>
      <w:divBdr>
        <w:top w:val="none" w:sz="0" w:space="0" w:color="auto"/>
        <w:left w:val="none" w:sz="0" w:space="0" w:color="auto"/>
        <w:bottom w:val="none" w:sz="0" w:space="0" w:color="auto"/>
        <w:right w:val="none" w:sz="0" w:space="0" w:color="auto"/>
      </w:divBdr>
    </w:div>
    <w:div w:id="416442962">
      <w:bodyDiv w:val="1"/>
      <w:marLeft w:val="0"/>
      <w:marRight w:val="0"/>
      <w:marTop w:val="0"/>
      <w:marBottom w:val="0"/>
      <w:divBdr>
        <w:top w:val="none" w:sz="0" w:space="0" w:color="auto"/>
        <w:left w:val="none" w:sz="0" w:space="0" w:color="auto"/>
        <w:bottom w:val="none" w:sz="0" w:space="0" w:color="auto"/>
        <w:right w:val="none" w:sz="0" w:space="0" w:color="auto"/>
      </w:divBdr>
    </w:div>
    <w:div w:id="1300459865">
      <w:bodyDiv w:val="1"/>
      <w:marLeft w:val="0"/>
      <w:marRight w:val="0"/>
      <w:marTop w:val="0"/>
      <w:marBottom w:val="0"/>
      <w:divBdr>
        <w:top w:val="none" w:sz="0" w:space="0" w:color="auto"/>
        <w:left w:val="none" w:sz="0" w:space="0" w:color="auto"/>
        <w:bottom w:val="none" w:sz="0" w:space="0" w:color="auto"/>
        <w:right w:val="none" w:sz="0" w:space="0" w:color="auto"/>
      </w:divBdr>
      <w:divsChild>
        <w:div w:id="1773015705">
          <w:marLeft w:val="547"/>
          <w:marRight w:val="0"/>
          <w:marTop w:val="144"/>
          <w:marBottom w:val="0"/>
          <w:divBdr>
            <w:top w:val="none" w:sz="0" w:space="0" w:color="auto"/>
            <w:left w:val="none" w:sz="0" w:space="0" w:color="auto"/>
            <w:bottom w:val="none" w:sz="0" w:space="0" w:color="auto"/>
            <w:right w:val="none" w:sz="0" w:space="0" w:color="auto"/>
          </w:divBdr>
        </w:div>
        <w:div w:id="158279413">
          <w:marLeft w:val="547"/>
          <w:marRight w:val="0"/>
          <w:marTop w:val="144"/>
          <w:marBottom w:val="0"/>
          <w:divBdr>
            <w:top w:val="none" w:sz="0" w:space="0" w:color="auto"/>
            <w:left w:val="none" w:sz="0" w:space="0" w:color="auto"/>
            <w:bottom w:val="none" w:sz="0" w:space="0" w:color="auto"/>
            <w:right w:val="none" w:sz="0" w:space="0" w:color="auto"/>
          </w:divBdr>
        </w:div>
        <w:div w:id="690228760">
          <w:marLeft w:val="547"/>
          <w:marRight w:val="0"/>
          <w:marTop w:val="144"/>
          <w:marBottom w:val="0"/>
          <w:divBdr>
            <w:top w:val="none" w:sz="0" w:space="0" w:color="auto"/>
            <w:left w:val="none" w:sz="0" w:space="0" w:color="auto"/>
            <w:bottom w:val="none" w:sz="0" w:space="0" w:color="auto"/>
            <w:right w:val="none" w:sz="0" w:space="0" w:color="auto"/>
          </w:divBdr>
        </w:div>
      </w:divsChild>
    </w:div>
    <w:div w:id="1463498018">
      <w:bodyDiv w:val="1"/>
      <w:marLeft w:val="0"/>
      <w:marRight w:val="0"/>
      <w:marTop w:val="0"/>
      <w:marBottom w:val="0"/>
      <w:divBdr>
        <w:top w:val="none" w:sz="0" w:space="0" w:color="auto"/>
        <w:left w:val="none" w:sz="0" w:space="0" w:color="auto"/>
        <w:bottom w:val="none" w:sz="0" w:space="0" w:color="auto"/>
        <w:right w:val="none" w:sz="0" w:space="0" w:color="auto"/>
      </w:divBdr>
    </w:div>
    <w:div w:id="1534614898">
      <w:bodyDiv w:val="1"/>
      <w:marLeft w:val="0"/>
      <w:marRight w:val="0"/>
      <w:marTop w:val="0"/>
      <w:marBottom w:val="0"/>
      <w:divBdr>
        <w:top w:val="none" w:sz="0" w:space="0" w:color="auto"/>
        <w:left w:val="none" w:sz="0" w:space="0" w:color="auto"/>
        <w:bottom w:val="none" w:sz="0" w:space="0" w:color="auto"/>
        <w:right w:val="none" w:sz="0" w:space="0" w:color="auto"/>
      </w:divBdr>
      <w:divsChild>
        <w:div w:id="1047487286">
          <w:marLeft w:val="0"/>
          <w:marRight w:val="0"/>
          <w:marTop w:val="0"/>
          <w:marBottom w:val="150"/>
          <w:divBdr>
            <w:top w:val="none" w:sz="0" w:space="0" w:color="auto"/>
            <w:left w:val="none" w:sz="0" w:space="0" w:color="auto"/>
            <w:bottom w:val="none" w:sz="0" w:space="0" w:color="auto"/>
            <w:right w:val="none" w:sz="0" w:space="0" w:color="auto"/>
          </w:divBdr>
          <w:divsChild>
            <w:div w:id="1894612102">
              <w:marLeft w:val="0"/>
              <w:marRight w:val="0"/>
              <w:marTop w:val="0"/>
              <w:marBottom w:val="0"/>
              <w:divBdr>
                <w:top w:val="none" w:sz="0" w:space="0" w:color="auto"/>
                <w:left w:val="none" w:sz="0" w:space="0" w:color="auto"/>
                <w:bottom w:val="none" w:sz="0" w:space="0" w:color="auto"/>
                <w:right w:val="none" w:sz="0" w:space="0" w:color="auto"/>
              </w:divBdr>
              <w:divsChild>
                <w:div w:id="1747921779">
                  <w:marLeft w:val="0"/>
                  <w:marRight w:val="0"/>
                  <w:marTop w:val="0"/>
                  <w:marBottom w:val="0"/>
                  <w:divBdr>
                    <w:top w:val="none" w:sz="0" w:space="0" w:color="auto"/>
                    <w:left w:val="none" w:sz="0" w:space="0" w:color="auto"/>
                    <w:bottom w:val="none" w:sz="0" w:space="0" w:color="auto"/>
                    <w:right w:val="none" w:sz="0" w:space="0" w:color="auto"/>
                  </w:divBdr>
                  <w:divsChild>
                    <w:div w:id="16960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1522">
          <w:marLeft w:val="0"/>
          <w:marRight w:val="0"/>
          <w:marTop w:val="0"/>
          <w:marBottom w:val="150"/>
          <w:divBdr>
            <w:top w:val="none" w:sz="0" w:space="0" w:color="auto"/>
            <w:left w:val="none" w:sz="0" w:space="0" w:color="auto"/>
            <w:bottom w:val="none" w:sz="0" w:space="0" w:color="auto"/>
            <w:right w:val="none" w:sz="0" w:space="0" w:color="auto"/>
          </w:divBdr>
          <w:divsChild>
            <w:div w:id="1067260509">
              <w:marLeft w:val="0"/>
              <w:marRight w:val="0"/>
              <w:marTop w:val="0"/>
              <w:marBottom w:val="0"/>
              <w:divBdr>
                <w:top w:val="none" w:sz="0" w:space="0" w:color="auto"/>
                <w:left w:val="none" w:sz="0" w:space="0" w:color="auto"/>
                <w:bottom w:val="none" w:sz="0" w:space="0" w:color="auto"/>
                <w:right w:val="none" w:sz="0" w:space="0" w:color="auto"/>
              </w:divBdr>
              <w:divsChild>
                <w:div w:id="1206023618">
                  <w:marLeft w:val="0"/>
                  <w:marRight w:val="0"/>
                  <w:marTop w:val="0"/>
                  <w:marBottom w:val="0"/>
                  <w:divBdr>
                    <w:top w:val="none" w:sz="0" w:space="0" w:color="auto"/>
                    <w:left w:val="none" w:sz="0" w:space="0" w:color="auto"/>
                    <w:bottom w:val="none" w:sz="0" w:space="0" w:color="auto"/>
                    <w:right w:val="none" w:sz="0" w:space="0" w:color="auto"/>
                  </w:divBdr>
                  <w:divsChild>
                    <w:div w:id="565261759">
                      <w:marLeft w:val="0"/>
                      <w:marRight w:val="0"/>
                      <w:marTop w:val="0"/>
                      <w:marBottom w:val="0"/>
                      <w:divBdr>
                        <w:top w:val="none" w:sz="0" w:space="0" w:color="auto"/>
                        <w:left w:val="none" w:sz="0" w:space="0" w:color="auto"/>
                        <w:bottom w:val="none" w:sz="0" w:space="0" w:color="auto"/>
                        <w:right w:val="none" w:sz="0" w:space="0" w:color="auto"/>
                      </w:divBdr>
                    </w:div>
                    <w:div w:id="31422872">
                      <w:marLeft w:val="0"/>
                      <w:marRight w:val="0"/>
                      <w:marTop w:val="0"/>
                      <w:marBottom w:val="0"/>
                      <w:divBdr>
                        <w:top w:val="none" w:sz="0" w:space="0" w:color="auto"/>
                        <w:left w:val="none" w:sz="0" w:space="0" w:color="auto"/>
                        <w:bottom w:val="none" w:sz="0" w:space="0" w:color="auto"/>
                        <w:right w:val="none" w:sz="0" w:space="0" w:color="auto"/>
                      </w:divBdr>
                    </w:div>
                    <w:div w:id="1953054396">
                      <w:marLeft w:val="0"/>
                      <w:marRight w:val="0"/>
                      <w:marTop w:val="0"/>
                      <w:marBottom w:val="0"/>
                      <w:divBdr>
                        <w:top w:val="none" w:sz="0" w:space="0" w:color="auto"/>
                        <w:left w:val="none" w:sz="0" w:space="0" w:color="auto"/>
                        <w:bottom w:val="none" w:sz="0" w:space="0" w:color="auto"/>
                        <w:right w:val="none" w:sz="0" w:space="0" w:color="auto"/>
                      </w:divBdr>
                    </w:div>
                    <w:div w:id="15321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88455">
          <w:marLeft w:val="0"/>
          <w:marRight w:val="0"/>
          <w:marTop w:val="0"/>
          <w:marBottom w:val="150"/>
          <w:divBdr>
            <w:top w:val="none" w:sz="0" w:space="0" w:color="auto"/>
            <w:left w:val="none" w:sz="0" w:space="0" w:color="auto"/>
            <w:bottom w:val="none" w:sz="0" w:space="0" w:color="auto"/>
            <w:right w:val="none" w:sz="0" w:space="0" w:color="auto"/>
          </w:divBdr>
          <w:divsChild>
            <w:div w:id="308367868">
              <w:marLeft w:val="0"/>
              <w:marRight w:val="0"/>
              <w:marTop w:val="0"/>
              <w:marBottom w:val="0"/>
              <w:divBdr>
                <w:top w:val="none" w:sz="0" w:space="0" w:color="auto"/>
                <w:left w:val="none" w:sz="0" w:space="0" w:color="auto"/>
                <w:bottom w:val="none" w:sz="0" w:space="0" w:color="auto"/>
                <w:right w:val="none" w:sz="0" w:space="0" w:color="auto"/>
              </w:divBdr>
              <w:divsChild>
                <w:div w:id="20476286">
                  <w:marLeft w:val="0"/>
                  <w:marRight w:val="0"/>
                  <w:marTop w:val="0"/>
                  <w:marBottom w:val="0"/>
                  <w:divBdr>
                    <w:top w:val="none" w:sz="0" w:space="0" w:color="auto"/>
                    <w:left w:val="none" w:sz="0" w:space="0" w:color="auto"/>
                    <w:bottom w:val="none" w:sz="0" w:space="0" w:color="auto"/>
                    <w:right w:val="none" w:sz="0" w:space="0" w:color="auto"/>
                  </w:divBdr>
                  <w:divsChild>
                    <w:div w:id="337267871">
                      <w:marLeft w:val="0"/>
                      <w:marRight w:val="0"/>
                      <w:marTop w:val="0"/>
                      <w:marBottom w:val="0"/>
                      <w:divBdr>
                        <w:top w:val="none" w:sz="0" w:space="0" w:color="auto"/>
                        <w:left w:val="none" w:sz="0" w:space="0" w:color="auto"/>
                        <w:bottom w:val="none" w:sz="0" w:space="0" w:color="auto"/>
                        <w:right w:val="none" w:sz="0" w:space="0" w:color="auto"/>
                      </w:divBdr>
                    </w:div>
                    <w:div w:id="1918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3849">
          <w:marLeft w:val="0"/>
          <w:marRight w:val="0"/>
          <w:marTop w:val="0"/>
          <w:marBottom w:val="150"/>
          <w:divBdr>
            <w:top w:val="none" w:sz="0" w:space="0" w:color="auto"/>
            <w:left w:val="none" w:sz="0" w:space="0" w:color="auto"/>
            <w:bottom w:val="none" w:sz="0" w:space="0" w:color="auto"/>
            <w:right w:val="none" w:sz="0" w:space="0" w:color="auto"/>
          </w:divBdr>
          <w:divsChild>
            <w:div w:id="977996243">
              <w:marLeft w:val="0"/>
              <w:marRight w:val="0"/>
              <w:marTop w:val="0"/>
              <w:marBottom w:val="0"/>
              <w:divBdr>
                <w:top w:val="none" w:sz="0" w:space="0" w:color="auto"/>
                <w:left w:val="none" w:sz="0" w:space="0" w:color="auto"/>
                <w:bottom w:val="none" w:sz="0" w:space="0" w:color="auto"/>
                <w:right w:val="none" w:sz="0" w:space="0" w:color="auto"/>
              </w:divBdr>
              <w:divsChild>
                <w:div w:id="1227912425">
                  <w:marLeft w:val="0"/>
                  <w:marRight w:val="0"/>
                  <w:marTop w:val="0"/>
                  <w:marBottom w:val="0"/>
                  <w:divBdr>
                    <w:top w:val="none" w:sz="0" w:space="0" w:color="auto"/>
                    <w:left w:val="none" w:sz="0" w:space="0" w:color="auto"/>
                    <w:bottom w:val="none" w:sz="0" w:space="0" w:color="auto"/>
                    <w:right w:val="none" w:sz="0" w:space="0" w:color="auto"/>
                  </w:divBdr>
                  <w:divsChild>
                    <w:div w:id="633291220">
                      <w:marLeft w:val="0"/>
                      <w:marRight w:val="0"/>
                      <w:marTop w:val="0"/>
                      <w:marBottom w:val="0"/>
                      <w:divBdr>
                        <w:top w:val="none" w:sz="0" w:space="0" w:color="auto"/>
                        <w:left w:val="none" w:sz="0" w:space="0" w:color="auto"/>
                        <w:bottom w:val="none" w:sz="0" w:space="0" w:color="auto"/>
                        <w:right w:val="none" w:sz="0" w:space="0" w:color="auto"/>
                      </w:divBdr>
                    </w:div>
                    <w:div w:id="30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s.org.uk/database%20consulted%2015/07/2023" TargetMode="External"/><Relationship Id="rId13" Type="http://schemas.openxmlformats.org/officeDocument/2006/relationships/hyperlink" Target="https://creativecommons.org/licenses/by/2.0/" TargetMode="External"/><Relationship Id="rId18" Type="http://schemas.openxmlformats.org/officeDocument/2006/relationships/hyperlink" Target="https://creativecommons.org/licenses/by-sa/4.0/deed.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2.0/" TargetMode="External"/><Relationship Id="rId17" Type="http://schemas.openxmlformats.org/officeDocument/2006/relationships/hyperlink" Target="https://creativecommons.org/licenses/by-sa/4.0/deed.en" TargetMode="External"/><Relationship Id="rId2" Type="http://schemas.openxmlformats.org/officeDocument/2006/relationships/numbering" Target="numbering.xml"/><Relationship Id="rId16" Type="http://schemas.openxmlformats.org/officeDocument/2006/relationships/hyperlink" Target="https://creativecommons.org/licenses/by-sa/4.0/deed.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2.0/" TargetMode="External"/><Relationship Id="rId5" Type="http://schemas.openxmlformats.org/officeDocument/2006/relationships/webSettings" Target="webSettings.xml"/><Relationship Id="rId15" Type="http://schemas.openxmlformats.org/officeDocument/2006/relationships/hyperlink" Target="https://creativecommons.org/licenses/by/2.0/" TargetMode="External"/><Relationship Id="rId10" Type="http://schemas.openxmlformats.org/officeDocument/2006/relationships/hyperlink" Target="https://finds.org.uk/database" TargetMode="External"/><Relationship Id="rId19" Type="http://schemas.openxmlformats.org/officeDocument/2006/relationships/hyperlink" Target="https://creativecommons.org/licenses/by/2.0/" TargetMode="External"/><Relationship Id="rId4" Type="http://schemas.openxmlformats.org/officeDocument/2006/relationships/settings" Target="settings.xml"/><Relationship Id="rId9" Type="http://schemas.openxmlformats.org/officeDocument/2006/relationships/hyperlink" Target="https://doi.org/10.1080/17585716.2016.1205340" TargetMode="External"/><Relationship Id="rId14" Type="http://schemas.openxmlformats.org/officeDocument/2006/relationships/hyperlink" Target="https://creativecommons.org/licenses/by-sa/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0039-2B5A-4306-98B9-0F15A577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TotalTime>
  <Pages>13</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Swift</dc:creator>
  <cp:keywords/>
  <dc:description/>
  <cp:lastModifiedBy>Ellen Swift</cp:lastModifiedBy>
  <cp:revision>377</cp:revision>
  <cp:lastPrinted>2024-02-23T13:02:00Z</cp:lastPrinted>
  <dcterms:created xsi:type="dcterms:W3CDTF">2023-02-28T15:32:00Z</dcterms:created>
  <dcterms:modified xsi:type="dcterms:W3CDTF">2024-03-28T10:10:00Z</dcterms:modified>
</cp:coreProperties>
</file>