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8F55D8" w14:textId="77777777" w:rsidR="000C1872" w:rsidRDefault="000C1872" w:rsidP="000C1872">
      <w:pPr>
        <w:spacing w:line="360" w:lineRule="auto"/>
        <w:jc w:val="center"/>
        <w:rPr>
          <w:rFonts w:ascii="Candara" w:hAnsi="Candara"/>
          <w:b/>
          <w:bCs/>
          <w:sz w:val="22"/>
          <w:szCs w:val="22"/>
          <w:u w:val="single"/>
        </w:rPr>
      </w:pPr>
      <w:r>
        <w:rPr>
          <w:rFonts w:ascii="Candara" w:hAnsi="Candara"/>
          <w:b/>
          <w:bCs/>
          <w:sz w:val="22"/>
          <w:szCs w:val="22"/>
          <w:u w:val="single"/>
        </w:rPr>
        <w:t>Chapter 1 – War Planning, Mobilization and the War of Movement in 1914</w:t>
      </w:r>
    </w:p>
    <w:p w14:paraId="36DCEBFA" w14:textId="77777777" w:rsidR="000C1872" w:rsidRDefault="000C1872" w:rsidP="000C1872">
      <w:pPr>
        <w:spacing w:line="360" w:lineRule="auto"/>
        <w:jc w:val="center"/>
        <w:rPr>
          <w:rFonts w:ascii="Candara" w:hAnsi="Candara"/>
          <w:b/>
          <w:bCs/>
          <w:sz w:val="22"/>
          <w:szCs w:val="22"/>
          <w:u w:val="single"/>
        </w:rPr>
      </w:pPr>
      <w:r>
        <w:rPr>
          <w:rFonts w:ascii="Candara" w:hAnsi="Candara"/>
          <w:b/>
          <w:bCs/>
          <w:sz w:val="22"/>
          <w:szCs w:val="22"/>
          <w:u w:val="single"/>
        </w:rPr>
        <w:t>Dr Mario Draper</w:t>
      </w:r>
    </w:p>
    <w:p w14:paraId="5455AB9D" w14:textId="77777777" w:rsidR="000C1872" w:rsidRDefault="000C1872" w:rsidP="000C1872">
      <w:pPr>
        <w:spacing w:line="360" w:lineRule="auto"/>
        <w:jc w:val="both"/>
        <w:rPr>
          <w:rFonts w:ascii="Candara" w:hAnsi="Candara"/>
          <w:sz w:val="22"/>
          <w:szCs w:val="22"/>
        </w:rPr>
      </w:pPr>
    </w:p>
    <w:p w14:paraId="75A57F0C" w14:textId="77777777" w:rsidR="000C1872" w:rsidRDefault="000C1872" w:rsidP="000C1872">
      <w:pPr>
        <w:spacing w:line="360" w:lineRule="auto"/>
        <w:jc w:val="both"/>
        <w:rPr>
          <w:rFonts w:ascii="Candara" w:hAnsi="Candara"/>
          <w:sz w:val="22"/>
          <w:szCs w:val="22"/>
        </w:rPr>
      </w:pPr>
      <w:r>
        <w:rPr>
          <w:rFonts w:ascii="Candara" w:hAnsi="Candara"/>
          <w:b/>
          <w:bCs/>
          <w:sz w:val="22"/>
          <w:szCs w:val="22"/>
          <w:u w:val="single"/>
        </w:rPr>
        <w:t>Introduction</w:t>
      </w:r>
      <w:r>
        <w:rPr>
          <w:rFonts w:ascii="Candara" w:hAnsi="Candara"/>
          <w:sz w:val="22"/>
          <w:szCs w:val="22"/>
        </w:rPr>
        <w:tab/>
      </w:r>
    </w:p>
    <w:p w14:paraId="6907E778" w14:textId="2DE8A55C" w:rsidR="000C1872" w:rsidRDefault="003D5270" w:rsidP="000C1872">
      <w:pPr>
        <w:spacing w:line="360" w:lineRule="auto"/>
        <w:ind w:firstLine="720"/>
        <w:jc w:val="both"/>
        <w:rPr>
          <w:rFonts w:ascii="Candara" w:hAnsi="Candara"/>
          <w:sz w:val="22"/>
          <w:szCs w:val="22"/>
        </w:rPr>
      </w:pPr>
      <w:r>
        <w:rPr>
          <w:rFonts w:ascii="Candara" w:hAnsi="Candara"/>
          <w:sz w:val="22"/>
          <w:szCs w:val="22"/>
        </w:rPr>
        <w:t>T</w:t>
      </w:r>
      <w:r w:rsidR="000C1872">
        <w:rPr>
          <w:rFonts w:ascii="Candara" w:hAnsi="Candara"/>
          <w:sz w:val="22"/>
          <w:szCs w:val="22"/>
        </w:rPr>
        <w:t xml:space="preserve">he study of war planning and mobilization is deeply unfashionable. Not only is it concerned with the nuts and bolts of military organisation and the movement of troops through imagined time and space, but historians are constantly forced to grapple with its hypotheticals while acknowledging that no plan survives first contact. Consequently, we are left to examine the evidence, such as it is, shrouded in myriad ‘what ifs’ and ‘maybes’. The war plans of Europe’s Great Powers on the eve of the First World War are no different and have now stimulated debate for more than a century. Readers may be familiar with the likes of the Russian Plan 19 (Altered Variant A) or the French Plan XVII (all wrapped up in the Dual Alliance of 1894). Others may recognise the idea of Britain’s so-called ‘continental commitment’; to some a moral obligation to France percolating from the 1904 </w:t>
      </w:r>
      <w:r w:rsidR="000C1872">
        <w:rPr>
          <w:rFonts w:ascii="Candara" w:hAnsi="Candara"/>
          <w:i/>
          <w:iCs/>
          <w:sz w:val="22"/>
          <w:szCs w:val="22"/>
        </w:rPr>
        <w:t>Entente Cordiale</w:t>
      </w:r>
      <w:r w:rsidR="000C1872">
        <w:rPr>
          <w:rFonts w:ascii="Candara" w:hAnsi="Candara"/>
          <w:sz w:val="22"/>
          <w:szCs w:val="22"/>
        </w:rPr>
        <w:t xml:space="preserve"> and associated staff talks.</w:t>
      </w:r>
      <w:r w:rsidR="000C1872">
        <w:rPr>
          <w:rStyle w:val="FootnoteReference"/>
          <w:rFonts w:ascii="Candara" w:hAnsi="Candara"/>
          <w:sz w:val="22"/>
          <w:szCs w:val="22"/>
        </w:rPr>
        <w:footnoteReference w:id="1"/>
      </w:r>
      <w:r w:rsidR="000C1872">
        <w:rPr>
          <w:rFonts w:ascii="Candara" w:hAnsi="Candara"/>
          <w:sz w:val="22"/>
          <w:szCs w:val="22"/>
        </w:rPr>
        <w:t xml:space="preserve"> Still, none is more widely known, nor as controversial, as the German Schlieffen Plan; for this was the incarnation of ‘war by timetable’. Its very existence and its detailed workings facilitated military encroachment upon civilian diplomacy and played </w:t>
      </w:r>
      <w:r w:rsidR="00207B67">
        <w:rPr>
          <w:rFonts w:ascii="Candara" w:hAnsi="Candara"/>
          <w:sz w:val="22"/>
          <w:szCs w:val="22"/>
        </w:rPr>
        <w:t>its</w:t>
      </w:r>
      <w:r w:rsidR="000C1872">
        <w:rPr>
          <w:rFonts w:ascii="Candara" w:hAnsi="Candara"/>
          <w:sz w:val="22"/>
          <w:szCs w:val="22"/>
        </w:rPr>
        <w:t xml:space="preserve"> part in sending Europe, and the world, ‘sleepwalking’ into a global war of unprecedented scale and destruction.</w:t>
      </w:r>
      <w:r w:rsidR="000C1872">
        <w:rPr>
          <w:rStyle w:val="FootnoteReference"/>
          <w:rFonts w:ascii="Candara" w:hAnsi="Candara"/>
          <w:sz w:val="22"/>
          <w:szCs w:val="22"/>
        </w:rPr>
        <w:footnoteReference w:id="2"/>
      </w:r>
      <w:r w:rsidR="000C1872">
        <w:rPr>
          <w:rFonts w:ascii="Candara" w:hAnsi="Candara"/>
          <w:sz w:val="22"/>
          <w:szCs w:val="22"/>
        </w:rPr>
        <w:t xml:space="preserve"> Placed in this context, the study of war planning and mobilization may be permitted to move from the obscure and obtuse to the indispensable. </w:t>
      </w:r>
    </w:p>
    <w:p w14:paraId="6F47C706" w14:textId="035EEA1C" w:rsidR="000C1872" w:rsidRDefault="000C1872" w:rsidP="000C1872">
      <w:pPr>
        <w:spacing w:line="360" w:lineRule="auto"/>
        <w:jc w:val="both"/>
        <w:rPr>
          <w:rFonts w:ascii="Candara" w:hAnsi="Candara"/>
          <w:sz w:val="22"/>
          <w:szCs w:val="22"/>
        </w:rPr>
      </w:pPr>
      <w:r>
        <w:rPr>
          <w:rFonts w:ascii="Candara" w:hAnsi="Candara"/>
          <w:sz w:val="22"/>
          <w:szCs w:val="22"/>
        </w:rPr>
        <w:tab/>
        <w:t xml:space="preserve">This chapter will examine the war plans and military preparations of Germany, France, Great Britain, and Belgium as they related to the opening engagements on the Western Front. It will draw out the inherent links between armies and societies and reflect on the often fractious civil-military relationships that flared-up during the formulation and execution of foreign policy – intensified, as it was in the early </w:t>
      </w:r>
      <w:r w:rsidR="00C55333">
        <w:rPr>
          <w:rFonts w:ascii="Candara" w:hAnsi="Candara"/>
          <w:sz w:val="22"/>
          <w:szCs w:val="22"/>
        </w:rPr>
        <w:t>twentieth c</w:t>
      </w:r>
      <w:r>
        <w:rPr>
          <w:rFonts w:ascii="Candara" w:hAnsi="Candara"/>
          <w:sz w:val="22"/>
          <w:szCs w:val="22"/>
        </w:rPr>
        <w:t xml:space="preserve">entury, by imperial rivalries, the alliance system, a rampant arms race, and burgeoning militarism. It will demonstrate that, despite possessing a number of contingencies, the belligerent armies felt somewhat constrained in their actions </w:t>
      </w:r>
      <w:r w:rsidR="00207B67">
        <w:rPr>
          <w:rFonts w:ascii="Candara" w:hAnsi="Candara"/>
          <w:sz w:val="22"/>
          <w:szCs w:val="22"/>
        </w:rPr>
        <w:t xml:space="preserve">come </w:t>
      </w:r>
      <w:r>
        <w:rPr>
          <w:rFonts w:ascii="Candara" w:hAnsi="Candara"/>
          <w:sz w:val="22"/>
          <w:szCs w:val="22"/>
        </w:rPr>
        <w:t xml:space="preserve">August 1914. While armies were able to deploy like clockwork, the vagaries of campaigning necessitated deviation from the carefully curated war plans as commanders endeavoured to </w:t>
      </w:r>
      <w:r>
        <w:rPr>
          <w:rFonts w:ascii="Candara" w:hAnsi="Candara"/>
          <w:sz w:val="22"/>
          <w:szCs w:val="22"/>
        </w:rPr>
        <w:lastRenderedPageBreak/>
        <w:t xml:space="preserve">respond to an ever-evolving situation. The search for decisive victory ultimately fell victim to the new realities of mass industrialised warfare, transforming the idealised ‘war of movement’ into inconclusive deadlock. </w:t>
      </w:r>
      <w:r w:rsidR="00207B67">
        <w:rPr>
          <w:rFonts w:ascii="Candara" w:hAnsi="Candara"/>
          <w:sz w:val="22"/>
          <w:szCs w:val="22"/>
        </w:rPr>
        <w:t>T</w:t>
      </w:r>
      <w:r>
        <w:rPr>
          <w:rFonts w:ascii="Candara" w:hAnsi="Candara"/>
          <w:sz w:val="22"/>
          <w:szCs w:val="22"/>
        </w:rPr>
        <w:t>he immobility of stalemate and attrition</w:t>
      </w:r>
      <w:r w:rsidR="00207B67">
        <w:rPr>
          <w:rFonts w:ascii="Candara" w:hAnsi="Candara"/>
          <w:sz w:val="22"/>
          <w:szCs w:val="22"/>
        </w:rPr>
        <w:t xml:space="preserve"> of the Western Front</w:t>
      </w:r>
      <w:r>
        <w:rPr>
          <w:rFonts w:ascii="Candara" w:hAnsi="Candara"/>
          <w:sz w:val="22"/>
          <w:szCs w:val="22"/>
        </w:rPr>
        <w:t xml:space="preserve"> served as a grizzly reminder that planning for a short war had simply been an illusion.</w:t>
      </w:r>
      <w:r>
        <w:rPr>
          <w:rStyle w:val="FootnoteReference"/>
          <w:rFonts w:ascii="Candara" w:hAnsi="Candara"/>
          <w:sz w:val="22"/>
          <w:szCs w:val="22"/>
        </w:rPr>
        <w:footnoteReference w:id="3"/>
      </w:r>
      <w:r>
        <w:rPr>
          <w:rFonts w:ascii="Candara" w:hAnsi="Candara"/>
          <w:sz w:val="22"/>
          <w:szCs w:val="22"/>
        </w:rPr>
        <w:t xml:space="preserve"> </w:t>
      </w:r>
    </w:p>
    <w:p w14:paraId="2FAB289E" w14:textId="77777777" w:rsidR="000C1872" w:rsidRDefault="000C1872" w:rsidP="000C1872">
      <w:pPr>
        <w:spacing w:line="360" w:lineRule="auto"/>
        <w:jc w:val="both"/>
        <w:rPr>
          <w:rFonts w:ascii="Candara" w:hAnsi="Candara"/>
          <w:sz w:val="22"/>
          <w:szCs w:val="22"/>
        </w:rPr>
      </w:pPr>
    </w:p>
    <w:p w14:paraId="5441FD67" w14:textId="77777777" w:rsidR="000C1872" w:rsidRDefault="000C1872" w:rsidP="000C1872">
      <w:pPr>
        <w:spacing w:line="360" w:lineRule="auto"/>
        <w:jc w:val="both"/>
        <w:rPr>
          <w:rFonts w:ascii="Candara" w:hAnsi="Candara"/>
          <w:b/>
          <w:bCs/>
          <w:sz w:val="22"/>
          <w:szCs w:val="22"/>
          <w:u w:val="single"/>
        </w:rPr>
      </w:pPr>
      <w:r>
        <w:rPr>
          <w:rFonts w:ascii="Candara" w:hAnsi="Candara"/>
          <w:b/>
          <w:bCs/>
          <w:sz w:val="22"/>
          <w:szCs w:val="22"/>
          <w:u w:val="single"/>
        </w:rPr>
        <w:t>Germany and the Schlieffen Plan</w:t>
      </w:r>
    </w:p>
    <w:p w14:paraId="02A3479E" w14:textId="647EEF66" w:rsidR="000C1872" w:rsidRPr="00AB389D" w:rsidRDefault="000C1872" w:rsidP="000C1872">
      <w:pPr>
        <w:spacing w:line="360" w:lineRule="auto"/>
        <w:jc w:val="both"/>
        <w:rPr>
          <w:rFonts w:ascii="Candara" w:hAnsi="Candara"/>
          <w:sz w:val="22"/>
          <w:szCs w:val="22"/>
        </w:rPr>
      </w:pPr>
      <w:r>
        <w:rPr>
          <w:rFonts w:ascii="Candara" w:hAnsi="Candara"/>
          <w:sz w:val="22"/>
          <w:szCs w:val="22"/>
        </w:rPr>
        <w:tab/>
        <w:t xml:space="preserve">In 1999, Terence Zuber published a provocative article which argued that there never </w:t>
      </w:r>
      <w:r w:rsidR="00507470">
        <w:rPr>
          <w:rFonts w:ascii="Candara" w:hAnsi="Candara"/>
          <w:sz w:val="22"/>
          <w:szCs w:val="22"/>
        </w:rPr>
        <w:t>was</w:t>
      </w:r>
      <w:r>
        <w:rPr>
          <w:rFonts w:ascii="Candara" w:hAnsi="Candara"/>
          <w:sz w:val="22"/>
          <w:szCs w:val="22"/>
        </w:rPr>
        <w:t xml:space="preserve"> a Schlieffen Plan.</w:t>
      </w:r>
      <w:r>
        <w:rPr>
          <w:rStyle w:val="FootnoteReference"/>
          <w:rFonts w:ascii="Candara" w:hAnsi="Candara"/>
          <w:sz w:val="22"/>
          <w:szCs w:val="22"/>
        </w:rPr>
        <w:footnoteReference w:id="4"/>
      </w:r>
      <w:r>
        <w:rPr>
          <w:rFonts w:ascii="Candara" w:hAnsi="Candara"/>
          <w:sz w:val="22"/>
          <w:szCs w:val="22"/>
        </w:rPr>
        <w:t xml:space="preserve"> In so doing, he reanimated a debate that had lain largely dormant since Gerhard Ritter had equated </w:t>
      </w:r>
      <w:r>
        <w:rPr>
          <w:rFonts w:ascii="Candara" w:hAnsi="Candara"/>
          <w:i/>
          <w:iCs/>
          <w:sz w:val="22"/>
          <w:szCs w:val="22"/>
        </w:rPr>
        <w:t xml:space="preserve">Der </w:t>
      </w:r>
      <w:proofErr w:type="spellStart"/>
      <w:r>
        <w:rPr>
          <w:rFonts w:ascii="Candara" w:hAnsi="Candara"/>
          <w:i/>
          <w:iCs/>
          <w:sz w:val="22"/>
          <w:szCs w:val="22"/>
        </w:rPr>
        <w:t>Schlieffenplan</w:t>
      </w:r>
      <w:proofErr w:type="spellEnd"/>
      <w:r>
        <w:rPr>
          <w:rFonts w:ascii="Candara" w:hAnsi="Candara"/>
          <w:sz w:val="22"/>
          <w:szCs w:val="22"/>
        </w:rPr>
        <w:t xml:space="preserve"> with aggressive German militarism in 1956.</w:t>
      </w:r>
      <w:r>
        <w:rPr>
          <w:rStyle w:val="FootnoteReference"/>
          <w:rFonts w:ascii="Candara" w:hAnsi="Candara"/>
          <w:sz w:val="22"/>
          <w:szCs w:val="22"/>
        </w:rPr>
        <w:footnoteReference w:id="5"/>
      </w:r>
      <w:r>
        <w:rPr>
          <w:rFonts w:ascii="Candara" w:hAnsi="Candara"/>
          <w:sz w:val="22"/>
          <w:szCs w:val="22"/>
        </w:rPr>
        <w:t xml:space="preserve"> Zuber’s central thesis revolved around the idea that Count Alfred von Schlieffen, the Chief of the German General Staff  (1891-1906), did not seek to counter Germany’s geo-strategic conundrum of a two-front war with Russia to the East and France to the West through an offensive strategy. Rather, he preferred to adopt a more modest counter-offensive against anticipated French aggression. Schlieffen’s 1905 </w:t>
      </w:r>
      <w:proofErr w:type="spellStart"/>
      <w:r>
        <w:rPr>
          <w:rFonts w:ascii="Candara" w:hAnsi="Candara"/>
          <w:i/>
          <w:iCs/>
          <w:sz w:val="22"/>
          <w:szCs w:val="22"/>
        </w:rPr>
        <w:t>Denkschrift</w:t>
      </w:r>
      <w:proofErr w:type="spellEnd"/>
      <w:r>
        <w:rPr>
          <w:rFonts w:ascii="Candara" w:hAnsi="Candara"/>
          <w:sz w:val="22"/>
          <w:szCs w:val="22"/>
        </w:rPr>
        <w:t>, deemed ‘an isolated aberration’ and not the culmination of his strategic thinking, was not a war plan but a parting call for an increase to the German military establishment.</w:t>
      </w:r>
      <w:r>
        <w:rPr>
          <w:rStyle w:val="FootnoteReference"/>
          <w:rFonts w:ascii="Candara" w:hAnsi="Candara"/>
          <w:sz w:val="22"/>
          <w:szCs w:val="22"/>
        </w:rPr>
        <w:footnoteReference w:id="6"/>
      </w:r>
      <w:r>
        <w:rPr>
          <w:rFonts w:ascii="Candara" w:hAnsi="Candara"/>
          <w:sz w:val="22"/>
          <w:szCs w:val="22"/>
        </w:rPr>
        <w:t xml:space="preserve"> It offered proof, if proof was needed, that France’s more thorough exploitation of universal conscription – around 85</w:t>
      </w:r>
      <w:r w:rsidR="00C55333">
        <w:rPr>
          <w:rFonts w:ascii="Candara" w:hAnsi="Candara"/>
          <w:sz w:val="22"/>
          <w:szCs w:val="22"/>
        </w:rPr>
        <w:t xml:space="preserve"> percent</w:t>
      </w:r>
      <w:r>
        <w:rPr>
          <w:rFonts w:ascii="Candara" w:hAnsi="Candara"/>
          <w:sz w:val="22"/>
          <w:szCs w:val="22"/>
        </w:rPr>
        <w:t xml:space="preserve"> of its annual eligible manpower as opposed to Germany’s 55</w:t>
      </w:r>
      <w:r w:rsidR="00C55333">
        <w:rPr>
          <w:rFonts w:ascii="Candara" w:hAnsi="Candara"/>
          <w:sz w:val="22"/>
          <w:szCs w:val="22"/>
        </w:rPr>
        <w:t xml:space="preserve"> percent</w:t>
      </w:r>
      <w:r>
        <w:rPr>
          <w:rFonts w:ascii="Candara" w:hAnsi="Candara"/>
          <w:sz w:val="22"/>
          <w:szCs w:val="22"/>
        </w:rPr>
        <w:t xml:space="preserve"> – placed the </w:t>
      </w:r>
      <w:proofErr w:type="spellStart"/>
      <w:r w:rsidRPr="009C3998">
        <w:rPr>
          <w:rFonts w:ascii="Candara" w:hAnsi="Candara"/>
          <w:i/>
          <w:iCs/>
          <w:sz w:val="22"/>
          <w:szCs w:val="22"/>
        </w:rPr>
        <w:t>Kaiserreich</w:t>
      </w:r>
      <w:proofErr w:type="spellEnd"/>
      <w:r>
        <w:rPr>
          <w:rFonts w:ascii="Candara" w:hAnsi="Candara"/>
          <w:sz w:val="22"/>
          <w:szCs w:val="22"/>
        </w:rPr>
        <w:t xml:space="preserve"> at a distinct disadvantage despite its demographic superiority. The so-called Russian steamroller – no longer an ally since the 1887 dissolution of the Three Emperors’ League –  only added to German insecurities despite Russia’s recent humiliation in Manchuria (1904-5). Put simply, the Zuber thesis sought, by extension, to absolve Germany of its war guilt.</w:t>
      </w:r>
      <w:r>
        <w:rPr>
          <w:rStyle w:val="FootnoteReference"/>
          <w:rFonts w:ascii="Candara" w:hAnsi="Candara"/>
          <w:sz w:val="22"/>
          <w:szCs w:val="22"/>
        </w:rPr>
        <w:footnoteReference w:id="7"/>
      </w:r>
    </w:p>
    <w:p w14:paraId="4CFF1ACA" w14:textId="77FE83FB" w:rsidR="000C1872" w:rsidRDefault="000C1872" w:rsidP="000C1872">
      <w:pPr>
        <w:spacing w:line="360" w:lineRule="auto"/>
        <w:jc w:val="both"/>
        <w:rPr>
          <w:rFonts w:ascii="Candara" w:hAnsi="Candara"/>
          <w:sz w:val="22"/>
          <w:szCs w:val="22"/>
        </w:rPr>
      </w:pPr>
      <w:r>
        <w:rPr>
          <w:rFonts w:ascii="Candara" w:hAnsi="Candara"/>
          <w:sz w:val="22"/>
          <w:szCs w:val="22"/>
        </w:rPr>
        <w:tab/>
        <w:t xml:space="preserve">A number of historians engaged </w:t>
      </w:r>
      <w:r w:rsidR="00207B67">
        <w:rPr>
          <w:rFonts w:ascii="Candara" w:hAnsi="Candara"/>
          <w:sz w:val="22"/>
          <w:szCs w:val="22"/>
        </w:rPr>
        <w:t>critically</w:t>
      </w:r>
      <w:r>
        <w:rPr>
          <w:rFonts w:ascii="Candara" w:hAnsi="Candara"/>
          <w:sz w:val="22"/>
          <w:szCs w:val="22"/>
        </w:rPr>
        <w:t xml:space="preserve"> with Zuber’s broader ideas as well as the minutiae in what became a protracted debate conducted openly (and at times personally) through the pages of </w:t>
      </w:r>
      <w:r>
        <w:rPr>
          <w:rFonts w:ascii="Candara" w:hAnsi="Candara"/>
          <w:i/>
          <w:iCs/>
          <w:sz w:val="22"/>
          <w:szCs w:val="22"/>
        </w:rPr>
        <w:t>War in History</w:t>
      </w:r>
      <w:r>
        <w:rPr>
          <w:rFonts w:ascii="Candara" w:hAnsi="Candara"/>
          <w:sz w:val="22"/>
          <w:szCs w:val="22"/>
        </w:rPr>
        <w:t xml:space="preserve">. Terence Holmes was the first to respond. He contended that the </w:t>
      </w:r>
      <w:proofErr w:type="spellStart"/>
      <w:r>
        <w:rPr>
          <w:rFonts w:ascii="Candara" w:hAnsi="Candara"/>
          <w:i/>
          <w:iCs/>
          <w:sz w:val="22"/>
          <w:szCs w:val="22"/>
        </w:rPr>
        <w:t>Denkschrift</w:t>
      </w:r>
      <w:proofErr w:type="spellEnd"/>
      <w:r>
        <w:rPr>
          <w:rFonts w:ascii="Candara" w:hAnsi="Candara"/>
          <w:i/>
          <w:iCs/>
          <w:sz w:val="22"/>
          <w:szCs w:val="22"/>
        </w:rPr>
        <w:t xml:space="preserve"> </w:t>
      </w:r>
      <w:r>
        <w:rPr>
          <w:rFonts w:ascii="Candara" w:hAnsi="Candara"/>
          <w:sz w:val="22"/>
          <w:szCs w:val="22"/>
        </w:rPr>
        <w:t xml:space="preserve">‘represented a natural extension of Schlieffen’s prior thinking on the west-front </w:t>
      </w:r>
      <w:r>
        <w:rPr>
          <w:rFonts w:ascii="Candara" w:hAnsi="Candara"/>
          <w:sz w:val="22"/>
          <w:szCs w:val="22"/>
        </w:rPr>
        <w:lastRenderedPageBreak/>
        <w:t>offensive’ and was ‘a closely reasoned response to what he saw as the determining political, strategic and operational factors of the moment’. It was a genuine plan to defeat France with the forces available, albeit recognising that troop numbers remained a concern.</w:t>
      </w:r>
      <w:r>
        <w:rPr>
          <w:rStyle w:val="FootnoteReference"/>
          <w:rFonts w:ascii="Candara" w:hAnsi="Candara"/>
          <w:sz w:val="22"/>
          <w:szCs w:val="22"/>
        </w:rPr>
        <w:footnoteReference w:id="8"/>
      </w:r>
      <w:r>
        <w:rPr>
          <w:rFonts w:ascii="Candara" w:hAnsi="Candara"/>
          <w:sz w:val="22"/>
          <w:szCs w:val="22"/>
        </w:rPr>
        <w:t xml:space="preserve"> Robert Foley added to proceedings by elucidating the continuities in Schlieffen’s thinking throughout his tenure as he moved planning away from an East-first approach favoured by his predecessor, Helmuth von Moltke the Elder (1857-88). Schlieffen began to consider and adapt two plans annually – one focussed on France and, the other, a more balanced deployment between two fronts. Continuities in Schlieffen’s thinking over time should also be recognised in that of his successor, Helmuth von Moltke the Younger, (1906-14) – albeit adapted to meet the rapidly changing strategic environment.</w:t>
      </w:r>
      <w:r>
        <w:rPr>
          <w:rStyle w:val="FootnoteReference"/>
          <w:rFonts w:ascii="Candara" w:hAnsi="Candara"/>
          <w:sz w:val="22"/>
          <w:szCs w:val="22"/>
        </w:rPr>
        <w:footnoteReference w:id="9"/>
      </w:r>
      <w:r>
        <w:rPr>
          <w:rFonts w:ascii="Candara" w:hAnsi="Candara"/>
          <w:sz w:val="22"/>
          <w:szCs w:val="22"/>
        </w:rPr>
        <w:t xml:space="preserve"> Indeed, there is clear evidence to suggest that Moltke was heavily influenced by reports emanating from Germany’s </w:t>
      </w:r>
      <w:r w:rsidR="00C55333">
        <w:rPr>
          <w:rFonts w:ascii="Candara" w:hAnsi="Candara"/>
          <w:sz w:val="22"/>
          <w:szCs w:val="22"/>
        </w:rPr>
        <w:t>m</w:t>
      </w:r>
      <w:r>
        <w:rPr>
          <w:rFonts w:ascii="Candara" w:hAnsi="Candara"/>
          <w:sz w:val="22"/>
          <w:szCs w:val="22"/>
        </w:rPr>
        <w:t xml:space="preserve">ilitary </w:t>
      </w:r>
      <w:r w:rsidR="00C55333">
        <w:rPr>
          <w:rFonts w:ascii="Candara" w:hAnsi="Candara"/>
          <w:sz w:val="22"/>
          <w:szCs w:val="22"/>
        </w:rPr>
        <w:t>a</w:t>
      </w:r>
      <w:r>
        <w:rPr>
          <w:rFonts w:ascii="Candara" w:hAnsi="Candara"/>
          <w:sz w:val="22"/>
          <w:szCs w:val="22"/>
        </w:rPr>
        <w:t>ttachés in Paris, leading to a crucial underestimation of the French Army in the years preceding the outbreak of war.</w:t>
      </w:r>
      <w:r>
        <w:rPr>
          <w:rStyle w:val="FootnoteReference"/>
          <w:rFonts w:ascii="Candara" w:hAnsi="Candara"/>
          <w:sz w:val="22"/>
          <w:szCs w:val="22"/>
        </w:rPr>
        <w:footnoteReference w:id="10"/>
      </w:r>
    </w:p>
    <w:p w14:paraId="71B39F88" w14:textId="099F0146" w:rsidR="000C1872" w:rsidRDefault="000C1872" w:rsidP="000C1872">
      <w:pPr>
        <w:spacing w:line="360" w:lineRule="auto"/>
        <w:jc w:val="both"/>
        <w:rPr>
          <w:rFonts w:ascii="Candara" w:hAnsi="Candara"/>
          <w:sz w:val="22"/>
          <w:szCs w:val="22"/>
        </w:rPr>
      </w:pPr>
      <w:r>
        <w:rPr>
          <w:rFonts w:ascii="Candara" w:hAnsi="Candara"/>
          <w:sz w:val="22"/>
          <w:szCs w:val="22"/>
        </w:rPr>
        <w:tab/>
        <w:t xml:space="preserve">Moltke the Younger has been the subject of much criticism regarding this and other issues. As a realist and a fatalist, he truly believed that Germany’s slender military advantage was diminishing with each year that passed. </w:t>
      </w:r>
      <w:r w:rsidR="00207B67">
        <w:rPr>
          <w:rFonts w:ascii="Candara" w:hAnsi="Candara"/>
          <w:sz w:val="22"/>
          <w:szCs w:val="22"/>
        </w:rPr>
        <w:t>The French</w:t>
      </w:r>
      <w:r>
        <w:rPr>
          <w:rFonts w:ascii="Candara" w:hAnsi="Candara"/>
          <w:sz w:val="22"/>
          <w:szCs w:val="22"/>
        </w:rPr>
        <w:t xml:space="preserve"> national revival and Russia’s military recovery created a ‘now or never’ mindset when the opportunity arose in the summer of 1914, resulting in Moltke shedding the ‘reluctant leader’ mantle to emerge as a powerful advocate for war when others, including the Kaiser, developed cold feet.</w:t>
      </w:r>
      <w:r>
        <w:rPr>
          <w:rStyle w:val="FootnoteReference"/>
          <w:rFonts w:ascii="Candara" w:hAnsi="Candara"/>
          <w:sz w:val="22"/>
          <w:szCs w:val="22"/>
        </w:rPr>
        <w:footnoteReference w:id="11"/>
      </w:r>
      <w:r>
        <w:rPr>
          <w:rFonts w:ascii="Candara" w:hAnsi="Candara"/>
          <w:sz w:val="22"/>
          <w:szCs w:val="22"/>
        </w:rPr>
        <w:t xml:space="preserve"> Notwithstanding, Moltke was more aware than most of the high probability of a protracted conflict. As Annika </w:t>
      </w:r>
      <w:proofErr w:type="spellStart"/>
      <w:r>
        <w:rPr>
          <w:rFonts w:ascii="Candara" w:hAnsi="Candara"/>
          <w:sz w:val="22"/>
          <w:szCs w:val="22"/>
        </w:rPr>
        <w:t>Mombauer</w:t>
      </w:r>
      <w:proofErr w:type="spellEnd"/>
      <w:r>
        <w:rPr>
          <w:rFonts w:ascii="Candara" w:hAnsi="Candara"/>
          <w:sz w:val="22"/>
          <w:szCs w:val="22"/>
        </w:rPr>
        <w:t xml:space="preserve"> has demonstrated, this underscored the decision to remove the Netherlands from the operational plan bequeathed by Schlieffen, which long-term would offer Germany a ‘windpipe’ through which neutral trade could flow. Combined with increasing assurances that the French Army would launch major offensives into Alsace and Lorraine at the start of any war, the cumulative effect was to alter the balance of forces from a dominant right wing (famously a 7:1 to a 3:1 ratio) and place greater emphasis on the </w:t>
      </w:r>
      <w:r>
        <w:rPr>
          <w:rFonts w:ascii="Candara" w:hAnsi="Candara"/>
          <w:sz w:val="22"/>
          <w:szCs w:val="22"/>
        </w:rPr>
        <w:lastRenderedPageBreak/>
        <w:t>swift capture of the Belgian fortress of Liège to pave the way for the grand envelopment.</w:t>
      </w:r>
      <w:r>
        <w:rPr>
          <w:rStyle w:val="FootnoteReference"/>
          <w:rFonts w:ascii="Candara" w:hAnsi="Candara"/>
          <w:sz w:val="22"/>
          <w:szCs w:val="22"/>
        </w:rPr>
        <w:footnoteReference w:id="12"/>
      </w:r>
      <w:r>
        <w:rPr>
          <w:rFonts w:ascii="Candara" w:hAnsi="Candara"/>
          <w:sz w:val="22"/>
          <w:szCs w:val="22"/>
        </w:rPr>
        <w:t xml:space="preserve"> This and other amendments based on updated circumstances since 1906 should perhaps lead historians to refer to a ‘Moltke Plan’ as opposed to a ‘Schlieffen Plan’. However, the essential characteristics of Schlieffen’s operational ideas remained.</w:t>
      </w:r>
      <w:r>
        <w:rPr>
          <w:rStyle w:val="FootnoteReference"/>
          <w:rFonts w:ascii="Candara" w:hAnsi="Candara"/>
          <w:sz w:val="22"/>
          <w:szCs w:val="22"/>
        </w:rPr>
        <w:footnoteReference w:id="13"/>
      </w:r>
    </w:p>
    <w:p w14:paraId="12FC27AF" w14:textId="7A5895D1" w:rsidR="000C1872" w:rsidRDefault="000C1872" w:rsidP="000C1872">
      <w:pPr>
        <w:spacing w:line="360" w:lineRule="auto"/>
        <w:jc w:val="both"/>
        <w:rPr>
          <w:rFonts w:ascii="Candara" w:hAnsi="Candara"/>
          <w:sz w:val="22"/>
          <w:szCs w:val="22"/>
        </w:rPr>
      </w:pPr>
      <w:r>
        <w:rPr>
          <w:rFonts w:ascii="Candara" w:hAnsi="Candara"/>
          <w:sz w:val="22"/>
          <w:szCs w:val="22"/>
        </w:rPr>
        <w:tab/>
        <w:t xml:space="preserve">Following German defeat in 1918, a ‘Schlieffen School’ emerged, both from within the army and without, that sought to scapegoat the Younger Moltke. To them, altering Schlieffen’s genial plan was nothing short of a betrayal and the root cause for the critical failure on the Marne in September 1914. Moltke’s psychological breakdown at this juncture, as well as the politicking behind the scenes, resulted in his being replaced as Chief of the General Staff by War Minister Erich von Falkenhayn – albeit delayed officially until November for purposes of morale and propaganda. This apparent weakness not only discredited Moltke as a commander but his untimely death in 1916 </w:t>
      </w:r>
      <w:r w:rsidR="00207B67">
        <w:rPr>
          <w:rFonts w:ascii="Candara" w:hAnsi="Candara"/>
          <w:sz w:val="22"/>
          <w:szCs w:val="22"/>
        </w:rPr>
        <w:t xml:space="preserve">also </w:t>
      </w:r>
      <w:r>
        <w:rPr>
          <w:rFonts w:ascii="Candara" w:hAnsi="Candara"/>
          <w:sz w:val="22"/>
          <w:szCs w:val="22"/>
        </w:rPr>
        <w:t>deprived him of the opportunity to set the record straight. As such, the Schlieffen Plan acquired unparallelled status as the army sought to prove that it had possessed the capabilities to win the war. This was reinforced by a generation of staff officers whose personal attachment as students under Schlieffen’s guiding hand, lived long into the interwar period.</w:t>
      </w:r>
      <w:r>
        <w:rPr>
          <w:rStyle w:val="FootnoteReference"/>
          <w:rFonts w:ascii="Candara" w:hAnsi="Candara"/>
          <w:sz w:val="22"/>
          <w:szCs w:val="22"/>
        </w:rPr>
        <w:footnoteReference w:id="14"/>
      </w:r>
      <w:r>
        <w:rPr>
          <w:rFonts w:ascii="Candara" w:hAnsi="Candara"/>
          <w:sz w:val="22"/>
          <w:szCs w:val="22"/>
        </w:rPr>
        <w:t xml:space="preserve"> Only after the Second World War did the historiography begin to shift. As Robert Foley notes, ‘[w]here interwar authors had seen operational efficiency, post Second World War observers saw dogma leading to defeat’.</w:t>
      </w:r>
      <w:r>
        <w:rPr>
          <w:rStyle w:val="FootnoteReference"/>
          <w:rFonts w:ascii="Candara" w:hAnsi="Candara"/>
          <w:sz w:val="22"/>
          <w:szCs w:val="22"/>
        </w:rPr>
        <w:footnoteReference w:id="15"/>
      </w:r>
    </w:p>
    <w:p w14:paraId="6E8B210A" w14:textId="27218007" w:rsidR="000C1872" w:rsidRDefault="000C1872" w:rsidP="000C1872">
      <w:pPr>
        <w:spacing w:line="360" w:lineRule="auto"/>
        <w:jc w:val="both"/>
        <w:rPr>
          <w:rFonts w:ascii="Candara" w:hAnsi="Candara"/>
          <w:sz w:val="22"/>
          <w:szCs w:val="22"/>
        </w:rPr>
      </w:pPr>
      <w:r>
        <w:rPr>
          <w:rFonts w:ascii="Candara" w:hAnsi="Candara"/>
          <w:sz w:val="22"/>
          <w:szCs w:val="22"/>
        </w:rPr>
        <w:tab/>
        <w:t xml:space="preserve">The basic tenets of the Schlieffen Plan revolved around the destruction of the French Army by way of a large enveloping movement through Belgium and the Netherlands (the latter subsequently removed by Moltke).  This had a number of advantages; not least avoiding the heavily fortified Franco-German border with its unfavourable force-to-space ratio but, more importantly, securing access to the Low Countries’ extraordinarily concentrated rail network. With it would come the strategic initiative and the tempo of operations necessary to end the war within </w:t>
      </w:r>
      <w:r w:rsidR="00C55333">
        <w:rPr>
          <w:rFonts w:ascii="Candara" w:hAnsi="Candara"/>
          <w:sz w:val="22"/>
          <w:szCs w:val="22"/>
        </w:rPr>
        <w:t>forty</w:t>
      </w:r>
      <w:r>
        <w:rPr>
          <w:rFonts w:ascii="Candara" w:hAnsi="Candara"/>
          <w:sz w:val="22"/>
          <w:szCs w:val="22"/>
        </w:rPr>
        <w:t xml:space="preserve"> days. Despite being a point of contention in the historiography, Paris does not appear to have been an objective in and of itself. However, contingency had to be made for its inclusion in the envelopment if circumstances arose.</w:t>
      </w:r>
      <w:r>
        <w:rPr>
          <w:rStyle w:val="FootnoteReference"/>
          <w:rFonts w:ascii="Candara" w:hAnsi="Candara"/>
          <w:sz w:val="22"/>
          <w:szCs w:val="22"/>
        </w:rPr>
        <w:footnoteReference w:id="16"/>
      </w:r>
      <w:r>
        <w:rPr>
          <w:rFonts w:ascii="Candara" w:hAnsi="Candara"/>
          <w:sz w:val="22"/>
          <w:szCs w:val="22"/>
        </w:rPr>
        <w:t xml:space="preserve"> Troop numbers, therefore, were paramount, with reservists included in the initial deployment plans and further exigencies made towards pulling together </w:t>
      </w:r>
      <w:r>
        <w:rPr>
          <w:rFonts w:ascii="Candara" w:hAnsi="Candara"/>
          <w:sz w:val="22"/>
          <w:szCs w:val="22"/>
        </w:rPr>
        <w:lastRenderedPageBreak/>
        <w:t>disparate units into Ersatz divisions to bolster the attacking forces in the opening phases.</w:t>
      </w:r>
      <w:r>
        <w:rPr>
          <w:rStyle w:val="FootnoteReference"/>
          <w:rFonts w:ascii="Candara" w:hAnsi="Candara"/>
          <w:sz w:val="22"/>
          <w:szCs w:val="22"/>
        </w:rPr>
        <w:footnoteReference w:id="17"/>
      </w:r>
      <w:r>
        <w:rPr>
          <w:rFonts w:ascii="Candara" w:hAnsi="Candara"/>
          <w:sz w:val="22"/>
          <w:szCs w:val="22"/>
        </w:rPr>
        <w:t xml:space="preserve"> Schlieffen also placed great emphasis on up-gunning the German artillery and providing for more technical and support units to facilitate continuous movement. Whereas the French Army undoubtedly possessed the best field gun in the form of the French 75mm, the German Army stole a march </w:t>
      </w:r>
      <w:r w:rsidR="00507470">
        <w:rPr>
          <w:rFonts w:ascii="Candara" w:hAnsi="Candara"/>
          <w:sz w:val="22"/>
          <w:szCs w:val="22"/>
        </w:rPr>
        <w:t>in terms of</w:t>
      </w:r>
      <w:r>
        <w:rPr>
          <w:rFonts w:ascii="Candara" w:hAnsi="Candara"/>
          <w:sz w:val="22"/>
          <w:szCs w:val="22"/>
        </w:rPr>
        <w:t xml:space="preserve"> heavy artillery, which proved much more useful in breaking fieldworks, trench lines, and forts.</w:t>
      </w:r>
      <w:r>
        <w:rPr>
          <w:rStyle w:val="FootnoteReference"/>
          <w:rFonts w:ascii="Candara" w:hAnsi="Candara"/>
          <w:sz w:val="22"/>
          <w:szCs w:val="22"/>
        </w:rPr>
        <w:footnoteReference w:id="18"/>
      </w:r>
    </w:p>
    <w:p w14:paraId="6A7F6CE0" w14:textId="1C56C267" w:rsidR="000C1872" w:rsidRDefault="000C1872" w:rsidP="000C1872">
      <w:pPr>
        <w:spacing w:line="360" w:lineRule="auto"/>
        <w:ind w:firstLine="720"/>
        <w:jc w:val="both"/>
        <w:rPr>
          <w:rFonts w:ascii="Candara" w:hAnsi="Candara"/>
          <w:sz w:val="22"/>
          <w:szCs w:val="22"/>
        </w:rPr>
      </w:pPr>
      <w:r>
        <w:rPr>
          <w:rFonts w:ascii="Candara" w:hAnsi="Candara"/>
          <w:sz w:val="22"/>
          <w:szCs w:val="22"/>
        </w:rPr>
        <w:t xml:space="preserve">With Sixth and Seventh Armies ordered to act as the defensive pivot to absorb and draw in French pressure in the south, First through Fifth Armies were to wheel anti-clockwise from the </w:t>
      </w:r>
      <w:r w:rsidR="001151EE">
        <w:rPr>
          <w:rFonts w:ascii="Candara" w:hAnsi="Candara"/>
          <w:sz w:val="22"/>
          <w:szCs w:val="22"/>
        </w:rPr>
        <w:t>n</w:t>
      </w:r>
      <w:r>
        <w:rPr>
          <w:rFonts w:ascii="Candara" w:hAnsi="Candara"/>
          <w:sz w:val="22"/>
          <w:szCs w:val="22"/>
        </w:rPr>
        <w:t>orth</w:t>
      </w:r>
      <w:r w:rsidR="001151EE">
        <w:rPr>
          <w:rFonts w:ascii="Candara" w:hAnsi="Candara"/>
          <w:sz w:val="22"/>
          <w:szCs w:val="22"/>
        </w:rPr>
        <w:t xml:space="preserve"> and centre</w:t>
      </w:r>
      <w:r>
        <w:rPr>
          <w:rFonts w:ascii="Candara" w:hAnsi="Candara"/>
          <w:sz w:val="22"/>
          <w:szCs w:val="22"/>
        </w:rPr>
        <w:t xml:space="preserve"> to complete the Cannae-or Sedan-like encirclement. This done, German forces could be swiftly entrained for the Eastern Front to support the isolated 10 regular and reserve divisions of Maximillian von </w:t>
      </w:r>
      <w:proofErr w:type="spellStart"/>
      <w:r>
        <w:rPr>
          <w:rFonts w:ascii="Candara" w:hAnsi="Candara"/>
          <w:sz w:val="22"/>
          <w:szCs w:val="22"/>
        </w:rPr>
        <w:t>Prittwitz’s</w:t>
      </w:r>
      <w:proofErr w:type="spellEnd"/>
      <w:r>
        <w:rPr>
          <w:rFonts w:ascii="Candara" w:hAnsi="Candara"/>
          <w:sz w:val="22"/>
          <w:szCs w:val="22"/>
        </w:rPr>
        <w:t xml:space="preserve"> Eighth Army defending East Prussia. Unlike the Elder Moltke who drew much of his inspiration from the writings of Carl von Clausewitz, Schlieffen sought to remove ‘friction’ and uncertainty from the battle by endeavouring to directly control more of its elements. He believed that the enemy could be compelled to conform to his own operational design by depriving him of viable strategic options. As such, a tight sequencing of mobilisation and concentration, in force and on the flanks, was to be orchestrated through advances in communications technology to the point of eliminating, as far as possible, unexpected developments.</w:t>
      </w:r>
      <w:r>
        <w:rPr>
          <w:rStyle w:val="FootnoteReference"/>
          <w:rFonts w:ascii="Candara" w:hAnsi="Candara"/>
          <w:sz w:val="22"/>
          <w:szCs w:val="22"/>
        </w:rPr>
        <w:footnoteReference w:id="19"/>
      </w:r>
      <w:r>
        <w:rPr>
          <w:rFonts w:ascii="Candara" w:hAnsi="Candara"/>
          <w:sz w:val="22"/>
          <w:szCs w:val="22"/>
        </w:rPr>
        <w:t xml:space="preserve"> This was the dogmatic Schlieffen at work; and it produced as Holger Herwig has stated, a ‘high-risk operation born of hubris and bordering on recklessness. One throw of the dice would determine the nation’s fate’.</w:t>
      </w:r>
      <w:r>
        <w:rPr>
          <w:rStyle w:val="FootnoteReference"/>
          <w:rFonts w:ascii="Candara" w:hAnsi="Candara"/>
          <w:sz w:val="22"/>
          <w:szCs w:val="22"/>
        </w:rPr>
        <w:footnoteReference w:id="20"/>
      </w:r>
      <w:r>
        <w:rPr>
          <w:rFonts w:ascii="Candara" w:hAnsi="Candara"/>
          <w:sz w:val="22"/>
          <w:szCs w:val="22"/>
        </w:rPr>
        <w:t xml:space="preserve"> In the end, it was left to the Younger Moltke to implement it in less than favourable circumstances resulting in both himself and the plan being found wanting.</w:t>
      </w:r>
    </w:p>
    <w:p w14:paraId="3580AAF6" w14:textId="77777777" w:rsidR="000C1872" w:rsidRDefault="000C1872" w:rsidP="000C1872">
      <w:pPr>
        <w:spacing w:line="360" w:lineRule="auto"/>
        <w:ind w:firstLine="720"/>
        <w:jc w:val="both"/>
        <w:rPr>
          <w:rFonts w:ascii="Candara" w:hAnsi="Candara"/>
          <w:sz w:val="22"/>
          <w:szCs w:val="22"/>
        </w:rPr>
      </w:pPr>
    </w:p>
    <w:p w14:paraId="242B7430" w14:textId="77777777" w:rsidR="000C1872" w:rsidRDefault="000C1872" w:rsidP="000C1872">
      <w:pPr>
        <w:spacing w:line="360" w:lineRule="auto"/>
        <w:jc w:val="both"/>
        <w:rPr>
          <w:rFonts w:ascii="Candara" w:hAnsi="Candara"/>
          <w:b/>
          <w:bCs/>
          <w:sz w:val="22"/>
          <w:szCs w:val="22"/>
          <w:u w:val="single"/>
        </w:rPr>
      </w:pPr>
      <w:r>
        <w:rPr>
          <w:rFonts w:ascii="Candara" w:hAnsi="Candara"/>
          <w:b/>
          <w:bCs/>
          <w:sz w:val="22"/>
          <w:szCs w:val="22"/>
          <w:u w:val="single"/>
        </w:rPr>
        <w:t>France and Plan XVII</w:t>
      </w:r>
    </w:p>
    <w:p w14:paraId="32152097" w14:textId="155CE2AA" w:rsidR="000C1872" w:rsidRDefault="000C1872" w:rsidP="000C1872">
      <w:pPr>
        <w:spacing w:line="360" w:lineRule="auto"/>
        <w:jc w:val="both"/>
        <w:rPr>
          <w:rFonts w:ascii="Candara" w:hAnsi="Candara"/>
          <w:sz w:val="22"/>
          <w:szCs w:val="22"/>
        </w:rPr>
      </w:pPr>
      <w:r>
        <w:rPr>
          <w:rFonts w:ascii="Candara" w:hAnsi="Candara"/>
          <w:sz w:val="22"/>
          <w:szCs w:val="22"/>
        </w:rPr>
        <w:tab/>
        <w:t xml:space="preserve">Germany was not alone in having to plan for a potential two-front war whilst coordinating with unreliable allies. The French position in 1914 differed only in as much as Germany was undeniably its single greatest threat allowing but a token force to monitor the Italian frontier in </w:t>
      </w:r>
      <w:r>
        <w:rPr>
          <w:rFonts w:ascii="Candara" w:hAnsi="Candara"/>
          <w:sz w:val="22"/>
          <w:szCs w:val="22"/>
        </w:rPr>
        <w:lastRenderedPageBreak/>
        <w:t xml:space="preserve">the south. It also benefitted from closer relations with both its Russian and British </w:t>
      </w:r>
      <w:r w:rsidR="001151EE">
        <w:rPr>
          <w:rFonts w:ascii="Candara" w:hAnsi="Candara"/>
          <w:sz w:val="22"/>
          <w:szCs w:val="22"/>
        </w:rPr>
        <w:t>bedfellows</w:t>
      </w:r>
      <w:r>
        <w:rPr>
          <w:rFonts w:ascii="Candara" w:hAnsi="Candara"/>
          <w:sz w:val="22"/>
          <w:szCs w:val="22"/>
        </w:rPr>
        <w:t>. The former had committed to action in the East within 15 days of mobilisation, while the latter had at least established a naval agreement and drawn up plans for an Expeditionary Force to be sent to the Continent, despite remaining diplomatically aloof.</w:t>
      </w:r>
      <w:r>
        <w:rPr>
          <w:rStyle w:val="FootnoteReference"/>
          <w:rFonts w:ascii="Candara" w:hAnsi="Candara"/>
          <w:sz w:val="22"/>
          <w:szCs w:val="22"/>
        </w:rPr>
        <w:footnoteReference w:id="21"/>
      </w:r>
      <w:r>
        <w:rPr>
          <w:rFonts w:ascii="Candara" w:hAnsi="Candara"/>
          <w:sz w:val="22"/>
          <w:szCs w:val="22"/>
        </w:rPr>
        <w:t xml:space="preserve"> The unknowns revolved largely around neutral Belgium’s attitude and accurately divining German strategic and operational intentions.</w:t>
      </w:r>
    </w:p>
    <w:p w14:paraId="6F9021CF" w14:textId="77777777" w:rsidR="000C1872" w:rsidRDefault="000C1872" w:rsidP="000C1872">
      <w:pPr>
        <w:spacing w:line="360" w:lineRule="auto"/>
        <w:jc w:val="both"/>
        <w:rPr>
          <w:rFonts w:ascii="Candara" w:hAnsi="Candara"/>
          <w:sz w:val="22"/>
          <w:szCs w:val="22"/>
        </w:rPr>
      </w:pPr>
      <w:r>
        <w:rPr>
          <w:rFonts w:ascii="Candara" w:hAnsi="Candara"/>
          <w:sz w:val="22"/>
          <w:szCs w:val="22"/>
        </w:rPr>
        <w:tab/>
        <w:t xml:space="preserve">More than most, France suffered from domestic political and social tensions in the decades preceding the First World War, which had concomitant effects on its military efficiency and planning. The scarring of defeat in the Franco-Prussian War of 1870-1 permeated the psyche of the Third Republic which, under the auspices of Jules Ferry, focussed on education and imperial expansion to rebuild confidence and pride in the French nation. Above all else, an entire generation was raised on </w:t>
      </w:r>
      <w:proofErr w:type="spellStart"/>
      <w:r>
        <w:rPr>
          <w:rFonts w:ascii="Candara" w:hAnsi="Candara"/>
          <w:i/>
          <w:iCs/>
          <w:sz w:val="22"/>
          <w:szCs w:val="22"/>
        </w:rPr>
        <w:t>revanchisme</w:t>
      </w:r>
      <w:proofErr w:type="spellEnd"/>
      <w:r>
        <w:rPr>
          <w:rFonts w:ascii="Candara" w:hAnsi="Candara"/>
          <w:sz w:val="22"/>
          <w:szCs w:val="22"/>
        </w:rPr>
        <w:t xml:space="preserve"> centred on reclaiming the Lost Provinces of Alsace and Lorraine, which had been annexed by the newly-forged German Empire as a war indemnity. For some, sabre-rattling in the direction of Germany proved a vital outlet for underlying patriotic and militaristic fervour. This was exemplified by General Georges Boulanger, whose populist movement led him to an unsuccessful </w:t>
      </w:r>
      <w:r>
        <w:rPr>
          <w:rFonts w:ascii="Candara" w:hAnsi="Candara"/>
          <w:i/>
          <w:iCs/>
          <w:sz w:val="22"/>
          <w:szCs w:val="22"/>
        </w:rPr>
        <w:t xml:space="preserve">coup d’état </w:t>
      </w:r>
      <w:r>
        <w:rPr>
          <w:rFonts w:ascii="Candara" w:hAnsi="Candara"/>
          <w:sz w:val="22"/>
          <w:szCs w:val="22"/>
        </w:rPr>
        <w:t>in 1889, followed by a tragic and much-publicised suicide at the grave of his mistress in Brussels two years later.</w:t>
      </w:r>
      <w:r>
        <w:rPr>
          <w:rStyle w:val="FootnoteReference"/>
          <w:rFonts w:ascii="Candara" w:hAnsi="Candara"/>
          <w:sz w:val="22"/>
          <w:szCs w:val="22"/>
        </w:rPr>
        <w:footnoteReference w:id="22"/>
      </w:r>
      <w:r>
        <w:rPr>
          <w:rFonts w:ascii="Candara" w:hAnsi="Candara"/>
          <w:sz w:val="22"/>
          <w:szCs w:val="22"/>
        </w:rPr>
        <w:t xml:space="preserve"> Such events did little to forge trust between the Third Republic and its army.</w:t>
      </w:r>
    </w:p>
    <w:p w14:paraId="076E040E" w14:textId="1FC4745E" w:rsidR="000C1872" w:rsidRDefault="000C1872" w:rsidP="000C1872">
      <w:pPr>
        <w:spacing w:line="360" w:lineRule="auto"/>
        <w:jc w:val="both"/>
        <w:rPr>
          <w:rFonts w:ascii="Candara" w:hAnsi="Candara"/>
          <w:sz w:val="22"/>
          <w:szCs w:val="22"/>
        </w:rPr>
      </w:pPr>
      <w:r>
        <w:rPr>
          <w:rFonts w:ascii="Candara" w:hAnsi="Candara"/>
          <w:sz w:val="22"/>
          <w:szCs w:val="22"/>
        </w:rPr>
        <w:tab/>
        <w:t>Despite the army’s reputation recovering somewhat from its reverses in 1870 through progressive military reform and imperial expansion, it was to take another major hit in 1894 through the infamous Dreyfus Affair.</w:t>
      </w:r>
      <w:r>
        <w:rPr>
          <w:rStyle w:val="FootnoteReference"/>
          <w:rFonts w:ascii="Candara" w:hAnsi="Candara"/>
          <w:sz w:val="22"/>
          <w:szCs w:val="22"/>
        </w:rPr>
        <w:footnoteReference w:id="23"/>
      </w:r>
      <w:r>
        <w:rPr>
          <w:rFonts w:ascii="Candara" w:hAnsi="Candara"/>
          <w:sz w:val="22"/>
          <w:szCs w:val="22"/>
        </w:rPr>
        <w:t xml:space="preserve"> For more than a decade, French politics and society was cleft apart following the accusation and imprisonment of Captain Alfred Dreyfus, a wealthy Alsatian artillery officer of Jewish descent, who allegedly sold confidential military information to Germany. A </w:t>
      </w:r>
      <w:proofErr w:type="spellStart"/>
      <w:r>
        <w:rPr>
          <w:rFonts w:ascii="Candara" w:hAnsi="Candara"/>
          <w:i/>
          <w:iCs/>
          <w:sz w:val="22"/>
          <w:szCs w:val="22"/>
        </w:rPr>
        <w:t>Dreyfusards</w:t>
      </w:r>
      <w:proofErr w:type="spellEnd"/>
      <w:r>
        <w:rPr>
          <w:rFonts w:ascii="Candara" w:hAnsi="Candara"/>
          <w:sz w:val="22"/>
          <w:szCs w:val="22"/>
        </w:rPr>
        <w:t xml:space="preserve"> faction, including many supporters within the army, worked tirelessly to prove his innocence; eventually exposing a fellow</w:t>
      </w:r>
      <w:r w:rsidR="001151EE">
        <w:rPr>
          <w:rFonts w:ascii="Candara" w:hAnsi="Candara"/>
          <w:sz w:val="22"/>
          <w:szCs w:val="22"/>
        </w:rPr>
        <w:t xml:space="preserve"> French</w:t>
      </w:r>
      <w:r>
        <w:rPr>
          <w:rFonts w:ascii="Candara" w:hAnsi="Candara"/>
          <w:sz w:val="22"/>
          <w:szCs w:val="22"/>
        </w:rPr>
        <w:t xml:space="preserve"> officer as the true culprit. However, it was the rather detached and distinctly middle class General Staff – ironically a post-1870 republican emulation of the Prussian model – which closed ranks over the issue and pitted army against society. Antisemitic allegations swirled, resulting in a raft of conservatives and Catholics rallying </w:t>
      </w:r>
      <w:r w:rsidR="001151EE">
        <w:rPr>
          <w:rFonts w:ascii="Candara" w:hAnsi="Candara"/>
          <w:sz w:val="22"/>
          <w:szCs w:val="22"/>
        </w:rPr>
        <w:t xml:space="preserve">in </w:t>
      </w:r>
      <w:r w:rsidR="001151EE">
        <w:rPr>
          <w:rFonts w:ascii="Candara" w:hAnsi="Candara"/>
          <w:sz w:val="22"/>
          <w:szCs w:val="22"/>
        </w:rPr>
        <w:lastRenderedPageBreak/>
        <w:t xml:space="preserve">defence of </w:t>
      </w:r>
      <w:r>
        <w:rPr>
          <w:rFonts w:ascii="Candara" w:hAnsi="Candara"/>
          <w:sz w:val="22"/>
          <w:szCs w:val="22"/>
        </w:rPr>
        <w:t>their chiefs</w:t>
      </w:r>
      <w:r w:rsidR="001151EE">
        <w:rPr>
          <w:rFonts w:ascii="Candara" w:hAnsi="Candara"/>
          <w:sz w:val="22"/>
          <w:szCs w:val="22"/>
        </w:rPr>
        <w:t xml:space="preserve"> against unwarranted civilian intrusion into military affairs</w:t>
      </w:r>
      <w:r>
        <w:rPr>
          <w:rFonts w:ascii="Candara" w:hAnsi="Candara"/>
          <w:sz w:val="22"/>
          <w:szCs w:val="22"/>
        </w:rPr>
        <w:t>. The honour of the army was at stake.</w:t>
      </w:r>
      <w:r>
        <w:rPr>
          <w:rStyle w:val="FootnoteReference"/>
          <w:rFonts w:ascii="Candara" w:hAnsi="Candara"/>
          <w:sz w:val="22"/>
          <w:szCs w:val="22"/>
        </w:rPr>
        <w:footnoteReference w:id="24"/>
      </w:r>
    </w:p>
    <w:p w14:paraId="229E3852" w14:textId="3046CB53" w:rsidR="000C1872" w:rsidRDefault="000C1872" w:rsidP="000C1872">
      <w:pPr>
        <w:spacing w:line="360" w:lineRule="auto"/>
        <w:ind w:firstLine="720"/>
        <w:jc w:val="both"/>
        <w:rPr>
          <w:rFonts w:ascii="Candara" w:hAnsi="Candara"/>
          <w:sz w:val="22"/>
          <w:szCs w:val="22"/>
        </w:rPr>
      </w:pPr>
      <w:r>
        <w:rPr>
          <w:rFonts w:ascii="Candara" w:hAnsi="Candara"/>
          <w:sz w:val="22"/>
          <w:szCs w:val="22"/>
        </w:rPr>
        <w:t xml:space="preserve">One of the many upshots was that France took a decided lurch to the left, which not only occasioned the separation of church and state, but had decided ramifications for the army. The officer corps was effectively republicanised through General Louis André, French War Minister (1900-4), whose carefully curated appointments strengthened his own position vis-à-vis the High Command. The prestige of the army fell to new lows, with broader morale issues permeating into the officer corps at large. The </w:t>
      </w:r>
      <w:r>
        <w:rPr>
          <w:rFonts w:ascii="Candara" w:hAnsi="Candara"/>
          <w:i/>
          <w:iCs/>
          <w:sz w:val="22"/>
          <w:szCs w:val="22"/>
        </w:rPr>
        <w:t>affaire des fiches</w:t>
      </w:r>
      <w:r>
        <w:rPr>
          <w:rFonts w:ascii="Candara" w:hAnsi="Candara"/>
          <w:sz w:val="22"/>
          <w:szCs w:val="22"/>
        </w:rPr>
        <w:t>, in which officers were encouraged to spy on and denounce one another, was undoubtedly the nadir and all but discouraged talented and meritorious candidates from attempting to stand out. Amidst this torrent of political intrigue, official doctrine stagnated to the point of disappearance. André’s belief that doctrine stifled individual initiative, preferring to allow officers to ‘select a system in harmony with his own character, energy, temperament, aptitude…’</w:t>
      </w:r>
      <w:r w:rsidR="001151EE">
        <w:rPr>
          <w:rFonts w:ascii="Candara" w:hAnsi="Candara"/>
          <w:sz w:val="22"/>
          <w:szCs w:val="22"/>
        </w:rPr>
        <w:t xml:space="preserve"> proved especially damaging</w:t>
      </w:r>
      <w:r>
        <w:rPr>
          <w:rFonts w:ascii="Candara" w:hAnsi="Candara"/>
          <w:sz w:val="22"/>
          <w:szCs w:val="22"/>
        </w:rPr>
        <w:t>.</w:t>
      </w:r>
      <w:r>
        <w:rPr>
          <w:rStyle w:val="FootnoteReference"/>
          <w:rFonts w:ascii="Candara" w:hAnsi="Candara"/>
          <w:sz w:val="22"/>
          <w:szCs w:val="22"/>
        </w:rPr>
        <w:footnoteReference w:id="25"/>
      </w:r>
      <w:r>
        <w:rPr>
          <w:rFonts w:ascii="Candara" w:hAnsi="Candara"/>
          <w:sz w:val="22"/>
          <w:szCs w:val="22"/>
        </w:rPr>
        <w:t xml:space="preserve"> This not only affected France’s military capabilities in the sphere of tactics, but equally muddied the waters at the operational and strategic levels too.</w:t>
      </w:r>
    </w:p>
    <w:p w14:paraId="2AE37436" w14:textId="7942459F" w:rsidR="000C1872" w:rsidRDefault="000C1872" w:rsidP="000C1872">
      <w:pPr>
        <w:spacing w:line="360" w:lineRule="auto"/>
        <w:ind w:firstLine="720"/>
        <w:jc w:val="both"/>
        <w:rPr>
          <w:rFonts w:ascii="Candara" w:hAnsi="Candara"/>
          <w:sz w:val="22"/>
          <w:szCs w:val="22"/>
        </w:rPr>
      </w:pPr>
      <w:r>
        <w:rPr>
          <w:rFonts w:ascii="Candara" w:hAnsi="Candara"/>
          <w:sz w:val="22"/>
          <w:szCs w:val="22"/>
        </w:rPr>
        <w:t>When General Joseph Joffre assumed the role of the Chief of the General Staff in</w:t>
      </w:r>
      <w:r w:rsidR="001151EE">
        <w:rPr>
          <w:rFonts w:ascii="Candara" w:hAnsi="Candara"/>
          <w:sz w:val="22"/>
          <w:szCs w:val="22"/>
        </w:rPr>
        <w:t xml:space="preserve"> July</w:t>
      </w:r>
      <w:r>
        <w:rPr>
          <w:rFonts w:ascii="Candara" w:hAnsi="Candara"/>
          <w:sz w:val="22"/>
          <w:szCs w:val="22"/>
        </w:rPr>
        <w:t xml:space="preserve"> 1911, he faced the unenviable task of restoring French military pride and cohesion. The national revival, triggered by the Second Moroccan Crisis of 1911-12, helped pave the way for urgent reforms. Second in import only to the three-year service law, (which the Russians considered indispensable to the sanctity of the alliance) the structure of the High Command was reorganised and disambiguated. Whereas previously the preparation and command of the army for, and in, war had been the jurisdiction of two separate offices, Joffre came to inherit a unified position which afforded him the greatest degree of military influence of any man in France since Napoleon.</w:t>
      </w:r>
      <w:r>
        <w:rPr>
          <w:rStyle w:val="FootnoteReference"/>
          <w:rFonts w:ascii="Candara" w:hAnsi="Candara"/>
          <w:sz w:val="22"/>
          <w:szCs w:val="22"/>
        </w:rPr>
        <w:footnoteReference w:id="26"/>
      </w:r>
      <w:r>
        <w:rPr>
          <w:rFonts w:ascii="Candara" w:hAnsi="Candara"/>
          <w:sz w:val="22"/>
          <w:szCs w:val="22"/>
        </w:rPr>
        <w:t xml:space="preserve"> Still answerable to government and beholden to civilian policy, Joffre enjoyed a great deal of freedom in redrafting French war plans whilst simultaneously tackling </w:t>
      </w:r>
      <w:r w:rsidR="001151EE">
        <w:rPr>
          <w:rFonts w:ascii="Candara" w:hAnsi="Candara"/>
          <w:sz w:val="22"/>
          <w:szCs w:val="22"/>
        </w:rPr>
        <w:t xml:space="preserve">the issue of </w:t>
      </w:r>
      <w:r>
        <w:rPr>
          <w:rFonts w:ascii="Candara" w:hAnsi="Candara"/>
          <w:sz w:val="22"/>
          <w:szCs w:val="22"/>
        </w:rPr>
        <w:t xml:space="preserve">doctrine. Joffre, himself, was no grand strategist having hailed from a colonial career in the engineers. However, he surrounded himself with men of experience such as General Noël de </w:t>
      </w:r>
      <w:proofErr w:type="spellStart"/>
      <w:r>
        <w:rPr>
          <w:rFonts w:ascii="Candara" w:hAnsi="Candara"/>
          <w:sz w:val="22"/>
          <w:szCs w:val="22"/>
        </w:rPr>
        <w:t>Castelnau</w:t>
      </w:r>
      <w:proofErr w:type="spellEnd"/>
      <w:r>
        <w:rPr>
          <w:rFonts w:ascii="Candara" w:hAnsi="Candara"/>
          <w:sz w:val="22"/>
          <w:szCs w:val="22"/>
        </w:rPr>
        <w:t xml:space="preserve"> as his deputy, as well as counting on young staff officers</w:t>
      </w:r>
      <w:r w:rsidR="0065396D">
        <w:rPr>
          <w:rFonts w:ascii="Candara" w:hAnsi="Candara"/>
          <w:sz w:val="22"/>
          <w:szCs w:val="22"/>
        </w:rPr>
        <w:t>, the so-called ‘Young Turks’,</w:t>
      </w:r>
      <w:r>
        <w:rPr>
          <w:rFonts w:ascii="Candara" w:hAnsi="Candara"/>
          <w:sz w:val="22"/>
          <w:szCs w:val="22"/>
        </w:rPr>
        <w:t xml:space="preserve"> whose zeal and new ideas </w:t>
      </w:r>
      <w:r w:rsidR="0065396D">
        <w:rPr>
          <w:rFonts w:ascii="Candara" w:hAnsi="Candara"/>
          <w:sz w:val="22"/>
          <w:szCs w:val="22"/>
        </w:rPr>
        <w:t>did much to reinvigorate French military preparations</w:t>
      </w:r>
      <w:r>
        <w:rPr>
          <w:rFonts w:ascii="Candara" w:hAnsi="Candara"/>
          <w:sz w:val="22"/>
          <w:szCs w:val="22"/>
        </w:rPr>
        <w:t>.</w:t>
      </w:r>
      <w:r>
        <w:rPr>
          <w:rStyle w:val="FootnoteReference"/>
          <w:rFonts w:ascii="Candara" w:hAnsi="Candara"/>
          <w:sz w:val="22"/>
          <w:szCs w:val="22"/>
        </w:rPr>
        <w:footnoteReference w:id="27"/>
      </w:r>
    </w:p>
    <w:p w14:paraId="72EE0DF6" w14:textId="3E39AC9F" w:rsidR="000C1872" w:rsidRDefault="000C1872" w:rsidP="000C1872">
      <w:pPr>
        <w:spacing w:line="360" w:lineRule="auto"/>
        <w:ind w:firstLine="720"/>
        <w:jc w:val="both"/>
        <w:rPr>
          <w:rFonts w:ascii="Candara" w:hAnsi="Candara"/>
          <w:sz w:val="22"/>
          <w:szCs w:val="22"/>
        </w:rPr>
      </w:pPr>
      <w:r>
        <w:rPr>
          <w:rFonts w:ascii="Candara" w:hAnsi="Candara"/>
          <w:sz w:val="22"/>
          <w:szCs w:val="22"/>
        </w:rPr>
        <w:lastRenderedPageBreak/>
        <w:t xml:space="preserve">French war planning has not been immune from critical analysis and contention within the historiography. The decision to mount costly offensives through Alsace and Lorraine in the opening weeks of the war has been met with accusations of recklessness and a misplaced faith in the fabled dictum of the </w:t>
      </w:r>
      <w:r>
        <w:rPr>
          <w:rFonts w:ascii="Candara" w:hAnsi="Candara"/>
          <w:i/>
          <w:iCs/>
          <w:sz w:val="22"/>
          <w:szCs w:val="22"/>
        </w:rPr>
        <w:t xml:space="preserve">offensive à outrance </w:t>
      </w:r>
      <w:r>
        <w:rPr>
          <w:rFonts w:ascii="Candara" w:hAnsi="Candara"/>
          <w:sz w:val="22"/>
          <w:szCs w:val="22"/>
        </w:rPr>
        <w:t>(the all-out attack).</w:t>
      </w:r>
      <w:r>
        <w:rPr>
          <w:rStyle w:val="FootnoteReference"/>
          <w:rFonts w:ascii="Candara" w:hAnsi="Candara"/>
          <w:sz w:val="22"/>
          <w:szCs w:val="22"/>
        </w:rPr>
        <w:footnoteReference w:id="28"/>
      </w:r>
      <w:r>
        <w:rPr>
          <w:rFonts w:ascii="Candara" w:hAnsi="Candara"/>
          <w:sz w:val="22"/>
          <w:szCs w:val="22"/>
        </w:rPr>
        <w:t xml:space="preserve"> Others, however, see in it greater rationality and even evidence of Joffre’s ability in his short tenure to reshape strategy in his own image. In many ways, Plan XVII ought not to be considered an ‘operations’ plan, but rather a ‘concentration’ plan designed to provide its commander with the utmost flexibility to respond to the enemy’s movements and even to permit a number of attacking options: either side of the German fortifications between Metz and Thionville, or northward through the Belgian Ardennes Forest. It was, as Joffre explained to a post-war investigative committee, a deliberate decision that had the added benefit of keeping civilian interference to a minimum.</w:t>
      </w:r>
      <w:r>
        <w:rPr>
          <w:rStyle w:val="FootnoteReference"/>
          <w:rFonts w:ascii="Candara" w:hAnsi="Candara"/>
          <w:sz w:val="22"/>
          <w:szCs w:val="22"/>
        </w:rPr>
        <w:footnoteReference w:id="29"/>
      </w:r>
      <w:r>
        <w:rPr>
          <w:rFonts w:ascii="Candara" w:hAnsi="Candara"/>
          <w:sz w:val="22"/>
          <w:szCs w:val="22"/>
        </w:rPr>
        <w:t xml:space="preserve"> Any definitive operations plan, in Joffre’s mind, would </w:t>
      </w:r>
      <w:r w:rsidR="0065396D">
        <w:rPr>
          <w:rFonts w:ascii="Candara" w:hAnsi="Candara"/>
          <w:sz w:val="22"/>
          <w:szCs w:val="22"/>
        </w:rPr>
        <w:t xml:space="preserve">have </w:t>
      </w:r>
      <w:r>
        <w:rPr>
          <w:rFonts w:ascii="Candara" w:hAnsi="Candara"/>
          <w:sz w:val="22"/>
          <w:szCs w:val="22"/>
        </w:rPr>
        <w:t>attract</w:t>
      </w:r>
      <w:r w:rsidR="0065396D">
        <w:rPr>
          <w:rFonts w:ascii="Candara" w:hAnsi="Candara"/>
          <w:sz w:val="22"/>
          <w:szCs w:val="22"/>
        </w:rPr>
        <w:t>ed</w:t>
      </w:r>
      <w:r>
        <w:rPr>
          <w:rFonts w:ascii="Candara" w:hAnsi="Candara"/>
          <w:sz w:val="22"/>
          <w:szCs w:val="22"/>
        </w:rPr>
        <w:t xml:space="preserve"> the scrutiny</w:t>
      </w:r>
      <w:r w:rsidR="0065396D">
        <w:rPr>
          <w:rFonts w:ascii="Candara" w:hAnsi="Candara"/>
          <w:sz w:val="22"/>
          <w:szCs w:val="22"/>
        </w:rPr>
        <w:t xml:space="preserve"> and intervention</w:t>
      </w:r>
      <w:r>
        <w:rPr>
          <w:rFonts w:ascii="Candara" w:hAnsi="Candara"/>
          <w:sz w:val="22"/>
          <w:szCs w:val="22"/>
        </w:rPr>
        <w:t xml:space="preserve"> of</w:t>
      </w:r>
      <w:r w:rsidR="0065396D">
        <w:rPr>
          <w:rFonts w:ascii="Candara" w:hAnsi="Candara"/>
          <w:sz w:val="22"/>
          <w:szCs w:val="22"/>
        </w:rPr>
        <w:t xml:space="preserve"> harmful</w:t>
      </w:r>
      <w:r>
        <w:rPr>
          <w:rFonts w:ascii="Candara" w:hAnsi="Candara"/>
          <w:sz w:val="22"/>
          <w:szCs w:val="22"/>
        </w:rPr>
        <w:t xml:space="preserve"> amateur strategists.</w:t>
      </w:r>
    </w:p>
    <w:p w14:paraId="319A881C" w14:textId="7B5FD318" w:rsidR="000C1872" w:rsidRDefault="000C1872" w:rsidP="007346E6">
      <w:pPr>
        <w:spacing w:line="360" w:lineRule="auto"/>
        <w:ind w:firstLine="720"/>
        <w:jc w:val="both"/>
        <w:rPr>
          <w:rFonts w:ascii="Candara" w:hAnsi="Candara"/>
          <w:sz w:val="22"/>
          <w:szCs w:val="22"/>
        </w:rPr>
      </w:pPr>
      <w:r>
        <w:rPr>
          <w:rFonts w:ascii="Candara" w:hAnsi="Candara"/>
          <w:sz w:val="22"/>
          <w:szCs w:val="22"/>
        </w:rPr>
        <w:t xml:space="preserve">In 1911, Joffre calculated French chances of success in a future war against Germany at under </w:t>
      </w:r>
      <w:r w:rsidR="007346E6">
        <w:rPr>
          <w:rFonts w:ascii="Candara" w:hAnsi="Candara"/>
          <w:sz w:val="22"/>
          <w:szCs w:val="22"/>
        </w:rPr>
        <w:t>seventy</w:t>
      </w:r>
      <w:r>
        <w:rPr>
          <w:rFonts w:ascii="Candara" w:hAnsi="Candara"/>
          <w:sz w:val="22"/>
          <w:szCs w:val="22"/>
        </w:rPr>
        <w:t xml:space="preserve"> percent.</w:t>
      </w:r>
      <w:r>
        <w:rPr>
          <w:rStyle w:val="FootnoteReference"/>
          <w:rFonts w:ascii="Candara" w:hAnsi="Candara"/>
          <w:sz w:val="22"/>
          <w:szCs w:val="22"/>
        </w:rPr>
        <w:footnoteReference w:id="30"/>
      </w:r>
      <w:r>
        <w:rPr>
          <w:rFonts w:ascii="Candara" w:hAnsi="Candara"/>
          <w:sz w:val="22"/>
          <w:szCs w:val="22"/>
        </w:rPr>
        <w:t xml:space="preserve"> This may account for some of the strategic and operational decisions made in the redrafting of the overly-defensive Plan XVI and the subsequent formulation of Plan XVII, itself. Douglas Porch has posited that, in the absence of perceived outright strength, the weaker power (France) is more likely to seek the operational initiative to destabilise the stronger enemy (Germany) and achieve a quick victory before overwhelming force comes to bear.</w:t>
      </w:r>
      <w:r>
        <w:rPr>
          <w:rStyle w:val="FootnoteReference"/>
          <w:rFonts w:ascii="Candara" w:hAnsi="Candara"/>
          <w:sz w:val="22"/>
          <w:szCs w:val="22"/>
        </w:rPr>
        <w:footnoteReference w:id="31"/>
      </w:r>
      <w:r>
        <w:rPr>
          <w:rFonts w:ascii="Candara" w:hAnsi="Candara"/>
          <w:sz w:val="22"/>
          <w:szCs w:val="22"/>
        </w:rPr>
        <w:t xml:space="preserve"> Consequently, a predilection for the attack – already a powerful driving force in Joffre, the </w:t>
      </w:r>
      <w:r>
        <w:rPr>
          <w:rFonts w:ascii="Candara" w:hAnsi="Candara"/>
          <w:i/>
          <w:iCs/>
          <w:sz w:val="22"/>
          <w:szCs w:val="22"/>
        </w:rPr>
        <w:t xml:space="preserve">offensive à outrance </w:t>
      </w:r>
      <w:r>
        <w:rPr>
          <w:rFonts w:ascii="Candara" w:hAnsi="Candara"/>
          <w:sz w:val="22"/>
          <w:szCs w:val="22"/>
        </w:rPr>
        <w:t>school, and the French republican tradition – married with strategic necessity to push the French onto the front foot. The ‘cult of the offensive’, as it has been termed, pertained predominantly to the tactical sphere but its principles could just as easily be applied to operations and strategy as well. In a war dominated by firepower, victory would go to the army willing and capable of seizing the initiative. The defensive could only delay and prolong. Its adoption was not a rejection of the killing power of modern weaponry, but rather a harnessing of it to augment the human element.</w:t>
      </w:r>
      <w:r>
        <w:rPr>
          <w:rStyle w:val="FootnoteReference"/>
          <w:rFonts w:ascii="Candara" w:hAnsi="Candara"/>
          <w:sz w:val="22"/>
          <w:szCs w:val="22"/>
        </w:rPr>
        <w:footnoteReference w:id="32"/>
      </w:r>
      <w:r>
        <w:rPr>
          <w:rFonts w:ascii="Candara" w:hAnsi="Candara"/>
          <w:sz w:val="22"/>
          <w:szCs w:val="22"/>
        </w:rPr>
        <w:t xml:space="preserve"> Armed with a belief in the French citizen-soldier’s morale, yet aware of a more </w:t>
      </w:r>
      <w:r>
        <w:rPr>
          <w:rFonts w:ascii="Candara" w:hAnsi="Candara"/>
          <w:sz w:val="22"/>
          <w:szCs w:val="22"/>
        </w:rPr>
        <w:lastRenderedPageBreak/>
        <w:t xml:space="preserve">generalised military inferiority, it is little wonder that the crux of French war planning revolved around offensive action. </w:t>
      </w:r>
    </w:p>
    <w:p w14:paraId="106469AD" w14:textId="31961F89" w:rsidR="000C1872" w:rsidRDefault="000C1872" w:rsidP="000C1872">
      <w:pPr>
        <w:spacing w:line="360" w:lineRule="auto"/>
        <w:jc w:val="both"/>
        <w:rPr>
          <w:rFonts w:ascii="Candara" w:hAnsi="Candara"/>
          <w:sz w:val="22"/>
          <w:szCs w:val="22"/>
        </w:rPr>
      </w:pPr>
      <w:r>
        <w:rPr>
          <w:rFonts w:ascii="Candara" w:hAnsi="Candara"/>
          <w:sz w:val="22"/>
          <w:szCs w:val="22"/>
        </w:rPr>
        <w:tab/>
        <w:t xml:space="preserve">Plan XVII was predicated on a better understanding of French diplomatic commitments, which included the release of two corps from the Alps through the secret 1902 convention with Italy that would see the latter remain neutral in a future war if France was not the aggressor. It also clarified the position of the French government vis-à-vis Belgian neutrality, which the </w:t>
      </w:r>
      <w:r>
        <w:rPr>
          <w:rFonts w:ascii="Candara" w:hAnsi="Candara"/>
          <w:i/>
          <w:iCs/>
          <w:sz w:val="22"/>
          <w:szCs w:val="22"/>
        </w:rPr>
        <w:t xml:space="preserve">Conseil Supérieur de la </w:t>
      </w:r>
      <w:proofErr w:type="spellStart"/>
      <w:r>
        <w:rPr>
          <w:rFonts w:ascii="Candara" w:hAnsi="Candara"/>
          <w:i/>
          <w:iCs/>
          <w:sz w:val="22"/>
          <w:szCs w:val="22"/>
        </w:rPr>
        <w:t>Défence</w:t>
      </w:r>
      <w:proofErr w:type="spellEnd"/>
      <w:r>
        <w:rPr>
          <w:rFonts w:ascii="Candara" w:hAnsi="Candara"/>
          <w:i/>
          <w:iCs/>
          <w:sz w:val="22"/>
          <w:szCs w:val="22"/>
        </w:rPr>
        <w:t xml:space="preserve"> National</w:t>
      </w:r>
      <w:r>
        <w:rPr>
          <w:rFonts w:ascii="Candara" w:hAnsi="Candara"/>
          <w:sz w:val="22"/>
          <w:szCs w:val="22"/>
        </w:rPr>
        <w:t xml:space="preserve"> and Foreign Ministry, routinely reminded Joffre was inviolable. This did not reflect French views on the sanctity of the 1839 Treaty of London, nor its assessment of German intentions to violate it irrespectively.  More so, it </w:t>
      </w:r>
      <w:r w:rsidR="0065396D">
        <w:rPr>
          <w:rFonts w:ascii="Candara" w:hAnsi="Candara"/>
          <w:sz w:val="22"/>
          <w:szCs w:val="22"/>
        </w:rPr>
        <w:t>spoke to</w:t>
      </w:r>
      <w:r>
        <w:rPr>
          <w:rFonts w:ascii="Candara" w:hAnsi="Candara"/>
          <w:sz w:val="22"/>
          <w:szCs w:val="22"/>
        </w:rPr>
        <w:t xml:space="preserve"> concerns over British support should the French Army be the first transgressors.</w:t>
      </w:r>
      <w:r>
        <w:rPr>
          <w:rStyle w:val="FootnoteReference"/>
          <w:rFonts w:ascii="Candara" w:hAnsi="Candara"/>
          <w:sz w:val="22"/>
          <w:szCs w:val="22"/>
        </w:rPr>
        <w:footnoteReference w:id="33"/>
      </w:r>
      <w:r>
        <w:rPr>
          <w:rFonts w:ascii="Candara" w:hAnsi="Candara"/>
          <w:sz w:val="22"/>
          <w:szCs w:val="22"/>
        </w:rPr>
        <w:t xml:space="preserve"> On two occasions, Joffre requested pre-emptive access to Belgium as his preferred theatre of operations</w:t>
      </w:r>
      <w:r w:rsidR="007346E6">
        <w:rPr>
          <w:rFonts w:ascii="Candara" w:hAnsi="Candara"/>
          <w:sz w:val="22"/>
          <w:szCs w:val="22"/>
        </w:rPr>
        <w:t>.</w:t>
      </w:r>
      <w:r>
        <w:rPr>
          <w:rFonts w:ascii="Candara" w:hAnsi="Candara"/>
          <w:sz w:val="22"/>
          <w:szCs w:val="22"/>
        </w:rPr>
        <w:t xml:space="preserve"> </w:t>
      </w:r>
      <w:r w:rsidR="007346E6">
        <w:rPr>
          <w:rFonts w:ascii="Candara" w:hAnsi="Candara"/>
          <w:sz w:val="22"/>
          <w:szCs w:val="22"/>
        </w:rPr>
        <w:t>Both times he</w:t>
      </w:r>
      <w:r>
        <w:rPr>
          <w:rFonts w:ascii="Candara" w:hAnsi="Candara"/>
          <w:sz w:val="22"/>
          <w:szCs w:val="22"/>
        </w:rPr>
        <w:t xml:space="preserve"> was denied. Outlining the advantages it held operationally and demonstrating how it might facilitate the British Army’s integration on the left flank, made </w:t>
      </w:r>
      <w:r w:rsidR="0065396D">
        <w:rPr>
          <w:rFonts w:ascii="Candara" w:hAnsi="Candara"/>
          <w:sz w:val="22"/>
          <w:szCs w:val="22"/>
        </w:rPr>
        <w:t xml:space="preserve">little </w:t>
      </w:r>
      <w:r>
        <w:rPr>
          <w:rFonts w:ascii="Candara" w:hAnsi="Candara"/>
          <w:sz w:val="22"/>
          <w:szCs w:val="22"/>
        </w:rPr>
        <w:t xml:space="preserve">impression. In the end, French forces were ordered to deploy at least ten kilometres from the Belgian frontier. </w:t>
      </w:r>
    </w:p>
    <w:p w14:paraId="7736BA9B" w14:textId="34C0422E" w:rsidR="000C1872" w:rsidRDefault="000C1872" w:rsidP="000C1872">
      <w:pPr>
        <w:spacing w:line="360" w:lineRule="auto"/>
        <w:ind w:firstLine="720"/>
        <w:jc w:val="both"/>
        <w:rPr>
          <w:rFonts w:ascii="Candara" w:hAnsi="Candara"/>
          <w:sz w:val="22"/>
          <w:szCs w:val="22"/>
        </w:rPr>
      </w:pPr>
      <w:r>
        <w:rPr>
          <w:rFonts w:ascii="Candara" w:hAnsi="Candara"/>
          <w:sz w:val="22"/>
          <w:szCs w:val="22"/>
        </w:rPr>
        <w:t xml:space="preserve">Plan XVII was finally approved by the War Board in April 1914. It was a compromise between a desire to keep the Belgian option alive and adherence to policy (both diplomatic and political) which favoured strong offensive action from the onset of hostilities. Fifth Army’s dispositions along its </w:t>
      </w:r>
      <w:r w:rsidR="007346E6">
        <w:rPr>
          <w:rFonts w:ascii="Candara" w:hAnsi="Candara"/>
          <w:sz w:val="22"/>
          <w:szCs w:val="22"/>
        </w:rPr>
        <w:t>eighty</w:t>
      </w:r>
      <w:r>
        <w:rPr>
          <w:rFonts w:ascii="Candara" w:hAnsi="Candara"/>
          <w:sz w:val="22"/>
          <w:szCs w:val="22"/>
        </w:rPr>
        <w:t xml:space="preserve">-mile front from </w:t>
      </w:r>
      <w:proofErr w:type="spellStart"/>
      <w:r>
        <w:rPr>
          <w:rFonts w:ascii="Candara" w:hAnsi="Candara"/>
          <w:sz w:val="22"/>
          <w:szCs w:val="22"/>
        </w:rPr>
        <w:t>Hirson</w:t>
      </w:r>
      <w:proofErr w:type="spellEnd"/>
      <w:r>
        <w:rPr>
          <w:rFonts w:ascii="Candara" w:hAnsi="Candara"/>
          <w:sz w:val="22"/>
          <w:szCs w:val="22"/>
        </w:rPr>
        <w:t xml:space="preserve"> to Longwy on the French left flank were predominantly defensive, while First and Second Armies, running from Belfort to Nancy on the right flank, became the focal point for major operations in Alsace and Lorraine. This was predicated on the false assumption that the German Army would not cross the Meuse and thereby limit their forces operating through</w:t>
      </w:r>
      <w:r w:rsidR="0065396D">
        <w:rPr>
          <w:rFonts w:ascii="Candara" w:hAnsi="Candara"/>
          <w:sz w:val="22"/>
          <w:szCs w:val="22"/>
        </w:rPr>
        <w:t xml:space="preserve"> southern</w:t>
      </w:r>
      <w:r>
        <w:rPr>
          <w:rFonts w:ascii="Candara" w:hAnsi="Candara"/>
          <w:sz w:val="22"/>
          <w:szCs w:val="22"/>
        </w:rPr>
        <w:t xml:space="preserve"> Belgium. Third Army, centred on Verdun, was to provide a link between the two wings, while Fourth Army would mobilise on the Aisne and provide a strategic reserve to be deployed once the bulk of the German Army had been located. While Joffre might have maintained that this afforded him flexibility to shift the axis of his operations at a moment’s notice, the state of the army, Fr</w:t>
      </w:r>
      <w:r w:rsidR="007346E6">
        <w:rPr>
          <w:rFonts w:ascii="Candara" w:hAnsi="Candara"/>
          <w:sz w:val="22"/>
          <w:szCs w:val="22"/>
        </w:rPr>
        <w:t>ench</w:t>
      </w:r>
      <w:r>
        <w:rPr>
          <w:rFonts w:ascii="Candara" w:hAnsi="Candara"/>
          <w:sz w:val="22"/>
          <w:szCs w:val="22"/>
        </w:rPr>
        <w:t xml:space="preserve"> strategic inferiority, and its diplomatic positioning, might actually be seen as having constrained his opening moves in August 1914 to a costly offensive into the Lost Provinces. Only thereafter, was he able to exhibit the fleetness of foot on the Marne that rescued an otherwise desperate situation.</w:t>
      </w:r>
    </w:p>
    <w:p w14:paraId="09A1C552" w14:textId="77777777" w:rsidR="000C1872" w:rsidRDefault="000C1872" w:rsidP="000C1872">
      <w:pPr>
        <w:spacing w:line="360" w:lineRule="auto"/>
        <w:ind w:firstLine="720"/>
        <w:jc w:val="both"/>
        <w:rPr>
          <w:rFonts w:ascii="Candara" w:hAnsi="Candara"/>
          <w:sz w:val="22"/>
          <w:szCs w:val="22"/>
        </w:rPr>
      </w:pPr>
    </w:p>
    <w:p w14:paraId="1E1B9BC1" w14:textId="77777777" w:rsidR="000C1872" w:rsidRDefault="000C1872" w:rsidP="000C1872">
      <w:pPr>
        <w:spacing w:line="360" w:lineRule="auto"/>
        <w:jc w:val="both"/>
        <w:rPr>
          <w:rFonts w:ascii="Candara" w:hAnsi="Candara"/>
          <w:b/>
          <w:bCs/>
          <w:sz w:val="22"/>
          <w:szCs w:val="22"/>
          <w:u w:val="single"/>
        </w:rPr>
      </w:pPr>
      <w:r>
        <w:rPr>
          <w:rFonts w:ascii="Candara" w:hAnsi="Candara"/>
          <w:b/>
          <w:bCs/>
          <w:sz w:val="22"/>
          <w:szCs w:val="22"/>
          <w:u w:val="single"/>
        </w:rPr>
        <w:t>Great Britain and the Continental Commitment</w:t>
      </w:r>
    </w:p>
    <w:p w14:paraId="24330119" w14:textId="77777777" w:rsidR="000C1872" w:rsidRDefault="000C1872" w:rsidP="000C1872">
      <w:pPr>
        <w:spacing w:line="360" w:lineRule="auto"/>
        <w:jc w:val="both"/>
        <w:rPr>
          <w:rFonts w:ascii="Candara" w:hAnsi="Candara"/>
          <w:sz w:val="22"/>
          <w:szCs w:val="22"/>
        </w:rPr>
      </w:pPr>
      <w:r>
        <w:rPr>
          <w:rFonts w:ascii="Candara" w:hAnsi="Candara"/>
          <w:sz w:val="22"/>
          <w:szCs w:val="22"/>
        </w:rPr>
        <w:lastRenderedPageBreak/>
        <w:tab/>
        <w:t>British victory in the Second South African War (1899-1902) did little to mask the glaring deficiencies in its military capabilities. Alongside the election of a reformist Liberal government in February 1906, the recommendations of the 1904 Esher Report ushered in an era of significant change for the army. Beyond closer integration of the Empire into defence considerations through, what Douglas Delaney has termed, the ‘Imperial Army Project’, focus centred primarily on the British Army’s expansion capabilities and better war planning.</w:t>
      </w:r>
      <w:r>
        <w:rPr>
          <w:rStyle w:val="FootnoteReference"/>
          <w:rFonts w:ascii="Candara" w:hAnsi="Candara"/>
          <w:sz w:val="22"/>
          <w:szCs w:val="22"/>
        </w:rPr>
        <w:footnoteReference w:id="34"/>
      </w:r>
      <w:r>
        <w:rPr>
          <w:rFonts w:ascii="Candara" w:hAnsi="Candara"/>
          <w:sz w:val="22"/>
          <w:szCs w:val="22"/>
        </w:rPr>
        <w:t xml:space="preserve"> The new Secretary of State for War, Richard Burdon Haldane, set about a complete overhaul of Britain’s auxiliary and reserve forces, establishing the Officer Training Corps (1906), the Territorial Force (1908), and the Special Reserve (1908). More importantly, perhaps, was the creation of a British Expeditionary Force capable of intervening in a future imperial crisis or, as would transpire, a European war.</w:t>
      </w:r>
      <w:r>
        <w:rPr>
          <w:rStyle w:val="FootnoteReference"/>
          <w:rFonts w:ascii="Candara" w:hAnsi="Candara"/>
          <w:sz w:val="22"/>
          <w:szCs w:val="22"/>
        </w:rPr>
        <w:footnoteReference w:id="35"/>
      </w:r>
      <w:r>
        <w:rPr>
          <w:rFonts w:ascii="Candara" w:hAnsi="Candara"/>
          <w:sz w:val="22"/>
          <w:szCs w:val="22"/>
        </w:rPr>
        <w:t xml:space="preserve"> For the first time in its history, the British Army would now also have its plans and preparations for war drawn-up by a General Staff (established in 1904); subsequently renamed the Imperial General Staff (1909).</w:t>
      </w:r>
      <w:r>
        <w:rPr>
          <w:rStyle w:val="FootnoteReference"/>
          <w:rFonts w:ascii="Candara" w:hAnsi="Candara"/>
          <w:sz w:val="22"/>
          <w:szCs w:val="22"/>
        </w:rPr>
        <w:footnoteReference w:id="36"/>
      </w:r>
    </w:p>
    <w:p w14:paraId="53BDE895" w14:textId="77777777" w:rsidR="000C1872" w:rsidRDefault="000C1872" w:rsidP="000C1872">
      <w:pPr>
        <w:spacing w:line="360" w:lineRule="auto"/>
        <w:jc w:val="both"/>
        <w:rPr>
          <w:rFonts w:ascii="Candara" w:hAnsi="Candara"/>
          <w:sz w:val="22"/>
          <w:szCs w:val="22"/>
        </w:rPr>
      </w:pPr>
      <w:r>
        <w:rPr>
          <w:rFonts w:ascii="Candara" w:hAnsi="Candara"/>
          <w:sz w:val="22"/>
          <w:szCs w:val="22"/>
        </w:rPr>
        <w:tab/>
        <w:t xml:space="preserve">Like its European counterparts, the </w:t>
      </w:r>
      <w:r>
        <w:rPr>
          <w:rFonts w:ascii="Candara" w:hAnsi="Candara"/>
          <w:i/>
          <w:iCs/>
          <w:sz w:val="22"/>
          <w:szCs w:val="22"/>
        </w:rPr>
        <w:t>raison d’être</w:t>
      </w:r>
      <w:r>
        <w:rPr>
          <w:rFonts w:ascii="Candara" w:hAnsi="Candara"/>
          <w:sz w:val="22"/>
          <w:szCs w:val="22"/>
        </w:rPr>
        <w:t xml:space="preserve"> of the General Staff was to produce contingencies for any number of potential crises. While imperial considerations clearly continued to influence its thinking, the emergence of a ‘Continental Strategy’ became central to its activities and would subsequently come to dominate the contested nature of Britain’s supposed ‘Continental Commitment’.</w:t>
      </w:r>
      <w:r>
        <w:rPr>
          <w:rStyle w:val="FootnoteReference"/>
          <w:rFonts w:ascii="Candara" w:hAnsi="Candara"/>
          <w:sz w:val="22"/>
          <w:szCs w:val="22"/>
        </w:rPr>
        <w:footnoteReference w:id="37"/>
      </w:r>
      <w:r>
        <w:rPr>
          <w:rFonts w:ascii="Candara" w:hAnsi="Candara"/>
          <w:sz w:val="22"/>
          <w:szCs w:val="22"/>
        </w:rPr>
        <w:t xml:space="preserve"> However, it should be noted that British foreign policy was already heading in that direction. The idea of a British intervention in Europe in the event of Belgian violation had been mooted by Lord </w:t>
      </w:r>
      <w:proofErr w:type="spellStart"/>
      <w:r>
        <w:rPr>
          <w:rFonts w:ascii="Candara" w:hAnsi="Candara"/>
          <w:sz w:val="22"/>
          <w:szCs w:val="22"/>
        </w:rPr>
        <w:t>Landsowne</w:t>
      </w:r>
      <w:proofErr w:type="spellEnd"/>
      <w:r>
        <w:rPr>
          <w:rFonts w:ascii="Candara" w:hAnsi="Candara"/>
          <w:sz w:val="22"/>
          <w:szCs w:val="22"/>
        </w:rPr>
        <w:t>, the Secretary of State for Foreign Affairs (1900-5), as early as 1902.</w:t>
      </w:r>
      <w:r>
        <w:rPr>
          <w:rStyle w:val="FootnoteReference"/>
          <w:rFonts w:ascii="Candara" w:hAnsi="Candara"/>
          <w:sz w:val="22"/>
          <w:szCs w:val="22"/>
        </w:rPr>
        <w:footnoteReference w:id="38"/>
      </w:r>
      <w:r>
        <w:rPr>
          <w:rFonts w:ascii="Candara" w:hAnsi="Candara"/>
          <w:sz w:val="22"/>
          <w:szCs w:val="22"/>
        </w:rPr>
        <w:t xml:space="preserve"> The Committee of Imperial Defence (CID), established in that same year as a coordinative body for British policy and strategy, provided the space in which the nature and feasibility of such a venture could be worked out. Notwithstanding, it largely acted as a battleground for influence between the carefully curated schemes of the General Staff and the </w:t>
      </w:r>
      <w:r>
        <w:rPr>
          <w:rFonts w:ascii="Candara" w:hAnsi="Candara"/>
          <w:sz w:val="22"/>
          <w:szCs w:val="22"/>
        </w:rPr>
        <w:lastRenderedPageBreak/>
        <w:t>somewhat ad-hoc ideas of the Royal Navy, which did much to undermine its efficiency.</w:t>
      </w:r>
      <w:r>
        <w:rPr>
          <w:rStyle w:val="FootnoteReference"/>
          <w:rFonts w:ascii="Candara" w:hAnsi="Candara"/>
          <w:sz w:val="22"/>
          <w:szCs w:val="22"/>
        </w:rPr>
        <w:footnoteReference w:id="39"/>
      </w:r>
      <w:r>
        <w:rPr>
          <w:rFonts w:ascii="Candara" w:hAnsi="Candara"/>
          <w:sz w:val="22"/>
          <w:szCs w:val="22"/>
        </w:rPr>
        <w:t xml:space="preserve"> The consequence was a dislocation between policy and planning, resulting in a British Expeditionary Force inheriting a role in a future European war for which it was not adequately prepared.</w:t>
      </w:r>
      <w:r>
        <w:rPr>
          <w:rStyle w:val="FootnoteReference"/>
          <w:rFonts w:ascii="Candara" w:hAnsi="Candara"/>
          <w:sz w:val="22"/>
          <w:szCs w:val="22"/>
        </w:rPr>
        <w:footnoteReference w:id="40"/>
      </w:r>
      <w:r>
        <w:rPr>
          <w:rFonts w:ascii="Candara" w:hAnsi="Candara"/>
          <w:sz w:val="22"/>
          <w:szCs w:val="22"/>
        </w:rPr>
        <w:t xml:space="preserve"> </w:t>
      </w:r>
    </w:p>
    <w:p w14:paraId="3790876D" w14:textId="18E74ADB" w:rsidR="000C1872" w:rsidRDefault="000C1872" w:rsidP="000C1872">
      <w:pPr>
        <w:spacing w:line="360" w:lineRule="auto"/>
        <w:jc w:val="both"/>
        <w:rPr>
          <w:rFonts w:ascii="Candara" w:hAnsi="Candara"/>
          <w:sz w:val="22"/>
          <w:szCs w:val="22"/>
        </w:rPr>
      </w:pPr>
      <w:r>
        <w:rPr>
          <w:rFonts w:ascii="Candara" w:hAnsi="Candara"/>
          <w:sz w:val="22"/>
          <w:szCs w:val="22"/>
        </w:rPr>
        <w:tab/>
        <w:t>The necessity for producing war plans that envisaged the commitment of a British Expeditionary Force to the continent sprang from two quarters. Firstly, the French authorities wished to establish whether t</w:t>
      </w:r>
      <w:r w:rsidR="008135D2">
        <w:rPr>
          <w:rFonts w:ascii="Candara" w:hAnsi="Candara"/>
          <w:sz w:val="22"/>
          <w:szCs w:val="22"/>
        </w:rPr>
        <w:t>he Third Republic</w:t>
      </w:r>
      <w:r>
        <w:rPr>
          <w:rFonts w:ascii="Candara" w:hAnsi="Candara"/>
          <w:sz w:val="22"/>
          <w:szCs w:val="22"/>
        </w:rPr>
        <w:t xml:space="preserve"> could count on British assistance should Germany invade and, if so, in what capacity.</w:t>
      </w:r>
      <w:r>
        <w:rPr>
          <w:rStyle w:val="FootnoteReference"/>
          <w:rFonts w:ascii="Candara" w:hAnsi="Candara"/>
          <w:sz w:val="22"/>
          <w:szCs w:val="22"/>
        </w:rPr>
        <w:footnoteReference w:id="41"/>
      </w:r>
      <w:r>
        <w:rPr>
          <w:rFonts w:ascii="Candara" w:hAnsi="Candara"/>
          <w:sz w:val="22"/>
          <w:szCs w:val="22"/>
        </w:rPr>
        <w:t xml:space="preserve"> Secondly, a war game played out by the General Staff in 1905 demonstrated that, if the British Army were to play any decisive part in such a scenario, then the speed with which it could be deployed would be critical.</w:t>
      </w:r>
      <w:r>
        <w:rPr>
          <w:rStyle w:val="FootnoteReference"/>
          <w:rFonts w:ascii="Candara" w:hAnsi="Candara"/>
          <w:sz w:val="22"/>
          <w:szCs w:val="22"/>
        </w:rPr>
        <w:footnoteReference w:id="42"/>
      </w:r>
      <w:r>
        <w:rPr>
          <w:rFonts w:ascii="Candara" w:hAnsi="Candara"/>
          <w:sz w:val="22"/>
          <w:szCs w:val="22"/>
        </w:rPr>
        <w:t xml:space="preserve"> In other words, although the decision to commit to war would be made by the government of the day, war plans could not be improvised. It was on this basis that the outgoing Conservative Prime Minister, Arthur Balfour (1902-5), and his Liberal successor, Sir Henry Campbell-Bannerman (1905-8), authorised the opening of secret and unbinding staff talks with the Belgians and the French. This laid the groundwork for a British deployment and provided</w:t>
      </w:r>
      <w:r w:rsidR="008135D2">
        <w:rPr>
          <w:rFonts w:ascii="Candara" w:hAnsi="Candara"/>
          <w:sz w:val="22"/>
          <w:szCs w:val="22"/>
        </w:rPr>
        <w:t xml:space="preserve"> the</w:t>
      </w:r>
      <w:r>
        <w:rPr>
          <w:rFonts w:ascii="Candara" w:hAnsi="Candara"/>
          <w:sz w:val="22"/>
          <w:szCs w:val="22"/>
        </w:rPr>
        <w:t xml:space="preserve"> </w:t>
      </w:r>
      <w:r w:rsidR="0065396D">
        <w:rPr>
          <w:rFonts w:ascii="Candara" w:hAnsi="Candara"/>
          <w:sz w:val="22"/>
          <w:szCs w:val="22"/>
        </w:rPr>
        <w:t>War Council</w:t>
      </w:r>
      <w:r>
        <w:rPr>
          <w:rFonts w:ascii="Candara" w:hAnsi="Candara"/>
          <w:sz w:val="22"/>
          <w:szCs w:val="22"/>
        </w:rPr>
        <w:t xml:space="preserve"> with a reasonable plan of action come the decision for war in August 1914.</w:t>
      </w:r>
    </w:p>
    <w:p w14:paraId="3EA83EA2" w14:textId="3A83778E" w:rsidR="000C1872" w:rsidRDefault="000C1872" w:rsidP="000C1872">
      <w:pPr>
        <w:spacing w:line="360" w:lineRule="auto"/>
        <w:jc w:val="both"/>
        <w:rPr>
          <w:rFonts w:ascii="Candara" w:hAnsi="Candara"/>
          <w:sz w:val="22"/>
          <w:szCs w:val="22"/>
        </w:rPr>
      </w:pPr>
      <w:r>
        <w:rPr>
          <w:rFonts w:ascii="Candara" w:hAnsi="Candara"/>
          <w:sz w:val="22"/>
          <w:szCs w:val="22"/>
        </w:rPr>
        <w:tab/>
        <w:t xml:space="preserve">When Lt.-Colonel Nathaniel Walter </w:t>
      </w:r>
      <w:proofErr w:type="spellStart"/>
      <w:r>
        <w:rPr>
          <w:rFonts w:ascii="Candara" w:hAnsi="Candara"/>
          <w:sz w:val="22"/>
          <w:szCs w:val="22"/>
        </w:rPr>
        <w:t>Barnardiston</w:t>
      </w:r>
      <w:proofErr w:type="spellEnd"/>
      <w:r>
        <w:rPr>
          <w:rFonts w:ascii="Candara" w:hAnsi="Candara"/>
          <w:sz w:val="22"/>
          <w:szCs w:val="22"/>
        </w:rPr>
        <w:t xml:space="preserve">, the British </w:t>
      </w:r>
      <w:r w:rsidR="0094735F">
        <w:rPr>
          <w:rFonts w:ascii="Candara" w:hAnsi="Candara"/>
          <w:sz w:val="22"/>
          <w:szCs w:val="22"/>
        </w:rPr>
        <w:t>m</w:t>
      </w:r>
      <w:r>
        <w:rPr>
          <w:rFonts w:ascii="Candara" w:hAnsi="Candara"/>
          <w:sz w:val="22"/>
          <w:szCs w:val="22"/>
        </w:rPr>
        <w:t xml:space="preserve">ilitary </w:t>
      </w:r>
      <w:r w:rsidR="0094735F">
        <w:rPr>
          <w:rFonts w:ascii="Candara" w:hAnsi="Candara"/>
          <w:sz w:val="22"/>
          <w:szCs w:val="22"/>
        </w:rPr>
        <w:t>a</w:t>
      </w:r>
      <w:r>
        <w:rPr>
          <w:rFonts w:ascii="Candara" w:hAnsi="Candara"/>
          <w:sz w:val="22"/>
          <w:szCs w:val="22"/>
        </w:rPr>
        <w:t>ttaché to Brussels, the Hague, and Scandinavia (1902-6), received authorisation in January 1906 to broach the subject of possible British aid in a war against Germany with the Belgian General Staff, he received an enthusiastic response.</w:t>
      </w:r>
      <w:r>
        <w:rPr>
          <w:rStyle w:val="FootnoteReference"/>
          <w:rFonts w:ascii="Candara" w:hAnsi="Candara"/>
          <w:sz w:val="22"/>
          <w:szCs w:val="22"/>
        </w:rPr>
        <w:footnoteReference w:id="43"/>
      </w:r>
      <w:r>
        <w:rPr>
          <w:rFonts w:ascii="Candara" w:hAnsi="Candara"/>
          <w:sz w:val="22"/>
          <w:szCs w:val="22"/>
        </w:rPr>
        <w:t xml:space="preserve"> Within weeks detailed railway schedules were drawn up in concert with the Chief of the Belgian General Staff, Lt.-General Victor </w:t>
      </w:r>
      <w:proofErr w:type="spellStart"/>
      <w:r>
        <w:rPr>
          <w:rFonts w:ascii="Candara" w:hAnsi="Candara"/>
          <w:sz w:val="22"/>
          <w:szCs w:val="22"/>
        </w:rPr>
        <w:t>Ducarne</w:t>
      </w:r>
      <w:proofErr w:type="spellEnd"/>
      <w:r>
        <w:rPr>
          <w:rFonts w:ascii="Candara" w:hAnsi="Candara"/>
          <w:sz w:val="22"/>
          <w:szCs w:val="22"/>
        </w:rPr>
        <w:t>, to transport the British Expeditionary Force from its debarkation points in Belgium or Northern France to the Meuse line. Other options were also considered.</w:t>
      </w:r>
      <w:r>
        <w:rPr>
          <w:rStyle w:val="FootnoteReference"/>
          <w:rFonts w:ascii="Candara" w:hAnsi="Candara"/>
          <w:sz w:val="22"/>
          <w:szCs w:val="22"/>
        </w:rPr>
        <w:footnoteReference w:id="44"/>
      </w:r>
      <w:r>
        <w:rPr>
          <w:rFonts w:ascii="Candara" w:hAnsi="Candara"/>
          <w:sz w:val="22"/>
          <w:szCs w:val="22"/>
        </w:rPr>
        <w:t xml:space="preserve"> Echoing the lessons drawn from the 1905 war game, speed was deemed essential if British forces were to reach the decisive point in time. Great effort w</w:t>
      </w:r>
      <w:r w:rsidR="008135D2">
        <w:rPr>
          <w:rFonts w:ascii="Candara" w:hAnsi="Candara"/>
          <w:sz w:val="22"/>
          <w:szCs w:val="22"/>
        </w:rPr>
        <w:t>as</w:t>
      </w:r>
      <w:r w:rsidR="001A514B">
        <w:rPr>
          <w:rFonts w:ascii="Candara" w:hAnsi="Candara"/>
          <w:sz w:val="22"/>
          <w:szCs w:val="22"/>
        </w:rPr>
        <w:t xml:space="preserve">, </w:t>
      </w:r>
      <w:r w:rsidR="001A514B">
        <w:rPr>
          <w:rFonts w:ascii="Candara" w:hAnsi="Candara"/>
          <w:sz w:val="22"/>
          <w:szCs w:val="22"/>
        </w:rPr>
        <w:lastRenderedPageBreak/>
        <w:t>therefore,</w:t>
      </w:r>
      <w:r>
        <w:rPr>
          <w:rFonts w:ascii="Candara" w:hAnsi="Candara"/>
          <w:sz w:val="22"/>
          <w:szCs w:val="22"/>
        </w:rPr>
        <w:t xml:space="preserve"> made to expedite the process.</w:t>
      </w:r>
      <w:r>
        <w:rPr>
          <w:rStyle w:val="FootnoteReference"/>
          <w:rFonts w:ascii="Candara" w:hAnsi="Candara"/>
          <w:sz w:val="22"/>
          <w:szCs w:val="22"/>
        </w:rPr>
        <w:footnoteReference w:id="45"/>
      </w:r>
      <w:r>
        <w:rPr>
          <w:rFonts w:ascii="Candara" w:hAnsi="Candara"/>
          <w:sz w:val="22"/>
          <w:szCs w:val="22"/>
        </w:rPr>
        <w:t xml:space="preserve"> All appeared to be shaping up well, with both parties </w:t>
      </w:r>
      <w:r w:rsidR="001A514B">
        <w:rPr>
          <w:rFonts w:ascii="Candara" w:hAnsi="Candara"/>
          <w:sz w:val="22"/>
          <w:szCs w:val="22"/>
        </w:rPr>
        <w:t>content</w:t>
      </w:r>
      <w:r>
        <w:rPr>
          <w:rFonts w:ascii="Candara" w:hAnsi="Candara"/>
          <w:sz w:val="22"/>
          <w:szCs w:val="22"/>
        </w:rPr>
        <w:t xml:space="preserve"> to keep the conversations secret and unbinding. Even the Royal Navy – continental-sceptics – entertained ideas of supporting a British landing in Belgium</w:t>
      </w:r>
      <w:r w:rsidR="001A514B">
        <w:rPr>
          <w:rFonts w:ascii="Candara" w:hAnsi="Candara"/>
          <w:sz w:val="22"/>
          <w:szCs w:val="22"/>
        </w:rPr>
        <w:t xml:space="preserve"> for a time;</w:t>
      </w:r>
      <w:r>
        <w:rPr>
          <w:rFonts w:ascii="Candara" w:hAnsi="Candara"/>
          <w:sz w:val="22"/>
          <w:szCs w:val="22"/>
        </w:rPr>
        <w:t xml:space="preserve"> though were</w:t>
      </w:r>
      <w:r w:rsidR="001A514B">
        <w:rPr>
          <w:rFonts w:ascii="Candara" w:hAnsi="Candara"/>
          <w:sz w:val="22"/>
          <w:szCs w:val="22"/>
        </w:rPr>
        <w:t xml:space="preserve"> progressively</w:t>
      </w:r>
      <w:r>
        <w:rPr>
          <w:rFonts w:ascii="Candara" w:hAnsi="Candara"/>
          <w:sz w:val="22"/>
          <w:szCs w:val="22"/>
        </w:rPr>
        <w:t xml:space="preserve"> eased out of joint planning as the General Staff began to increasingly explore cooperation with the French.</w:t>
      </w:r>
      <w:r>
        <w:rPr>
          <w:rStyle w:val="FootnoteReference"/>
          <w:rFonts w:ascii="Candara" w:hAnsi="Candara"/>
          <w:sz w:val="22"/>
          <w:szCs w:val="22"/>
        </w:rPr>
        <w:footnoteReference w:id="46"/>
      </w:r>
    </w:p>
    <w:p w14:paraId="5777A51E" w14:textId="77777777" w:rsidR="000C1872" w:rsidRDefault="000C1872" w:rsidP="000C1872">
      <w:pPr>
        <w:spacing w:line="360" w:lineRule="auto"/>
        <w:jc w:val="both"/>
        <w:rPr>
          <w:rFonts w:ascii="Candara" w:hAnsi="Candara"/>
          <w:sz w:val="22"/>
          <w:szCs w:val="22"/>
        </w:rPr>
      </w:pPr>
      <w:r>
        <w:rPr>
          <w:rFonts w:ascii="Candara" w:hAnsi="Candara"/>
          <w:sz w:val="22"/>
          <w:szCs w:val="22"/>
        </w:rPr>
        <w:tab/>
        <w:t>Initial approaches to the French General Staff were made in 1905 and flourished in the ensuing years. A W[</w:t>
      </w:r>
      <w:proofErr w:type="spellStart"/>
      <w:r>
        <w:rPr>
          <w:rFonts w:ascii="Candara" w:hAnsi="Candara"/>
          <w:sz w:val="22"/>
          <w:szCs w:val="22"/>
        </w:rPr>
        <w:t>ith</w:t>
      </w:r>
      <w:proofErr w:type="spellEnd"/>
      <w:r>
        <w:rPr>
          <w:rFonts w:ascii="Candara" w:hAnsi="Candara"/>
          <w:sz w:val="22"/>
          <w:szCs w:val="22"/>
        </w:rPr>
        <w:t>] F[</w:t>
      </w:r>
      <w:proofErr w:type="spellStart"/>
      <w:r>
        <w:rPr>
          <w:rFonts w:ascii="Candara" w:hAnsi="Candara"/>
          <w:sz w:val="22"/>
          <w:szCs w:val="22"/>
        </w:rPr>
        <w:t>rance</w:t>
      </w:r>
      <w:proofErr w:type="spellEnd"/>
      <w:r>
        <w:rPr>
          <w:rFonts w:ascii="Candara" w:hAnsi="Candara"/>
          <w:sz w:val="22"/>
          <w:szCs w:val="22"/>
        </w:rPr>
        <w:t xml:space="preserve">] Scheme was developed and discussed through a sub-committee of the CID in 1908 and 1909. The General Staff took this to mean a formal approval, though a number of its members raised concerns over the nature of the BEF’s relationship to the French Army once in the field as well as the alarming revelation that secret staff conversations had been kept from them for years. The ‘Continental Strategy’ as Nicholas </w:t>
      </w:r>
      <w:proofErr w:type="spellStart"/>
      <w:r>
        <w:rPr>
          <w:rFonts w:ascii="Candara" w:hAnsi="Candara"/>
          <w:sz w:val="22"/>
          <w:szCs w:val="22"/>
        </w:rPr>
        <w:t>d’Ombrain</w:t>
      </w:r>
      <w:proofErr w:type="spellEnd"/>
      <w:r>
        <w:rPr>
          <w:rFonts w:ascii="Candara" w:hAnsi="Candara"/>
          <w:sz w:val="22"/>
          <w:szCs w:val="22"/>
        </w:rPr>
        <w:t xml:space="preserve"> put it, had been ‘a subject to be aired as briefly as possible and swept back into the shadows. The result was the drift of the CID towards the acceptance of the fait accompli of 1906, without any detailed knowledge or any serious investigation.’</w:t>
      </w:r>
      <w:r>
        <w:rPr>
          <w:rStyle w:val="FootnoteReference"/>
          <w:rFonts w:ascii="Candara" w:hAnsi="Candara"/>
          <w:sz w:val="22"/>
          <w:szCs w:val="22"/>
        </w:rPr>
        <w:footnoteReference w:id="47"/>
      </w:r>
      <w:r>
        <w:rPr>
          <w:rFonts w:ascii="Candara" w:hAnsi="Candara"/>
          <w:sz w:val="22"/>
          <w:szCs w:val="22"/>
        </w:rPr>
        <w:t xml:space="preserve"> This came to a head in the infamous 114</w:t>
      </w:r>
      <w:r w:rsidRPr="00C17F6C">
        <w:rPr>
          <w:rFonts w:ascii="Candara" w:hAnsi="Candara"/>
          <w:sz w:val="22"/>
          <w:szCs w:val="22"/>
          <w:vertAlign w:val="superscript"/>
        </w:rPr>
        <w:t>th</w:t>
      </w:r>
      <w:r>
        <w:rPr>
          <w:rFonts w:ascii="Candara" w:hAnsi="Candara"/>
          <w:sz w:val="22"/>
          <w:szCs w:val="22"/>
        </w:rPr>
        <w:t xml:space="preserve"> Meeting on 23 August 1911, during which the extent of Anglo-French staff conversations became more widely known. Large parts of the Cabinet remained unaware of these goings-on until November 1911. Over the course of two meetings that month, the Prime Minister, Herbert Henry Asquith (1909-16), promised that no further ‘communications should take place between the General Staff and the Staffs of other countries which can, directly or indirectly, commit this country to military or naval intervention’ without the express approval of the Cabinet.</w:t>
      </w:r>
      <w:r>
        <w:rPr>
          <w:rStyle w:val="FootnoteReference"/>
          <w:rFonts w:ascii="Candara" w:hAnsi="Candara"/>
          <w:sz w:val="22"/>
          <w:szCs w:val="22"/>
        </w:rPr>
        <w:footnoteReference w:id="48"/>
      </w:r>
      <w:r>
        <w:rPr>
          <w:rFonts w:ascii="Candara" w:hAnsi="Candara"/>
          <w:sz w:val="22"/>
          <w:szCs w:val="22"/>
        </w:rPr>
        <w:t xml:space="preserve"> Notwithstanding, essential elements of planning had already been undertaken.</w:t>
      </w:r>
    </w:p>
    <w:p w14:paraId="240648B1" w14:textId="2D427727" w:rsidR="000C1872" w:rsidRDefault="000C1872" w:rsidP="000C1872">
      <w:pPr>
        <w:spacing w:line="360" w:lineRule="auto"/>
        <w:jc w:val="both"/>
        <w:rPr>
          <w:rFonts w:ascii="Candara" w:hAnsi="Candara"/>
          <w:sz w:val="22"/>
          <w:szCs w:val="22"/>
        </w:rPr>
      </w:pPr>
      <w:r>
        <w:rPr>
          <w:rFonts w:ascii="Candara" w:hAnsi="Candara"/>
          <w:sz w:val="22"/>
          <w:szCs w:val="22"/>
        </w:rPr>
        <w:tab/>
        <w:t>Key figures, such as the Foreign Secretary, Sir Edward Grey, Haldane, and the Director of Military Operations and future Chief of the Imperial General Staff, Sir Henry Wilson – an ardent Francophile – thought little of the meetings’ conclusions. Wilson intensified his conversations with the French, though did not discount being able to place 150,000 men in Belgium either.</w:t>
      </w:r>
      <w:r>
        <w:rPr>
          <w:rStyle w:val="FootnoteReference"/>
          <w:rFonts w:ascii="Candara" w:hAnsi="Candara"/>
          <w:sz w:val="22"/>
          <w:szCs w:val="22"/>
        </w:rPr>
        <w:footnoteReference w:id="49"/>
      </w:r>
      <w:r>
        <w:rPr>
          <w:rFonts w:ascii="Candara" w:hAnsi="Candara"/>
          <w:sz w:val="22"/>
          <w:szCs w:val="22"/>
        </w:rPr>
        <w:t xml:space="preserve"> This was a somewhat fanciful figure, given the likelihood of Britain retaining some of the BEF’s strength for the purposes of Home Defence. After all, </w:t>
      </w:r>
      <w:r w:rsidR="008135D2">
        <w:rPr>
          <w:rFonts w:ascii="Candara" w:hAnsi="Candara"/>
          <w:sz w:val="22"/>
          <w:szCs w:val="22"/>
        </w:rPr>
        <w:t>tensions in</w:t>
      </w:r>
      <w:r>
        <w:rPr>
          <w:rFonts w:ascii="Candara" w:hAnsi="Candara"/>
          <w:sz w:val="22"/>
          <w:szCs w:val="22"/>
        </w:rPr>
        <w:t xml:space="preserve"> Ireland over the issue of Home Rule </w:t>
      </w:r>
      <w:r w:rsidR="008135D2">
        <w:rPr>
          <w:rFonts w:ascii="Candara" w:hAnsi="Candara"/>
          <w:sz w:val="22"/>
          <w:szCs w:val="22"/>
        </w:rPr>
        <w:t>looked set to boil over</w:t>
      </w:r>
      <w:r>
        <w:rPr>
          <w:rFonts w:ascii="Candara" w:hAnsi="Candara"/>
          <w:sz w:val="22"/>
          <w:szCs w:val="22"/>
        </w:rPr>
        <w:t xml:space="preserve"> and dominated Cabinet discussions until the eve of war. Nevertheless, the figure of four infantry divisions and two cavalry brigades to be deployed somewhere on the French left appeared consistently in the more </w:t>
      </w:r>
      <w:r w:rsidR="001A514B">
        <w:rPr>
          <w:rFonts w:ascii="Candara" w:hAnsi="Candara"/>
          <w:sz w:val="22"/>
          <w:szCs w:val="22"/>
        </w:rPr>
        <w:t>comprehensive</w:t>
      </w:r>
      <w:r>
        <w:rPr>
          <w:rFonts w:ascii="Candara" w:hAnsi="Candara"/>
          <w:sz w:val="22"/>
          <w:szCs w:val="22"/>
        </w:rPr>
        <w:t xml:space="preserve"> discussions with the French. Despite British </w:t>
      </w:r>
      <w:r>
        <w:rPr>
          <w:rFonts w:ascii="Candara" w:hAnsi="Candara"/>
          <w:sz w:val="22"/>
          <w:szCs w:val="22"/>
        </w:rPr>
        <w:lastRenderedPageBreak/>
        <w:t xml:space="preserve">preference for a concentration around Amiens to maintain operational flexibility, French preference was to have the BEF move towards the forward position of </w:t>
      </w:r>
      <w:proofErr w:type="spellStart"/>
      <w:r>
        <w:rPr>
          <w:rFonts w:ascii="Candara" w:hAnsi="Candara"/>
          <w:sz w:val="22"/>
          <w:szCs w:val="22"/>
        </w:rPr>
        <w:t>Maubeuge</w:t>
      </w:r>
      <w:proofErr w:type="spellEnd"/>
      <w:r>
        <w:rPr>
          <w:rFonts w:ascii="Candara" w:hAnsi="Candara"/>
          <w:sz w:val="22"/>
          <w:szCs w:val="22"/>
        </w:rPr>
        <w:t xml:space="preserve"> to help cover any attempted German envelopment in strength.</w:t>
      </w:r>
      <w:r>
        <w:rPr>
          <w:rStyle w:val="FootnoteReference"/>
          <w:rFonts w:ascii="Candara" w:hAnsi="Candara"/>
          <w:sz w:val="22"/>
          <w:szCs w:val="22"/>
        </w:rPr>
        <w:footnoteReference w:id="50"/>
      </w:r>
      <w:r>
        <w:rPr>
          <w:rFonts w:ascii="Candara" w:hAnsi="Candara"/>
          <w:sz w:val="22"/>
          <w:szCs w:val="22"/>
        </w:rPr>
        <w:t xml:space="preserve"> Whilst remaining unbinding – something Joffre remained acutely wary of – it at least provided the </w:t>
      </w:r>
      <w:r>
        <w:rPr>
          <w:rFonts w:ascii="Candara" w:hAnsi="Candara"/>
          <w:i/>
          <w:iCs/>
          <w:sz w:val="22"/>
          <w:szCs w:val="22"/>
        </w:rPr>
        <w:t xml:space="preserve">Entente </w:t>
      </w:r>
      <w:r>
        <w:rPr>
          <w:rFonts w:ascii="Candara" w:hAnsi="Candara"/>
          <w:sz w:val="22"/>
          <w:szCs w:val="22"/>
        </w:rPr>
        <w:t>with a basis for joint action should the circumstances arise.</w:t>
      </w:r>
    </w:p>
    <w:p w14:paraId="201F6B25" w14:textId="12375D80" w:rsidR="000C1872" w:rsidRDefault="000C1872" w:rsidP="000C1872">
      <w:pPr>
        <w:spacing w:line="360" w:lineRule="auto"/>
        <w:ind w:firstLine="720"/>
        <w:jc w:val="both"/>
        <w:rPr>
          <w:rFonts w:ascii="Candara" w:hAnsi="Candara"/>
          <w:sz w:val="22"/>
          <w:szCs w:val="22"/>
        </w:rPr>
      </w:pPr>
      <w:r>
        <w:rPr>
          <w:rFonts w:ascii="Candara" w:hAnsi="Candara"/>
          <w:sz w:val="22"/>
          <w:szCs w:val="22"/>
        </w:rPr>
        <w:t xml:space="preserve">Despite close cooperation with the French, Asquith retained a desire for the ‘Belgian Scheme’ to be fully worked out from 1909 onwards. A war game was played </w:t>
      </w:r>
      <w:r w:rsidR="001A514B">
        <w:rPr>
          <w:rFonts w:ascii="Candara" w:hAnsi="Candara"/>
          <w:sz w:val="22"/>
          <w:szCs w:val="22"/>
        </w:rPr>
        <w:t xml:space="preserve">at </w:t>
      </w:r>
      <w:r>
        <w:rPr>
          <w:rFonts w:ascii="Candara" w:hAnsi="Candara"/>
          <w:sz w:val="22"/>
          <w:szCs w:val="22"/>
        </w:rPr>
        <w:t>the Staff College in November 1910 to test its feasibility, though broader interest was negligible given its interchangeability with aspects of the WF Scheme.</w:t>
      </w:r>
      <w:r>
        <w:rPr>
          <w:rStyle w:val="FootnoteReference"/>
          <w:rFonts w:ascii="Candara" w:hAnsi="Candara"/>
          <w:sz w:val="22"/>
          <w:szCs w:val="22"/>
        </w:rPr>
        <w:footnoteReference w:id="51"/>
      </w:r>
      <w:r>
        <w:rPr>
          <w:rFonts w:ascii="Candara" w:hAnsi="Candara"/>
          <w:sz w:val="22"/>
          <w:szCs w:val="22"/>
        </w:rPr>
        <w:t xml:space="preserve"> What it did do, however, was raise the question over Belgian intentions, which had become ambiguous since the 1906 staff talks had ended. With its one cavalry and six infantry divisions, not to mention its fortresses, it behoved the </w:t>
      </w:r>
      <w:r>
        <w:rPr>
          <w:rFonts w:ascii="Candara" w:hAnsi="Candara"/>
          <w:i/>
          <w:iCs/>
          <w:sz w:val="22"/>
          <w:szCs w:val="22"/>
        </w:rPr>
        <w:t xml:space="preserve">Entente </w:t>
      </w:r>
      <w:r>
        <w:rPr>
          <w:rFonts w:ascii="Candara" w:hAnsi="Candara"/>
          <w:sz w:val="22"/>
          <w:szCs w:val="22"/>
        </w:rPr>
        <w:t>to ensure Belgian forces tipped the balance in the right direction. Joffre did not expect the Belgian Army to put up much resistance unless the Germans moved north of the Meuse, thereby devoting little time and attention to the possibility of military assistance in his pre-war planning.</w:t>
      </w:r>
      <w:r>
        <w:rPr>
          <w:rStyle w:val="FootnoteReference"/>
          <w:rFonts w:ascii="Candara" w:hAnsi="Candara"/>
          <w:sz w:val="22"/>
          <w:szCs w:val="22"/>
        </w:rPr>
        <w:footnoteReference w:id="52"/>
      </w:r>
      <w:r>
        <w:rPr>
          <w:rFonts w:ascii="Candara" w:hAnsi="Candara"/>
          <w:sz w:val="22"/>
          <w:szCs w:val="22"/>
        </w:rPr>
        <w:t xml:space="preserve"> By contrast, a botched British attempt to reopen military conversations with the Belgians after the Second Moroccan Crisis in April 1912 (discussed below) betrayed a different attitude altogether. Belgium retained an importance in British policy and could not simply be ignored. More than that, it offered a preferable theatre of operations in which its forces could play a role whilst retaining that all-important freedom of action.</w:t>
      </w:r>
    </w:p>
    <w:p w14:paraId="705E30CC" w14:textId="77777777" w:rsidR="000C1872" w:rsidRDefault="000C1872" w:rsidP="000C1872">
      <w:pPr>
        <w:spacing w:line="360" w:lineRule="auto"/>
        <w:ind w:firstLine="720"/>
        <w:jc w:val="both"/>
        <w:rPr>
          <w:rFonts w:ascii="Candara" w:hAnsi="Candara"/>
          <w:sz w:val="22"/>
          <w:szCs w:val="22"/>
        </w:rPr>
      </w:pPr>
      <w:r>
        <w:rPr>
          <w:rFonts w:ascii="Candara" w:hAnsi="Candara"/>
          <w:sz w:val="22"/>
          <w:szCs w:val="22"/>
        </w:rPr>
        <w:t xml:space="preserve">In many ways, the Anglo-Belgian military conversations were one of the main reasons why the </w:t>
      </w:r>
      <w:r>
        <w:rPr>
          <w:rFonts w:ascii="Candara" w:hAnsi="Candara"/>
          <w:i/>
          <w:iCs/>
          <w:sz w:val="22"/>
          <w:szCs w:val="22"/>
        </w:rPr>
        <w:t>Entente</w:t>
      </w:r>
      <w:r>
        <w:rPr>
          <w:rFonts w:ascii="Candara" w:hAnsi="Candara"/>
          <w:sz w:val="22"/>
          <w:szCs w:val="22"/>
        </w:rPr>
        <w:t xml:space="preserve"> failed to adequately define how the British Army might be deployed.</w:t>
      </w:r>
      <w:r>
        <w:rPr>
          <w:rStyle w:val="FootnoteReference"/>
          <w:rFonts w:ascii="Candara" w:hAnsi="Candara"/>
          <w:sz w:val="22"/>
          <w:szCs w:val="22"/>
        </w:rPr>
        <w:footnoteReference w:id="53"/>
      </w:r>
      <w:r>
        <w:rPr>
          <w:rFonts w:ascii="Candara" w:hAnsi="Candara"/>
          <w:sz w:val="22"/>
          <w:szCs w:val="22"/>
        </w:rPr>
        <w:t xml:space="preserve"> Ultimately, war plans barely figured in the decision to go to war, which revolved more around questions of policy and British interests. Nevertheless, as K.M. Wilson has stated, ‘The B.E.F. was sent off because it existed; to France because it was thought the French needed it, because all pre-war planning had been for the sake of the French, and the premise for it that the French would otherwise be defeated.’</w:t>
      </w:r>
      <w:r>
        <w:rPr>
          <w:rStyle w:val="FootnoteReference"/>
          <w:rFonts w:ascii="Candara" w:hAnsi="Candara"/>
          <w:sz w:val="22"/>
          <w:szCs w:val="22"/>
        </w:rPr>
        <w:footnoteReference w:id="54"/>
      </w:r>
      <w:r>
        <w:rPr>
          <w:rFonts w:ascii="Candara" w:hAnsi="Candara"/>
          <w:sz w:val="22"/>
          <w:szCs w:val="22"/>
        </w:rPr>
        <w:t xml:space="preserve"> </w:t>
      </w:r>
    </w:p>
    <w:p w14:paraId="6882F173" w14:textId="77777777" w:rsidR="000C1872" w:rsidRDefault="000C1872" w:rsidP="000C1872">
      <w:pPr>
        <w:spacing w:line="360" w:lineRule="auto"/>
        <w:jc w:val="both"/>
        <w:rPr>
          <w:rFonts w:ascii="Candara" w:hAnsi="Candara"/>
          <w:b/>
          <w:bCs/>
          <w:sz w:val="22"/>
          <w:szCs w:val="22"/>
          <w:u w:val="single"/>
        </w:rPr>
      </w:pPr>
    </w:p>
    <w:p w14:paraId="0275C5D6" w14:textId="77777777" w:rsidR="000C1872" w:rsidRDefault="000C1872" w:rsidP="000C1872">
      <w:pPr>
        <w:spacing w:line="360" w:lineRule="auto"/>
        <w:jc w:val="both"/>
        <w:rPr>
          <w:rFonts w:ascii="Candara" w:hAnsi="Candara"/>
          <w:b/>
          <w:bCs/>
          <w:sz w:val="22"/>
          <w:szCs w:val="22"/>
          <w:u w:val="single"/>
        </w:rPr>
      </w:pPr>
      <w:r>
        <w:rPr>
          <w:rFonts w:ascii="Candara" w:hAnsi="Candara"/>
          <w:b/>
          <w:bCs/>
          <w:sz w:val="22"/>
          <w:szCs w:val="22"/>
          <w:u w:val="single"/>
        </w:rPr>
        <w:lastRenderedPageBreak/>
        <w:t>Belgium and Neutrality</w:t>
      </w:r>
    </w:p>
    <w:p w14:paraId="7B335C49" w14:textId="3E3FE11A" w:rsidR="000C1872" w:rsidRDefault="000C1872" w:rsidP="000C1872">
      <w:pPr>
        <w:spacing w:line="360" w:lineRule="auto"/>
        <w:jc w:val="both"/>
        <w:rPr>
          <w:rFonts w:ascii="Candara" w:hAnsi="Candara"/>
          <w:sz w:val="22"/>
          <w:szCs w:val="22"/>
        </w:rPr>
      </w:pPr>
      <w:r>
        <w:rPr>
          <w:rFonts w:ascii="Candara" w:hAnsi="Candara"/>
          <w:sz w:val="22"/>
          <w:szCs w:val="22"/>
        </w:rPr>
        <w:tab/>
        <w:t>Belgium’s strategic position in 1914 was governed by the terms of the 1839 Treaty of London. Its perpetual neutrality was guaranteed by Europe’s five Great Powers (Germany, France, Austria-Hungary, Russia, and Great Britain) who bore an individual and collective responsibility to uphold it and preserve the balance of power. It was, at the same time, a very old treaty: one which German planners had already decided could be ignored, and which others quibbled over the exact nature of their duties.</w:t>
      </w:r>
      <w:r>
        <w:rPr>
          <w:rStyle w:val="FootnoteReference"/>
          <w:rFonts w:ascii="Candara" w:hAnsi="Candara"/>
          <w:sz w:val="22"/>
          <w:szCs w:val="22"/>
        </w:rPr>
        <w:footnoteReference w:id="55"/>
      </w:r>
      <w:r>
        <w:rPr>
          <w:rFonts w:ascii="Candara" w:hAnsi="Candara"/>
          <w:sz w:val="22"/>
          <w:szCs w:val="22"/>
        </w:rPr>
        <w:t xml:space="preserve"> Whereas Belgian politicians could point to the Franco-Prussian War as proof of the sanctity of neutrality, the army was less convinced. In reality, Belgium had but narrowly escaped the catastrophe that unfolded within a stone’s throw of its borders. Given the interpretative malleability of neutrality as a concept throughout the </w:t>
      </w:r>
      <w:r w:rsidR="007346E6">
        <w:rPr>
          <w:rFonts w:ascii="Candara" w:hAnsi="Candara"/>
          <w:sz w:val="22"/>
          <w:szCs w:val="22"/>
        </w:rPr>
        <w:t>nineteenth c</w:t>
      </w:r>
      <w:r>
        <w:rPr>
          <w:rFonts w:ascii="Candara" w:hAnsi="Candara"/>
          <w:sz w:val="22"/>
          <w:szCs w:val="22"/>
        </w:rPr>
        <w:t>entury, it was not inconceivable that the next war might play out differently.</w:t>
      </w:r>
      <w:r>
        <w:rPr>
          <w:rStyle w:val="FootnoteReference"/>
          <w:rFonts w:ascii="Candara" w:hAnsi="Candara"/>
          <w:sz w:val="22"/>
          <w:szCs w:val="22"/>
        </w:rPr>
        <w:footnoteReference w:id="56"/>
      </w:r>
    </w:p>
    <w:p w14:paraId="7C68498A" w14:textId="47F59767" w:rsidR="000C1872" w:rsidRDefault="000C1872" w:rsidP="000C1872">
      <w:pPr>
        <w:spacing w:line="360" w:lineRule="auto"/>
        <w:ind w:firstLine="720"/>
        <w:jc w:val="both"/>
        <w:rPr>
          <w:rFonts w:ascii="Candara" w:hAnsi="Candara"/>
          <w:sz w:val="22"/>
          <w:szCs w:val="22"/>
        </w:rPr>
      </w:pPr>
      <w:r>
        <w:rPr>
          <w:rFonts w:ascii="Candara" w:hAnsi="Candara"/>
          <w:sz w:val="22"/>
          <w:szCs w:val="22"/>
        </w:rPr>
        <w:t xml:space="preserve">Neutrality was only as strong as the army capable of upholding it. Yet, the Army of Observation’s mobilisation in 1870 had revealed glaring organisational problems. At </w:t>
      </w:r>
      <w:r w:rsidR="007346E6">
        <w:rPr>
          <w:rFonts w:ascii="Candara" w:hAnsi="Candara"/>
          <w:sz w:val="22"/>
          <w:szCs w:val="22"/>
        </w:rPr>
        <w:t>31 percent</w:t>
      </w:r>
      <w:r>
        <w:rPr>
          <w:rFonts w:ascii="Candara" w:hAnsi="Candara"/>
          <w:sz w:val="22"/>
          <w:szCs w:val="22"/>
        </w:rPr>
        <w:t xml:space="preserve"> below its anticipated wartime establishment, it confirmed the need to </w:t>
      </w:r>
      <w:r w:rsidR="008135D2">
        <w:rPr>
          <w:rFonts w:ascii="Candara" w:hAnsi="Candara"/>
          <w:sz w:val="22"/>
          <w:szCs w:val="22"/>
        </w:rPr>
        <w:t>abandon</w:t>
      </w:r>
      <w:r>
        <w:rPr>
          <w:rFonts w:ascii="Candara" w:hAnsi="Candara"/>
          <w:sz w:val="22"/>
          <w:szCs w:val="22"/>
        </w:rPr>
        <w:t xml:space="preserve"> the ‘blood tax’ of recruitment by ballot in favour of universal conscription.</w:t>
      </w:r>
      <w:r>
        <w:rPr>
          <w:rStyle w:val="FootnoteReference"/>
          <w:rFonts w:ascii="Candara" w:hAnsi="Candara"/>
          <w:sz w:val="22"/>
          <w:szCs w:val="22"/>
        </w:rPr>
        <w:footnoteReference w:id="57"/>
      </w:r>
      <w:r>
        <w:rPr>
          <w:rFonts w:ascii="Candara" w:hAnsi="Candara"/>
          <w:sz w:val="22"/>
          <w:szCs w:val="22"/>
        </w:rPr>
        <w:t xml:space="preserve"> However, against the current of deep-rooted antimilitarism, such radical reform proved politically unpalatable. Decades more civil-military strife </w:t>
      </w:r>
      <w:r w:rsidR="000E29C8">
        <w:rPr>
          <w:rFonts w:ascii="Candara" w:hAnsi="Candara"/>
          <w:sz w:val="22"/>
          <w:szCs w:val="22"/>
        </w:rPr>
        <w:t>was</w:t>
      </w:r>
      <w:r>
        <w:rPr>
          <w:rFonts w:ascii="Candara" w:hAnsi="Candara"/>
          <w:sz w:val="22"/>
          <w:szCs w:val="22"/>
        </w:rPr>
        <w:t xml:space="preserve"> necessary before conscription</w:t>
      </w:r>
      <w:r w:rsidR="008135D2">
        <w:rPr>
          <w:rFonts w:ascii="Candara" w:hAnsi="Candara"/>
          <w:sz w:val="22"/>
          <w:szCs w:val="22"/>
        </w:rPr>
        <w:t xml:space="preserve"> was</w:t>
      </w:r>
      <w:r>
        <w:rPr>
          <w:rFonts w:ascii="Candara" w:hAnsi="Candara"/>
          <w:sz w:val="22"/>
          <w:szCs w:val="22"/>
        </w:rPr>
        <w:t xml:space="preserve"> belated </w:t>
      </w:r>
      <w:r w:rsidR="008135D2">
        <w:rPr>
          <w:rFonts w:ascii="Candara" w:hAnsi="Candara"/>
          <w:sz w:val="22"/>
          <w:szCs w:val="22"/>
        </w:rPr>
        <w:t xml:space="preserve">introduced </w:t>
      </w:r>
      <w:r>
        <w:rPr>
          <w:rFonts w:ascii="Candara" w:hAnsi="Candara"/>
          <w:sz w:val="22"/>
          <w:szCs w:val="22"/>
        </w:rPr>
        <w:t xml:space="preserve">in 1909 (one-son per family) and 1913 (universal). Instead, faith was poured like concrete into the redevelopment of the Kingdom’s principal fortifications: Antwerp, the site of the ‘National Redoubt’ in the north of the country, and the Meuse fortifications of Namur and Liège in the south. The former received its first major investment in 1859, with modifications made at various junctures, including major updates in the decade preceding the outbreak of the Great War.  The latter were redeveloped between 1888 and 1891 but fell </w:t>
      </w:r>
      <w:r w:rsidR="000E29C8">
        <w:rPr>
          <w:rFonts w:ascii="Candara" w:hAnsi="Candara"/>
          <w:sz w:val="22"/>
          <w:szCs w:val="22"/>
        </w:rPr>
        <w:t>afoul</w:t>
      </w:r>
      <w:r>
        <w:rPr>
          <w:rFonts w:ascii="Candara" w:hAnsi="Candara"/>
          <w:sz w:val="22"/>
          <w:szCs w:val="22"/>
        </w:rPr>
        <w:t xml:space="preserve"> </w:t>
      </w:r>
      <w:r w:rsidR="000E29C8">
        <w:rPr>
          <w:rFonts w:ascii="Candara" w:hAnsi="Candara"/>
          <w:sz w:val="22"/>
          <w:szCs w:val="22"/>
        </w:rPr>
        <w:t>of</w:t>
      </w:r>
      <w:r>
        <w:rPr>
          <w:rFonts w:ascii="Candara" w:hAnsi="Candara"/>
          <w:sz w:val="22"/>
          <w:szCs w:val="22"/>
        </w:rPr>
        <w:t xml:space="preserve"> the torpedo-shell crisis that essentially rendered them obsolete at the hands of German heavy artillery</w:t>
      </w:r>
      <w:r w:rsidR="000E29C8">
        <w:rPr>
          <w:rFonts w:ascii="Candara" w:hAnsi="Candara"/>
          <w:sz w:val="22"/>
          <w:szCs w:val="22"/>
        </w:rPr>
        <w:t>.</w:t>
      </w:r>
      <w:r>
        <w:rPr>
          <w:rStyle w:val="FootnoteReference"/>
          <w:rFonts w:ascii="Candara" w:hAnsi="Candara"/>
          <w:sz w:val="22"/>
          <w:szCs w:val="22"/>
        </w:rPr>
        <w:footnoteReference w:id="58"/>
      </w:r>
      <w:r>
        <w:rPr>
          <w:rFonts w:ascii="Candara" w:hAnsi="Candara"/>
          <w:sz w:val="22"/>
          <w:szCs w:val="22"/>
        </w:rPr>
        <w:t xml:space="preserve"> While garrisoned by a sizeable force of second-rate fortress troops, the true frailty of Belgium’s defensive system was the absence of a strong field army which was supposed to use these strongpoints as fulcrums for manoeuvre as opposed to safe havens.</w:t>
      </w:r>
    </w:p>
    <w:p w14:paraId="47DA2EFD" w14:textId="03DDF819" w:rsidR="000C1872" w:rsidRDefault="000C1872" w:rsidP="000C1872">
      <w:pPr>
        <w:spacing w:line="360" w:lineRule="auto"/>
        <w:jc w:val="both"/>
        <w:rPr>
          <w:rFonts w:ascii="Candara" w:hAnsi="Candara"/>
          <w:sz w:val="22"/>
          <w:szCs w:val="22"/>
        </w:rPr>
      </w:pPr>
      <w:r>
        <w:rPr>
          <w:rFonts w:ascii="Candara" w:hAnsi="Candara"/>
          <w:sz w:val="22"/>
          <w:szCs w:val="22"/>
        </w:rPr>
        <w:lastRenderedPageBreak/>
        <w:tab/>
        <w:t xml:space="preserve">The Franco-Prussian War also dramatically influenced the evolution of Belgian strategy. Whereas Antwerp had been conceived of as the point of retreat for the army, the government, and the monarchy in the event of a direct invasion (likely from the Netherlands or France), Germany’s annexation of Alsace and Lorraine, rendered a war of conquest highly doubtful. Instead, a German or French </w:t>
      </w:r>
      <w:r w:rsidR="000E29C8">
        <w:rPr>
          <w:rFonts w:ascii="Candara" w:hAnsi="Candara"/>
          <w:sz w:val="22"/>
          <w:szCs w:val="22"/>
        </w:rPr>
        <w:t>attack</w:t>
      </w:r>
      <w:r>
        <w:rPr>
          <w:rFonts w:ascii="Candara" w:hAnsi="Candara"/>
          <w:sz w:val="22"/>
          <w:szCs w:val="22"/>
        </w:rPr>
        <w:t xml:space="preserve"> was likely to contain itself to a portion of Belgian territory in a transitory invasion; ostensibly using it as a thoroughfare to circumvent the increasingly fortified Franco-German border.</w:t>
      </w:r>
      <w:r>
        <w:rPr>
          <w:rStyle w:val="FootnoteReference"/>
          <w:rFonts w:ascii="Candara" w:hAnsi="Candara"/>
          <w:sz w:val="22"/>
          <w:szCs w:val="22"/>
        </w:rPr>
        <w:footnoteReference w:id="59"/>
      </w:r>
      <w:r>
        <w:rPr>
          <w:rFonts w:ascii="Candara" w:hAnsi="Candara"/>
          <w:sz w:val="22"/>
          <w:szCs w:val="22"/>
        </w:rPr>
        <w:t xml:space="preserve"> German railway construction in the west, coupled with the French decision not to extend its fortress line to cover the Belgian border was, as David Stevenson has suggested, </w:t>
      </w:r>
      <w:r w:rsidRPr="00816915">
        <w:rPr>
          <w:rFonts w:ascii="Candara" w:hAnsi="Candara"/>
          <w:sz w:val="22"/>
          <w:szCs w:val="22"/>
        </w:rPr>
        <w:t>‘striking</w:t>
      </w:r>
      <w:r>
        <w:rPr>
          <w:rFonts w:ascii="Candara" w:hAnsi="Candara"/>
          <w:sz w:val="22"/>
          <w:szCs w:val="22"/>
        </w:rPr>
        <w:t xml:space="preserve"> </w:t>
      </w:r>
      <w:r w:rsidRPr="00816915">
        <w:rPr>
          <w:rFonts w:ascii="Candara" w:hAnsi="Candara"/>
          <w:sz w:val="22"/>
          <w:szCs w:val="22"/>
        </w:rPr>
        <w:t>as to raise the possibility that it was deliberate’</w:t>
      </w:r>
      <w:r>
        <w:rPr>
          <w:rFonts w:ascii="Candara" w:hAnsi="Candara"/>
          <w:sz w:val="22"/>
          <w:szCs w:val="22"/>
        </w:rPr>
        <w:t>.</w:t>
      </w:r>
      <w:r>
        <w:rPr>
          <w:rStyle w:val="FootnoteReference"/>
          <w:rFonts w:ascii="Candara" w:hAnsi="Candara"/>
          <w:sz w:val="22"/>
          <w:szCs w:val="22"/>
        </w:rPr>
        <w:footnoteReference w:id="60"/>
      </w:r>
      <w:r>
        <w:rPr>
          <w:rFonts w:ascii="Candara" w:hAnsi="Candara"/>
          <w:sz w:val="22"/>
          <w:szCs w:val="22"/>
        </w:rPr>
        <w:t xml:space="preserve"> Evidently, operating through Belgium offered numerous advantages to whichever belligerent reached an agreement with its government or deigned violate its neutrality first. Chief amongst these was the control of the River Meuse, which dominated many of Belgium’s vital road and rail networks connecting western Germany and northern France. As the great </w:t>
      </w:r>
      <w:r w:rsidR="007346E6">
        <w:rPr>
          <w:rFonts w:ascii="Candara" w:hAnsi="Candara"/>
          <w:sz w:val="22"/>
          <w:szCs w:val="22"/>
        </w:rPr>
        <w:t>nineteenth c</w:t>
      </w:r>
      <w:r>
        <w:rPr>
          <w:rFonts w:ascii="Candara" w:hAnsi="Candara"/>
          <w:sz w:val="22"/>
          <w:szCs w:val="22"/>
        </w:rPr>
        <w:t>entury military writer Antoine-Henri Jomini once said, ‘whoever is the master of the Meuse is the master of Belgium’.</w:t>
      </w:r>
      <w:r>
        <w:rPr>
          <w:rStyle w:val="FootnoteReference"/>
          <w:rFonts w:ascii="Candara" w:hAnsi="Candara"/>
          <w:sz w:val="22"/>
          <w:szCs w:val="22"/>
        </w:rPr>
        <w:footnoteReference w:id="61"/>
      </w:r>
      <w:r>
        <w:rPr>
          <w:rFonts w:ascii="Candara" w:hAnsi="Candara"/>
          <w:sz w:val="22"/>
          <w:szCs w:val="22"/>
        </w:rPr>
        <w:t xml:space="preserve"> This explains both German and </w:t>
      </w:r>
      <w:r>
        <w:rPr>
          <w:rFonts w:ascii="Candara" w:hAnsi="Candara"/>
          <w:i/>
          <w:iCs/>
          <w:sz w:val="22"/>
          <w:szCs w:val="22"/>
        </w:rPr>
        <w:t>Entente</w:t>
      </w:r>
      <w:r>
        <w:rPr>
          <w:rFonts w:ascii="Candara" w:hAnsi="Candara"/>
          <w:sz w:val="22"/>
          <w:szCs w:val="22"/>
        </w:rPr>
        <w:t xml:space="preserve"> attempts to divine Belgian intentions and, at points, to secretly court influence and cooperation.</w:t>
      </w:r>
    </w:p>
    <w:p w14:paraId="1849837E" w14:textId="642D527D" w:rsidR="000C1872" w:rsidRDefault="000C1872" w:rsidP="000C1872">
      <w:pPr>
        <w:spacing w:line="360" w:lineRule="auto"/>
        <w:jc w:val="both"/>
        <w:rPr>
          <w:rFonts w:ascii="Candara" w:hAnsi="Candara"/>
          <w:sz w:val="22"/>
          <w:szCs w:val="22"/>
        </w:rPr>
      </w:pPr>
      <w:r>
        <w:rPr>
          <w:rFonts w:ascii="Candara" w:hAnsi="Candara"/>
          <w:sz w:val="22"/>
          <w:szCs w:val="22"/>
        </w:rPr>
        <w:tab/>
        <w:t xml:space="preserve">Whereas German </w:t>
      </w:r>
      <w:r w:rsidR="000E29C8">
        <w:rPr>
          <w:rFonts w:ascii="Candara" w:hAnsi="Candara"/>
          <w:sz w:val="22"/>
          <w:szCs w:val="22"/>
        </w:rPr>
        <w:t xml:space="preserve">attempts at </w:t>
      </w:r>
      <w:r>
        <w:rPr>
          <w:rFonts w:ascii="Candara" w:hAnsi="Candara"/>
          <w:sz w:val="22"/>
          <w:szCs w:val="22"/>
        </w:rPr>
        <w:t xml:space="preserve">seduction came through royal channels, ‘pacific penetration’ via industry caused great alarm within the </w:t>
      </w:r>
      <w:r>
        <w:rPr>
          <w:rFonts w:ascii="Candara" w:hAnsi="Candara"/>
          <w:i/>
          <w:iCs/>
          <w:sz w:val="22"/>
          <w:szCs w:val="22"/>
        </w:rPr>
        <w:t>Entente</w:t>
      </w:r>
      <w:r>
        <w:rPr>
          <w:rFonts w:ascii="Candara" w:hAnsi="Candara"/>
          <w:sz w:val="22"/>
          <w:szCs w:val="22"/>
        </w:rPr>
        <w:t xml:space="preserve"> who perceived burgeoning economic ties as something akin to a pre-conquest.</w:t>
      </w:r>
      <w:r>
        <w:rPr>
          <w:rStyle w:val="FootnoteReference"/>
          <w:rFonts w:ascii="Candara" w:hAnsi="Candara"/>
          <w:sz w:val="22"/>
          <w:szCs w:val="22"/>
        </w:rPr>
        <w:footnoteReference w:id="62"/>
      </w:r>
      <w:r>
        <w:rPr>
          <w:rFonts w:ascii="Candara" w:hAnsi="Candara"/>
          <w:sz w:val="22"/>
          <w:szCs w:val="22"/>
        </w:rPr>
        <w:t xml:space="preserve"> Diplomatic overtures recognising Belgium’s 1908 annexation of the Congo Free State (formerly the personal possession of King Leopold II) also contrasted with the British government’s attitude. A joint </w:t>
      </w:r>
      <w:r>
        <w:rPr>
          <w:rFonts w:ascii="Candara" w:hAnsi="Candara"/>
          <w:i/>
          <w:iCs/>
          <w:sz w:val="22"/>
          <w:szCs w:val="22"/>
        </w:rPr>
        <w:t>démarche</w:t>
      </w:r>
      <w:r>
        <w:rPr>
          <w:rFonts w:ascii="Candara" w:hAnsi="Candara"/>
          <w:sz w:val="22"/>
          <w:szCs w:val="22"/>
        </w:rPr>
        <w:t xml:space="preserve"> with the United States over revelations of atrocities by Edmund Morel’s ‘red rubber’ campaign appeared to further alienate the Belgians and accentuated fears that German troops would simply be granted free passage in a future war.</w:t>
      </w:r>
      <w:r>
        <w:rPr>
          <w:rStyle w:val="FootnoteReference"/>
          <w:rFonts w:ascii="Candara" w:hAnsi="Candara"/>
          <w:sz w:val="22"/>
          <w:szCs w:val="22"/>
        </w:rPr>
        <w:footnoteReference w:id="63"/>
      </w:r>
      <w:r>
        <w:rPr>
          <w:rFonts w:ascii="Candara" w:hAnsi="Candara"/>
          <w:sz w:val="22"/>
          <w:szCs w:val="22"/>
        </w:rPr>
        <w:t xml:space="preserve"> Having been willing (if unbound) partners during the 1906 </w:t>
      </w:r>
      <w:proofErr w:type="spellStart"/>
      <w:r>
        <w:rPr>
          <w:rFonts w:ascii="Candara" w:hAnsi="Candara"/>
          <w:sz w:val="22"/>
          <w:szCs w:val="22"/>
        </w:rPr>
        <w:t>Barnardiston</w:t>
      </w:r>
      <w:proofErr w:type="spellEnd"/>
      <w:r>
        <w:rPr>
          <w:rFonts w:ascii="Candara" w:hAnsi="Candara"/>
          <w:sz w:val="22"/>
          <w:szCs w:val="22"/>
        </w:rPr>
        <w:t>/</w:t>
      </w:r>
      <w:proofErr w:type="spellStart"/>
      <w:r>
        <w:rPr>
          <w:rFonts w:ascii="Candara" w:hAnsi="Candara"/>
          <w:sz w:val="22"/>
          <w:szCs w:val="22"/>
        </w:rPr>
        <w:t>Ducarne</w:t>
      </w:r>
      <w:proofErr w:type="spellEnd"/>
      <w:r>
        <w:rPr>
          <w:rFonts w:ascii="Candara" w:hAnsi="Candara"/>
          <w:sz w:val="22"/>
          <w:szCs w:val="22"/>
        </w:rPr>
        <w:t xml:space="preserve"> military </w:t>
      </w:r>
      <w:r>
        <w:rPr>
          <w:rFonts w:ascii="Candara" w:hAnsi="Candara"/>
          <w:sz w:val="22"/>
          <w:szCs w:val="22"/>
        </w:rPr>
        <w:lastRenderedPageBreak/>
        <w:t>conversations, it now appeared as if much of the good will had given way to suspicion and trepidation by the Second Moroccan Crisis and the resumption of Anglo-Belgian staff talks.</w:t>
      </w:r>
    </w:p>
    <w:p w14:paraId="57463B9C" w14:textId="6196E548" w:rsidR="000C1872" w:rsidRDefault="000C1872" w:rsidP="000C1872">
      <w:pPr>
        <w:spacing w:line="360" w:lineRule="auto"/>
        <w:jc w:val="both"/>
        <w:rPr>
          <w:rFonts w:ascii="Candara" w:hAnsi="Candara"/>
          <w:sz w:val="22"/>
          <w:szCs w:val="22"/>
        </w:rPr>
      </w:pPr>
      <w:r>
        <w:rPr>
          <w:rFonts w:ascii="Candara" w:hAnsi="Candara"/>
          <w:sz w:val="22"/>
          <w:szCs w:val="22"/>
        </w:rPr>
        <w:tab/>
        <w:t xml:space="preserve">It was under these circumstances that the Lt.-Colonel Tom Bridges, the new Military Attaché to Brussels, approached General Harry Jungbluth, </w:t>
      </w:r>
      <w:proofErr w:type="spellStart"/>
      <w:r>
        <w:rPr>
          <w:rFonts w:ascii="Candara" w:hAnsi="Candara"/>
          <w:sz w:val="22"/>
          <w:szCs w:val="22"/>
        </w:rPr>
        <w:t>Ducarne’s</w:t>
      </w:r>
      <w:proofErr w:type="spellEnd"/>
      <w:r>
        <w:rPr>
          <w:rFonts w:ascii="Candara" w:hAnsi="Candara"/>
          <w:sz w:val="22"/>
          <w:szCs w:val="22"/>
        </w:rPr>
        <w:t xml:space="preserve"> successor as Chief of the Belgian General Staff, and the War Minister Lt.-General Victor Michel in April 1912. In a brief and unfortunate exchange, during which Bridges had been instructed to establish Belgium’s position, the British attaché accidentally intimated that an Expeditionary Force might be pre-emptively landed without formal approval from Brussels. The Belgian military representatives were outraged. Such suggestions only added to the deep-seated mistrust that had emerged since the 1906 conversations had been abandoned without warning in favour of </w:t>
      </w:r>
      <w:r>
        <w:rPr>
          <w:rFonts w:ascii="Candara" w:hAnsi="Candara"/>
          <w:i/>
          <w:iCs/>
          <w:sz w:val="22"/>
          <w:szCs w:val="22"/>
        </w:rPr>
        <w:t xml:space="preserve">Entente </w:t>
      </w:r>
      <w:r>
        <w:rPr>
          <w:rFonts w:ascii="Candara" w:hAnsi="Candara"/>
          <w:sz w:val="22"/>
          <w:szCs w:val="22"/>
        </w:rPr>
        <w:t xml:space="preserve">machinations. It proved that Britain could no longer be dealt with as </w:t>
      </w:r>
      <w:r w:rsidR="000E29C8">
        <w:rPr>
          <w:rFonts w:ascii="Candara" w:hAnsi="Candara"/>
          <w:sz w:val="22"/>
          <w:szCs w:val="22"/>
        </w:rPr>
        <w:t>the</w:t>
      </w:r>
      <w:r>
        <w:rPr>
          <w:rFonts w:ascii="Candara" w:hAnsi="Candara"/>
          <w:sz w:val="22"/>
          <w:szCs w:val="22"/>
        </w:rPr>
        <w:t xml:space="preserve"> benevolent neutral power it had </w:t>
      </w:r>
      <w:r w:rsidR="000E29C8">
        <w:rPr>
          <w:rFonts w:ascii="Candara" w:hAnsi="Candara"/>
          <w:sz w:val="22"/>
          <w:szCs w:val="22"/>
        </w:rPr>
        <w:t xml:space="preserve">once </w:t>
      </w:r>
      <w:r>
        <w:rPr>
          <w:rFonts w:ascii="Candara" w:hAnsi="Candara"/>
          <w:sz w:val="22"/>
          <w:szCs w:val="22"/>
        </w:rPr>
        <w:t xml:space="preserve">been and that, for the time being at least, the Belgian Army would need to prepare for a future war – from whichever direction it may come – on its own. It also underscored the extent to which the </w:t>
      </w:r>
      <w:r>
        <w:rPr>
          <w:rFonts w:ascii="Candara" w:hAnsi="Candara"/>
          <w:i/>
          <w:iCs/>
          <w:sz w:val="22"/>
          <w:szCs w:val="22"/>
        </w:rPr>
        <w:t>Entente</w:t>
      </w:r>
      <w:r>
        <w:rPr>
          <w:rFonts w:ascii="Candara" w:hAnsi="Candara"/>
          <w:sz w:val="22"/>
          <w:szCs w:val="22"/>
        </w:rPr>
        <w:t xml:space="preserve"> had misjudged Belgian sensibilities and intentions with regard to its neutrality, which was no longer a moveable piece in the grand chess game of Great Power politics. Aid could not simply be imposed, irrespective of the advantages inherent therein. Instead, Belgium emerged from 1912 as an imperial power in its own right, willing and capable of directing its own domestic and foreign policy.</w:t>
      </w:r>
      <w:r>
        <w:rPr>
          <w:rStyle w:val="FootnoteReference"/>
          <w:rFonts w:ascii="Candara" w:hAnsi="Candara"/>
          <w:sz w:val="22"/>
          <w:szCs w:val="22"/>
        </w:rPr>
        <w:footnoteReference w:id="64"/>
      </w:r>
    </w:p>
    <w:p w14:paraId="3C69AA69" w14:textId="0AD6D92E" w:rsidR="000C1872" w:rsidRPr="0095617B" w:rsidRDefault="000C1872" w:rsidP="000C1872">
      <w:pPr>
        <w:spacing w:line="360" w:lineRule="auto"/>
        <w:jc w:val="both"/>
        <w:rPr>
          <w:rFonts w:ascii="Candara" w:hAnsi="Candara"/>
          <w:sz w:val="22"/>
          <w:szCs w:val="22"/>
        </w:rPr>
      </w:pPr>
      <w:r>
        <w:rPr>
          <w:rFonts w:ascii="Candara" w:hAnsi="Candara"/>
          <w:sz w:val="22"/>
          <w:szCs w:val="22"/>
        </w:rPr>
        <w:tab/>
        <w:t xml:space="preserve">Unbeknownst to the </w:t>
      </w:r>
      <w:r>
        <w:rPr>
          <w:rFonts w:ascii="Candara" w:hAnsi="Candara"/>
          <w:i/>
          <w:iCs/>
          <w:sz w:val="22"/>
          <w:szCs w:val="22"/>
        </w:rPr>
        <w:t>Entente</w:t>
      </w:r>
      <w:r>
        <w:rPr>
          <w:rFonts w:ascii="Candara" w:hAnsi="Candara"/>
          <w:sz w:val="22"/>
          <w:szCs w:val="22"/>
        </w:rPr>
        <w:t xml:space="preserve">, Belgian vulnerabilities had already occasioned a reinterpretation of its neutrality. Amidst rising European tensions and domestic debate concerning Belgian military unpreparedness, the Political Director at the Belgian Foreign Ministry, Léon Arendt, drafted a report in November 1911 entitled: </w:t>
      </w:r>
      <w:r w:rsidRPr="0095617B">
        <w:rPr>
          <w:rFonts w:ascii="Candara" w:hAnsi="Candara"/>
          <w:i/>
          <w:iCs/>
          <w:sz w:val="22"/>
          <w:szCs w:val="22"/>
        </w:rPr>
        <w:t>In the Event of War, What Shall We Do?</w:t>
      </w:r>
      <w:r>
        <w:rPr>
          <w:rFonts w:ascii="Candara" w:hAnsi="Candara"/>
          <w:sz w:val="22"/>
          <w:szCs w:val="22"/>
        </w:rPr>
        <w:t>. In it, he articulated the notion that neutrality was but a tool to guarantee independence and was not an end in its own right. Consequently, Belgium ought not to jeopardise its continued existence unnecessarily – certainly not by inviting a war across the Kingdom by allowing one or more guarantor powers pre-emptive access; nor indeed, by sacrificing the army in the maelstrom of a Great Power conflict that might be contained within a small portion of its territory. Belgium was to take a pragmatic approach in a future war and act, as any sovereign power would, in its own interests. Ongoing military reforms, coupled with the emergence of a more progressive and offensive-minded school of thought within the restructured High Command from 1912 onwards, gave the army some confidence that it could make its presence felt.</w:t>
      </w:r>
      <w:r>
        <w:rPr>
          <w:rStyle w:val="FootnoteReference"/>
          <w:rFonts w:ascii="Candara" w:hAnsi="Candara"/>
          <w:sz w:val="22"/>
          <w:szCs w:val="22"/>
        </w:rPr>
        <w:footnoteReference w:id="65"/>
      </w:r>
      <w:r>
        <w:rPr>
          <w:rFonts w:ascii="Candara" w:hAnsi="Candara"/>
          <w:sz w:val="22"/>
          <w:szCs w:val="22"/>
        </w:rPr>
        <w:t xml:space="preserve"> The only question that now </w:t>
      </w:r>
      <w:r>
        <w:rPr>
          <w:rFonts w:ascii="Candara" w:hAnsi="Candara"/>
          <w:sz w:val="22"/>
          <w:szCs w:val="22"/>
        </w:rPr>
        <w:lastRenderedPageBreak/>
        <w:t xml:space="preserve">remained was which belligerent would attack first and how might Belgian independence be best served through cooperation (if </w:t>
      </w:r>
      <w:r w:rsidR="000E29C8">
        <w:rPr>
          <w:rFonts w:ascii="Candara" w:hAnsi="Candara"/>
          <w:sz w:val="22"/>
          <w:szCs w:val="22"/>
        </w:rPr>
        <w:t>requested</w:t>
      </w:r>
      <w:r>
        <w:rPr>
          <w:rFonts w:ascii="Candara" w:hAnsi="Candara"/>
          <w:sz w:val="22"/>
          <w:szCs w:val="22"/>
        </w:rPr>
        <w:t xml:space="preserve">) with any of its other guarantors. </w:t>
      </w:r>
    </w:p>
    <w:p w14:paraId="3CBB56B6" w14:textId="77777777" w:rsidR="000C1872" w:rsidRDefault="000C1872" w:rsidP="000C1872">
      <w:pPr>
        <w:spacing w:line="360" w:lineRule="auto"/>
        <w:ind w:firstLine="720"/>
        <w:jc w:val="both"/>
        <w:rPr>
          <w:rFonts w:ascii="Candara" w:hAnsi="Candara"/>
          <w:sz w:val="22"/>
          <w:szCs w:val="22"/>
        </w:rPr>
      </w:pPr>
    </w:p>
    <w:p w14:paraId="79FA526A" w14:textId="77777777" w:rsidR="000C1872" w:rsidRPr="00B41679" w:rsidRDefault="000C1872" w:rsidP="000C1872">
      <w:pPr>
        <w:spacing w:line="360" w:lineRule="auto"/>
        <w:jc w:val="both"/>
        <w:rPr>
          <w:rFonts w:ascii="Candara" w:hAnsi="Candara"/>
          <w:b/>
          <w:bCs/>
          <w:sz w:val="22"/>
          <w:szCs w:val="22"/>
          <w:u w:val="single"/>
        </w:rPr>
      </w:pPr>
      <w:r>
        <w:rPr>
          <w:rFonts w:ascii="Candara" w:hAnsi="Candara"/>
          <w:b/>
          <w:bCs/>
          <w:sz w:val="22"/>
          <w:szCs w:val="22"/>
          <w:u w:val="single"/>
        </w:rPr>
        <w:t>Epilogue – The War of Movement.</w:t>
      </w:r>
    </w:p>
    <w:p w14:paraId="79BAD759" w14:textId="2FFCF2E6" w:rsidR="004A2BE4" w:rsidRDefault="000C1872" w:rsidP="00C35B72">
      <w:pPr>
        <w:spacing w:line="360" w:lineRule="auto"/>
        <w:jc w:val="both"/>
        <w:rPr>
          <w:rFonts w:ascii="Candara" w:hAnsi="Candara"/>
          <w:sz w:val="22"/>
          <w:szCs w:val="22"/>
        </w:rPr>
      </w:pPr>
      <w:r>
        <w:rPr>
          <w:rFonts w:ascii="Candara" w:hAnsi="Candara"/>
          <w:sz w:val="22"/>
          <w:szCs w:val="22"/>
        </w:rPr>
        <w:tab/>
        <w:t xml:space="preserve">In the weeks surrounding the outbreak of war, some </w:t>
      </w:r>
      <w:r w:rsidR="007346E6">
        <w:rPr>
          <w:rFonts w:ascii="Candara" w:hAnsi="Candara"/>
          <w:sz w:val="22"/>
          <w:szCs w:val="22"/>
        </w:rPr>
        <w:t>four</w:t>
      </w:r>
      <w:r>
        <w:rPr>
          <w:rFonts w:ascii="Candara" w:hAnsi="Candara"/>
          <w:sz w:val="22"/>
          <w:szCs w:val="22"/>
        </w:rPr>
        <w:t xml:space="preserve"> million men were mobilised and concentrated for action on the Western Front. This equated to 1,108 French battalions to Germany’s 1,077. In addition there were </w:t>
      </w:r>
      <w:r w:rsidR="007346E6">
        <w:rPr>
          <w:rFonts w:ascii="Candara" w:hAnsi="Candara"/>
          <w:sz w:val="22"/>
          <w:szCs w:val="22"/>
        </w:rPr>
        <w:t>forty-eight</w:t>
      </w:r>
      <w:r>
        <w:rPr>
          <w:rFonts w:ascii="Candara" w:hAnsi="Candara"/>
          <w:sz w:val="22"/>
          <w:szCs w:val="22"/>
        </w:rPr>
        <w:t xml:space="preserve"> British battalions and a further 120 Belgian.</w:t>
      </w:r>
      <w:r>
        <w:rPr>
          <w:rStyle w:val="FootnoteReference"/>
          <w:rFonts w:ascii="Candara" w:hAnsi="Candara"/>
          <w:sz w:val="22"/>
          <w:szCs w:val="22"/>
        </w:rPr>
        <w:footnoteReference w:id="66"/>
      </w:r>
      <w:r>
        <w:rPr>
          <w:rFonts w:ascii="Candara" w:hAnsi="Candara"/>
          <w:sz w:val="22"/>
          <w:szCs w:val="22"/>
        </w:rPr>
        <w:t xml:space="preserve"> When put into context, this feat alone reflected the true value of pre-war planning. Only the British and the Belgians were forced to improvise somewhat to meet the political realities of the situation. Notwithstanding, even their deployments ended up falling roughly into line with expectations. What did not, was the intensity of the fighting and the immediate dislocation of strategic and operational ideals. </w:t>
      </w:r>
    </w:p>
    <w:p w14:paraId="0E181978" w14:textId="77777777" w:rsidR="00DE4C4E" w:rsidRDefault="000C1872" w:rsidP="004A2BE4">
      <w:pPr>
        <w:spacing w:line="360" w:lineRule="auto"/>
        <w:ind w:firstLine="720"/>
        <w:jc w:val="both"/>
        <w:rPr>
          <w:rFonts w:ascii="Candara" w:hAnsi="Candara"/>
          <w:sz w:val="22"/>
          <w:szCs w:val="22"/>
        </w:rPr>
      </w:pPr>
      <w:r>
        <w:rPr>
          <w:rFonts w:ascii="Candara" w:hAnsi="Candara"/>
          <w:sz w:val="22"/>
          <w:szCs w:val="22"/>
        </w:rPr>
        <w:t>Plan XVII’s offensive into Alsace and Lorraine proved to be a costly failure and distracted Joffre from identifying the true axis of the German advance. Moltke’s own envelopment by way of Belgium</w:t>
      </w:r>
      <w:r w:rsidR="004A2BE4">
        <w:rPr>
          <w:rFonts w:ascii="Candara" w:hAnsi="Candara"/>
          <w:sz w:val="22"/>
          <w:szCs w:val="22"/>
        </w:rPr>
        <w:t xml:space="preserve"> </w:t>
      </w:r>
      <w:r>
        <w:rPr>
          <w:rFonts w:ascii="Candara" w:hAnsi="Candara"/>
          <w:sz w:val="22"/>
          <w:szCs w:val="22"/>
        </w:rPr>
        <w:t xml:space="preserve">faltered at Liège and Namur. Belgian resistance was stronger than anticipated and bought valuable time for the BEF to deploy and for the French to recover from the Battle of the Frontiers in August to parry and reverse the German advance on the Marne in September. While its own fighting retreat to Antwerp and subsequently </w:t>
      </w:r>
      <w:r w:rsidR="004A2BE4">
        <w:rPr>
          <w:rFonts w:ascii="Candara" w:hAnsi="Candara"/>
          <w:sz w:val="22"/>
          <w:szCs w:val="22"/>
        </w:rPr>
        <w:t xml:space="preserve">to </w:t>
      </w:r>
      <w:r>
        <w:rPr>
          <w:rFonts w:ascii="Candara" w:hAnsi="Candara"/>
          <w:sz w:val="22"/>
          <w:szCs w:val="22"/>
        </w:rPr>
        <w:t xml:space="preserve">the </w:t>
      </w:r>
      <w:proofErr w:type="spellStart"/>
      <w:r>
        <w:rPr>
          <w:rFonts w:ascii="Candara" w:hAnsi="Candara"/>
          <w:sz w:val="22"/>
          <w:szCs w:val="22"/>
        </w:rPr>
        <w:t>Yser</w:t>
      </w:r>
      <w:proofErr w:type="spellEnd"/>
      <w:r w:rsidR="004A2BE4">
        <w:rPr>
          <w:rFonts w:ascii="Candara" w:hAnsi="Candara"/>
          <w:sz w:val="22"/>
          <w:szCs w:val="22"/>
        </w:rPr>
        <w:t xml:space="preserve"> River</w:t>
      </w:r>
      <w:r>
        <w:rPr>
          <w:rFonts w:ascii="Candara" w:hAnsi="Candara"/>
          <w:sz w:val="22"/>
          <w:szCs w:val="22"/>
        </w:rPr>
        <w:t xml:space="preserve"> cost the Belgian Army significantly in manpower, eventual coordination with British and French forces further south helped to stabilise an otherwise desperate situation. For a time, the British had been forced into a headlong retreat following its reverse at Mons on 23 August, while pleas for French assistance fell on deaf ears as Joffre sought to orchestrate the campaign single-handedly. </w:t>
      </w:r>
    </w:p>
    <w:p w14:paraId="22668EF9" w14:textId="6A5EE73C" w:rsidR="000C1872" w:rsidRPr="00C35B72" w:rsidRDefault="000C1872" w:rsidP="004A2BE4">
      <w:pPr>
        <w:spacing w:line="360" w:lineRule="auto"/>
        <w:ind w:firstLine="720"/>
        <w:jc w:val="both"/>
        <w:rPr>
          <w:rFonts w:ascii="Candara" w:hAnsi="Candara"/>
          <w:sz w:val="22"/>
          <w:szCs w:val="22"/>
        </w:rPr>
      </w:pPr>
      <w:r>
        <w:rPr>
          <w:rFonts w:ascii="Candara" w:hAnsi="Candara"/>
          <w:sz w:val="22"/>
          <w:szCs w:val="22"/>
        </w:rPr>
        <w:t xml:space="preserve">Whereas Joffre rose to the challenge of adaptation, </w:t>
      </w:r>
      <w:r w:rsidR="000E29C8">
        <w:rPr>
          <w:rFonts w:ascii="Candara" w:hAnsi="Candara"/>
          <w:sz w:val="22"/>
          <w:szCs w:val="22"/>
        </w:rPr>
        <w:t xml:space="preserve">the </w:t>
      </w:r>
      <w:r>
        <w:rPr>
          <w:rFonts w:ascii="Candara" w:hAnsi="Candara"/>
          <w:sz w:val="22"/>
          <w:szCs w:val="22"/>
        </w:rPr>
        <w:t>German</w:t>
      </w:r>
      <w:r w:rsidR="00241BED">
        <w:rPr>
          <w:rFonts w:ascii="Candara" w:hAnsi="Candara"/>
          <w:sz w:val="22"/>
          <w:szCs w:val="22"/>
        </w:rPr>
        <w:t xml:space="preserve"> Army’s</w:t>
      </w:r>
      <w:r>
        <w:rPr>
          <w:rFonts w:ascii="Candara" w:hAnsi="Candara"/>
          <w:sz w:val="22"/>
          <w:szCs w:val="22"/>
        </w:rPr>
        <w:t xml:space="preserve"> </w:t>
      </w:r>
      <w:r w:rsidR="00241BED">
        <w:rPr>
          <w:rFonts w:ascii="Candara" w:hAnsi="Candara"/>
          <w:sz w:val="22"/>
          <w:szCs w:val="22"/>
        </w:rPr>
        <w:t>faithfulness</w:t>
      </w:r>
      <w:r>
        <w:rPr>
          <w:rFonts w:ascii="Candara" w:hAnsi="Candara"/>
          <w:sz w:val="22"/>
          <w:szCs w:val="22"/>
        </w:rPr>
        <w:t xml:space="preserve"> to the imperatives of the Schlieffen/Moltke Plan broke its Commande</w:t>
      </w:r>
      <w:r w:rsidR="00241BED">
        <w:rPr>
          <w:rFonts w:ascii="Candara" w:hAnsi="Candara"/>
          <w:sz w:val="22"/>
          <w:szCs w:val="22"/>
        </w:rPr>
        <w:t xml:space="preserve">r </w:t>
      </w:r>
      <w:r>
        <w:rPr>
          <w:rFonts w:ascii="Candara" w:hAnsi="Candara"/>
          <w:sz w:val="22"/>
          <w:szCs w:val="22"/>
        </w:rPr>
        <w:t>in</w:t>
      </w:r>
      <w:r w:rsidR="00241BED">
        <w:rPr>
          <w:rFonts w:ascii="Candara" w:hAnsi="Candara"/>
          <w:sz w:val="22"/>
          <w:szCs w:val="22"/>
        </w:rPr>
        <w:t xml:space="preserve"> </w:t>
      </w:r>
      <w:r>
        <w:rPr>
          <w:rFonts w:ascii="Candara" w:hAnsi="Candara"/>
          <w:sz w:val="22"/>
          <w:szCs w:val="22"/>
        </w:rPr>
        <w:t>Chief</w:t>
      </w:r>
      <w:r w:rsidR="00DE4C4E">
        <w:rPr>
          <w:rFonts w:ascii="Candara" w:hAnsi="Candara"/>
          <w:sz w:val="22"/>
          <w:szCs w:val="22"/>
        </w:rPr>
        <w:t>. Not long after the reverse on the Marne, the German</w:t>
      </w:r>
      <w:r w:rsidR="00241BED">
        <w:rPr>
          <w:rFonts w:ascii="Candara" w:hAnsi="Candara"/>
          <w:sz w:val="22"/>
          <w:szCs w:val="22"/>
        </w:rPr>
        <w:t xml:space="preserve"> forces </w:t>
      </w:r>
      <w:r>
        <w:rPr>
          <w:rFonts w:ascii="Candara" w:hAnsi="Candara"/>
          <w:sz w:val="22"/>
          <w:szCs w:val="22"/>
        </w:rPr>
        <w:t xml:space="preserve">came to </w:t>
      </w:r>
      <w:r w:rsidR="000E29C8">
        <w:rPr>
          <w:rFonts w:ascii="Candara" w:hAnsi="Candara"/>
          <w:sz w:val="22"/>
          <w:szCs w:val="22"/>
        </w:rPr>
        <w:t xml:space="preserve">a </w:t>
      </w:r>
      <w:r>
        <w:rPr>
          <w:rFonts w:ascii="Candara" w:hAnsi="Candara"/>
          <w:sz w:val="22"/>
          <w:szCs w:val="22"/>
        </w:rPr>
        <w:t xml:space="preserve">shuddering halt once the ‘Race to the Sea’ petered out in late October 1914. Ultimately, the Belgian Army’s inundations between Nieuwpoort and </w:t>
      </w:r>
      <w:proofErr w:type="spellStart"/>
      <w:r>
        <w:rPr>
          <w:rFonts w:ascii="Candara" w:hAnsi="Candara"/>
          <w:sz w:val="22"/>
          <w:szCs w:val="22"/>
        </w:rPr>
        <w:t>Dixmuide</w:t>
      </w:r>
      <w:proofErr w:type="spellEnd"/>
      <w:r>
        <w:rPr>
          <w:rFonts w:ascii="Candara" w:hAnsi="Candara"/>
          <w:sz w:val="22"/>
          <w:szCs w:val="22"/>
        </w:rPr>
        <w:t xml:space="preserve"> proved to be a significant turning point in the First World War. The 20-mile long lagoon produced one of the two impassable elements (along with the Alps) that bookended the Western Front.</w:t>
      </w:r>
      <w:r>
        <w:rPr>
          <w:rStyle w:val="FootnoteReference"/>
          <w:rFonts w:ascii="Candara" w:hAnsi="Candara"/>
          <w:sz w:val="22"/>
          <w:szCs w:val="22"/>
        </w:rPr>
        <w:footnoteReference w:id="67"/>
      </w:r>
      <w:r>
        <w:rPr>
          <w:rFonts w:ascii="Candara" w:hAnsi="Candara"/>
          <w:sz w:val="22"/>
          <w:szCs w:val="22"/>
        </w:rPr>
        <w:t xml:space="preserve"> Against this reality, as well as those of industrialised mass warfare, the search for </w:t>
      </w:r>
      <w:r w:rsidR="00FD7603">
        <w:rPr>
          <w:rFonts w:ascii="Candara" w:hAnsi="Candara"/>
          <w:sz w:val="22"/>
          <w:szCs w:val="22"/>
        </w:rPr>
        <w:t>the decisive battle</w:t>
      </w:r>
      <w:r>
        <w:rPr>
          <w:rFonts w:ascii="Candara" w:hAnsi="Candara"/>
          <w:sz w:val="22"/>
          <w:szCs w:val="22"/>
        </w:rPr>
        <w:t xml:space="preserve"> </w:t>
      </w:r>
      <w:r w:rsidR="00FD7603">
        <w:rPr>
          <w:rFonts w:ascii="Candara" w:hAnsi="Candara"/>
          <w:sz w:val="22"/>
          <w:szCs w:val="22"/>
        </w:rPr>
        <w:t>proved</w:t>
      </w:r>
      <w:r>
        <w:rPr>
          <w:rFonts w:ascii="Candara" w:hAnsi="Candara"/>
          <w:sz w:val="22"/>
          <w:szCs w:val="22"/>
        </w:rPr>
        <w:t xml:space="preserve"> impossible. The </w:t>
      </w:r>
      <w:r w:rsidR="00FD7603">
        <w:rPr>
          <w:rFonts w:ascii="Candara" w:hAnsi="Candara"/>
          <w:sz w:val="22"/>
          <w:szCs w:val="22"/>
        </w:rPr>
        <w:t xml:space="preserve">war </w:t>
      </w:r>
      <w:r>
        <w:rPr>
          <w:rFonts w:ascii="Candara" w:hAnsi="Candara"/>
          <w:sz w:val="22"/>
          <w:szCs w:val="22"/>
        </w:rPr>
        <w:t xml:space="preserve">plans </w:t>
      </w:r>
      <w:r w:rsidR="00FD7603">
        <w:rPr>
          <w:rFonts w:ascii="Candara" w:hAnsi="Candara"/>
          <w:sz w:val="22"/>
          <w:szCs w:val="22"/>
        </w:rPr>
        <w:t xml:space="preserve">of each belligerent </w:t>
      </w:r>
      <w:r>
        <w:rPr>
          <w:rFonts w:ascii="Candara" w:hAnsi="Candara"/>
          <w:sz w:val="22"/>
          <w:szCs w:val="22"/>
        </w:rPr>
        <w:t xml:space="preserve">had </w:t>
      </w:r>
      <w:r w:rsidR="00FD7603">
        <w:rPr>
          <w:rFonts w:ascii="Candara" w:hAnsi="Candara"/>
          <w:sz w:val="22"/>
          <w:szCs w:val="22"/>
        </w:rPr>
        <w:t xml:space="preserve">served to put </w:t>
      </w:r>
      <w:r>
        <w:rPr>
          <w:rFonts w:ascii="Candara" w:hAnsi="Candara"/>
          <w:sz w:val="22"/>
          <w:szCs w:val="22"/>
        </w:rPr>
        <w:t xml:space="preserve">the armies </w:t>
      </w:r>
      <w:r>
        <w:rPr>
          <w:rFonts w:ascii="Candara" w:hAnsi="Candara"/>
          <w:sz w:val="22"/>
          <w:szCs w:val="22"/>
        </w:rPr>
        <w:lastRenderedPageBreak/>
        <w:t xml:space="preserve">into the field more or less as anticipated. </w:t>
      </w:r>
      <w:r w:rsidR="00FD7603">
        <w:rPr>
          <w:rFonts w:ascii="Candara" w:hAnsi="Candara"/>
          <w:sz w:val="22"/>
          <w:szCs w:val="22"/>
        </w:rPr>
        <w:t>In other ways, they had, to a greater or lesser extent, constrained action and reduced the options available to commanders in the opening stages of the war</w:t>
      </w:r>
      <w:r>
        <w:rPr>
          <w:rFonts w:ascii="Candara" w:hAnsi="Candara"/>
          <w:sz w:val="22"/>
          <w:szCs w:val="22"/>
        </w:rPr>
        <w:t xml:space="preserve">. </w:t>
      </w:r>
      <w:r w:rsidR="00FD7603">
        <w:rPr>
          <w:rFonts w:ascii="Candara" w:hAnsi="Candara"/>
          <w:sz w:val="22"/>
          <w:szCs w:val="22"/>
        </w:rPr>
        <w:t>Ultimately</w:t>
      </w:r>
      <w:r>
        <w:rPr>
          <w:rFonts w:ascii="Candara" w:hAnsi="Candara"/>
          <w:sz w:val="22"/>
          <w:szCs w:val="22"/>
        </w:rPr>
        <w:t>, what they could not militate against was the inevitable friction of campaigning</w:t>
      </w:r>
      <w:r w:rsidR="00FD7603">
        <w:rPr>
          <w:rFonts w:ascii="Candara" w:hAnsi="Candara"/>
          <w:sz w:val="22"/>
          <w:szCs w:val="22"/>
        </w:rPr>
        <w:t xml:space="preserve">, which all but rendered </w:t>
      </w:r>
      <w:r w:rsidR="0064708D">
        <w:rPr>
          <w:rFonts w:ascii="Candara" w:hAnsi="Candara"/>
          <w:sz w:val="22"/>
          <w:szCs w:val="22"/>
        </w:rPr>
        <w:t>plans</w:t>
      </w:r>
      <w:r w:rsidR="00FD7603">
        <w:rPr>
          <w:rFonts w:ascii="Candara" w:hAnsi="Candara"/>
          <w:sz w:val="22"/>
          <w:szCs w:val="22"/>
        </w:rPr>
        <w:t xml:space="preserve"> unworkable</w:t>
      </w:r>
      <w:r w:rsidR="00241BED">
        <w:rPr>
          <w:rFonts w:ascii="Candara" w:hAnsi="Candara"/>
          <w:sz w:val="22"/>
          <w:szCs w:val="22"/>
        </w:rPr>
        <w:t xml:space="preserve"> after the first shots had been fired</w:t>
      </w:r>
      <w:r w:rsidR="00FD7603">
        <w:rPr>
          <w:rFonts w:ascii="Candara" w:hAnsi="Candara"/>
          <w:sz w:val="22"/>
          <w:szCs w:val="22"/>
        </w:rPr>
        <w:t xml:space="preserve">. Improvisation, not adherence, was the name of the game. </w:t>
      </w:r>
    </w:p>
    <w:sectPr w:rsidR="000C1872" w:rsidRPr="00C35B7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EE20CB" w14:textId="77777777" w:rsidR="00BE4EC4" w:rsidRDefault="00BE4EC4" w:rsidP="000C1872">
      <w:pPr>
        <w:spacing w:after="0" w:line="240" w:lineRule="auto"/>
      </w:pPr>
      <w:r>
        <w:separator/>
      </w:r>
    </w:p>
  </w:endnote>
  <w:endnote w:type="continuationSeparator" w:id="0">
    <w:p w14:paraId="7BF6D623" w14:textId="77777777" w:rsidR="00BE4EC4" w:rsidRDefault="00BE4EC4" w:rsidP="000C18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B40C55" w14:textId="77777777" w:rsidR="00BE4EC4" w:rsidRDefault="00BE4EC4" w:rsidP="000C1872">
      <w:pPr>
        <w:spacing w:after="0" w:line="240" w:lineRule="auto"/>
      </w:pPr>
      <w:r>
        <w:separator/>
      </w:r>
    </w:p>
  </w:footnote>
  <w:footnote w:type="continuationSeparator" w:id="0">
    <w:p w14:paraId="040C06E8" w14:textId="77777777" w:rsidR="00BE4EC4" w:rsidRDefault="00BE4EC4" w:rsidP="000C1872">
      <w:pPr>
        <w:spacing w:after="0" w:line="240" w:lineRule="auto"/>
      </w:pPr>
      <w:r>
        <w:continuationSeparator/>
      </w:r>
    </w:p>
  </w:footnote>
  <w:footnote w:id="1">
    <w:p w14:paraId="7F358012" w14:textId="77777777" w:rsidR="000C1872" w:rsidRPr="00612453" w:rsidRDefault="000C1872" w:rsidP="000C1872">
      <w:pPr>
        <w:pStyle w:val="FootnoteText"/>
        <w:jc w:val="both"/>
        <w:rPr>
          <w:rFonts w:ascii="Candara" w:hAnsi="Candara"/>
        </w:rPr>
      </w:pPr>
      <w:r w:rsidRPr="00AF188C">
        <w:rPr>
          <w:rStyle w:val="FootnoteReference"/>
          <w:rFonts w:ascii="Candara" w:hAnsi="Candara"/>
        </w:rPr>
        <w:footnoteRef/>
      </w:r>
      <w:r w:rsidRPr="00AF188C">
        <w:rPr>
          <w:rFonts w:ascii="Candara" w:hAnsi="Candara"/>
        </w:rPr>
        <w:t xml:space="preserve"> </w:t>
      </w:r>
      <w:r>
        <w:rPr>
          <w:rFonts w:ascii="Candara" w:hAnsi="Candara"/>
        </w:rPr>
        <w:t xml:space="preserve"> Sir Eyre Crowe for instance, see Samuel R. Williamson Jr, </w:t>
      </w:r>
      <w:r>
        <w:rPr>
          <w:rFonts w:ascii="Candara" w:hAnsi="Candara"/>
          <w:i/>
          <w:iCs/>
        </w:rPr>
        <w:t>The Politics of Grand Strategy: Britain and France Prepare for War, 1904-1914</w:t>
      </w:r>
      <w:r>
        <w:rPr>
          <w:rFonts w:ascii="Candara" w:hAnsi="Candara"/>
        </w:rPr>
        <w:t xml:space="preserve"> (Harvard University Press, Cambridge, MA. 1969), p. 351; or Lord Esher, see </w:t>
      </w:r>
      <w:r w:rsidRPr="00F30BD2">
        <w:rPr>
          <w:rFonts w:ascii="Candara" w:hAnsi="Candara"/>
        </w:rPr>
        <w:t xml:space="preserve">K.M. Wilson, </w:t>
      </w:r>
      <w:r w:rsidRPr="00F30BD2">
        <w:rPr>
          <w:rFonts w:ascii="Candara" w:hAnsi="Candara"/>
          <w:i/>
          <w:iCs/>
        </w:rPr>
        <w:t xml:space="preserve">The Policy of the Entente: Essays on the Determinants of British Foreign Policy, 1904-1914 </w:t>
      </w:r>
      <w:r w:rsidRPr="00F30BD2">
        <w:rPr>
          <w:rFonts w:ascii="Candara" w:hAnsi="Candara"/>
        </w:rPr>
        <w:t>(Cambridge University Press, Cambridge, 1985), p</w:t>
      </w:r>
      <w:r>
        <w:rPr>
          <w:rFonts w:ascii="Candara" w:hAnsi="Candara"/>
        </w:rPr>
        <w:t>. 123.</w:t>
      </w:r>
    </w:p>
  </w:footnote>
  <w:footnote w:id="2">
    <w:p w14:paraId="427F3A29" w14:textId="77777777" w:rsidR="000C1872" w:rsidRPr="00B91F9B" w:rsidRDefault="000C1872" w:rsidP="000C1872">
      <w:pPr>
        <w:pStyle w:val="FootnoteText"/>
        <w:jc w:val="both"/>
      </w:pPr>
      <w:r w:rsidRPr="00AF188C">
        <w:rPr>
          <w:rStyle w:val="FootnoteReference"/>
          <w:rFonts w:ascii="Candara" w:hAnsi="Candara"/>
        </w:rPr>
        <w:footnoteRef/>
      </w:r>
      <w:r w:rsidRPr="00AF188C">
        <w:rPr>
          <w:rFonts w:ascii="Candara" w:hAnsi="Candara"/>
        </w:rPr>
        <w:t xml:space="preserve"> A.J.P. Taylor, </w:t>
      </w:r>
      <w:r w:rsidRPr="00AF188C">
        <w:rPr>
          <w:rFonts w:ascii="Candara" w:hAnsi="Candara"/>
          <w:i/>
          <w:iCs/>
        </w:rPr>
        <w:t>War by Time-Table: How the First World War Began</w:t>
      </w:r>
      <w:r w:rsidRPr="00AF188C">
        <w:rPr>
          <w:rFonts w:ascii="Candara" w:hAnsi="Candara"/>
        </w:rPr>
        <w:t xml:space="preserve"> (Macdonald, London, 1969); Christopher Clark, </w:t>
      </w:r>
      <w:r w:rsidRPr="00AF188C">
        <w:rPr>
          <w:rFonts w:ascii="Candara" w:hAnsi="Candara"/>
          <w:i/>
          <w:iCs/>
        </w:rPr>
        <w:t>The Sleepwalkers: How Europe Went to War in 1914</w:t>
      </w:r>
      <w:r w:rsidRPr="00AF188C">
        <w:rPr>
          <w:rFonts w:ascii="Candara" w:hAnsi="Candara"/>
        </w:rPr>
        <w:t xml:space="preserve"> (Penguin Books, London, 2013).</w:t>
      </w:r>
    </w:p>
  </w:footnote>
  <w:footnote w:id="3">
    <w:p w14:paraId="25E707E5" w14:textId="0AD652EE" w:rsidR="000C1872" w:rsidRPr="002C560D" w:rsidRDefault="000C1872" w:rsidP="000C1872">
      <w:pPr>
        <w:pStyle w:val="FootnoteText"/>
        <w:jc w:val="both"/>
        <w:rPr>
          <w:rFonts w:ascii="Candara" w:hAnsi="Candara"/>
        </w:rPr>
      </w:pPr>
      <w:r w:rsidRPr="00653203">
        <w:rPr>
          <w:rStyle w:val="FootnoteReference"/>
          <w:rFonts w:ascii="Candara" w:hAnsi="Candara"/>
        </w:rPr>
        <w:footnoteRef/>
      </w:r>
      <w:r>
        <w:rPr>
          <w:rFonts w:ascii="Candara" w:hAnsi="Candara"/>
        </w:rPr>
        <w:t xml:space="preserve"> Holger H. Herwig, ‘Germany and the “Short-War” Illusion: Toward a New Interpretation?’, </w:t>
      </w:r>
      <w:r>
        <w:rPr>
          <w:rFonts w:ascii="Candara" w:hAnsi="Candara"/>
          <w:i/>
          <w:iCs/>
        </w:rPr>
        <w:t>The Journal of Military History</w:t>
      </w:r>
      <w:r>
        <w:rPr>
          <w:rFonts w:ascii="Candara" w:hAnsi="Candara"/>
        </w:rPr>
        <w:t>, vol. 66, no. 3, (2002), 681-94.</w:t>
      </w:r>
    </w:p>
  </w:footnote>
  <w:footnote w:id="4">
    <w:p w14:paraId="2B269D3B" w14:textId="1D2422DE" w:rsidR="000C1872" w:rsidRPr="00AB389D" w:rsidRDefault="000C1872" w:rsidP="000C1872">
      <w:pPr>
        <w:pStyle w:val="FootnoteText"/>
        <w:jc w:val="both"/>
        <w:rPr>
          <w:rFonts w:ascii="Candara" w:hAnsi="Candara"/>
        </w:rPr>
      </w:pPr>
      <w:r w:rsidRPr="00AB389D">
        <w:rPr>
          <w:rStyle w:val="FootnoteReference"/>
          <w:rFonts w:ascii="Candara" w:hAnsi="Candara"/>
        </w:rPr>
        <w:footnoteRef/>
      </w:r>
      <w:r w:rsidRPr="00AB389D">
        <w:rPr>
          <w:rFonts w:ascii="Candara" w:hAnsi="Candara"/>
        </w:rPr>
        <w:t xml:space="preserve"> </w:t>
      </w:r>
      <w:r>
        <w:rPr>
          <w:rFonts w:ascii="Candara" w:hAnsi="Candara"/>
        </w:rPr>
        <w:t xml:space="preserve">Terence Zuber, ‘The Schlieffen Plan Reconsidered’, </w:t>
      </w:r>
      <w:r>
        <w:rPr>
          <w:rFonts w:ascii="Candara" w:hAnsi="Candara"/>
          <w:i/>
          <w:iCs/>
        </w:rPr>
        <w:t>War in History</w:t>
      </w:r>
      <w:r>
        <w:rPr>
          <w:rFonts w:ascii="Candara" w:hAnsi="Candara"/>
        </w:rPr>
        <w:t>, vol. 6, no. 3, (1999), 262-305.</w:t>
      </w:r>
    </w:p>
  </w:footnote>
  <w:footnote w:id="5">
    <w:p w14:paraId="036AAD64" w14:textId="77777777" w:rsidR="000C1872" w:rsidRPr="00AB389D" w:rsidRDefault="000C1872" w:rsidP="000C1872">
      <w:pPr>
        <w:pStyle w:val="FootnoteText"/>
        <w:jc w:val="both"/>
        <w:rPr>
          <w:rFonts w:ascii="Candara" w:hAnsi="Candara"/>
        </w:rPr>
      </w:pPr>
      <w:r w:rsidRPr="00AB389D">
        <w:rPr>
          <w:rStyle w:val="FootnoteReference"/>
          <w:rFonts w:ascii="Candara" w:hAnsi="Candara"/>
        </w:rPr>
        <w:footnoteRef/>
      </w:r>
      <w:r w:rsidRPr="00AB389D">
        <w:rPr>
          <w:rFonts w:ascii="Candara" w:hAnsi="Candara"/>
        </w:rPr>
        <w:t xml:space="preserve"> </w:t>
      </w:r>
      <w:r>
        <w:rPr>
          <w:rFonts w:ascii="Candara" w:hAnsi="Candara"/>
        </w:rPr>
        <w:t xml:space="preserve">Gerhard Ritter, </w:t>
      </w:r>
      <w:r>
        <w:rPr>
          <w:rFonts w:ascii="Candara" w:hAnsi="Candara"/>
          <w:i/>
          <w:iCs/>
        </w:rPr>
        <w:t xml:space="preserve">Der </w:t>
      </w:r>
      <w:proofErr w:type="spellStart"/>
      <w:r>
        <w:rPr>
          <w:rFonts w:ascii="Candara" w:hAnsi="Candara"/>
          <w:i/>
          <w:iCs/>
        </w:rPr>
        <w:t>Schlieffenplan</w:t>
      </w:r>
      <w:proofErr w:type="spellEnd"/>
      <w:r>
        <w:rPr>
          <w:rFonts w:ascii="Candara" w:hAnsi="Candara"/>
          <w:i/>
          <w:iCs/>
        </w:rPr>
        <w:t xml:space="preserve">: Kritik </w:t>
      </w:r>
      <w:proofErr w:type="spellStart"/>
      <w:r>
        <w:rPr>
          <w:rFonts w:ascii="Candara" w:hAnsi="Candara"/>
          <w:i/>
          <w:iCs/>
        </w:rPr>
        <w:t>eines</w:t>
      </w:r>
      <w:proofErr w:type="spellEnd"/>
      <w:r>
        <w:rPr>
          <w:rFonts w:ascii="Candara" w:hAnsi="Candara"/>
          <w:i/>
          <w:iCs/>
        </w:rPr>
        <w:t xml:space="preserve"> Mythos</w:t>
      </w:r>
      <w:r>
        <w:rPr>
          <w:rFonts w:ascii="Candara" w:hAnsi="Candara"/>
        </w:rPr>
        <w:t xml:space="preserve"> (Verlag R. </w:t>
      </w:r>
      <w:proofErr w:type="spellStart"/>
      <w:r>
        <w:rPr>
          <w:rFonts w:ascii="Candara" w:hAnsi="Candara"/>
        </w:rPr>
        <w:t>Oldenbourg</w:t>
      </w:r>
      <w:proofErr w:type="spellEnd"/>
      <w:r>
        <w:rPr>
          <w:rFonts w:ascii="Candara" w:hAnsi="Candara"/>
        </w:rPr>
        <w:t>, Munich, 1956).</w:t>
      </w:r>
    </w:p>
  </w:footnote>
  <w:footnote w:id="6">
    <w:p w14:paraId="2E8A7759" w14:textId="46778F0E" w:rsidR="000C1872" w:rsidRPr="000070C7" w:rsidRDefault="000C1872" w:rsidP="000C1872">
      <w:pPr>
        <w:pStyle w:val="FootnoteText"/>
        <w:jc w:val="both"/>
        <w:rPr>
          <w:rFonts w:ascii="Candara" w:hAnsi="Candara"/>
        </w:rPr>
      </w:pPr>
      <w:r w:rsidRPr="000070C7">
        <w:rPr>
          <w:rStyle w:val="FootnoteReference"/>
          <w:rFonts w:ascii="Candara" w:hAnsi="Candara"/>
        </w:rPr>
        <w:footnoteRef/>
      </w:r>
      <w:r w:rsidRPr="000070C7">
        <w:rPr>
          <w:rFonts w:ascii="Candara" w:hAnsi="Candara"/>
        </w:rPr>
        <w:t xml:space="preserve"> Zuber, ‘The Schlieffen Plan’, 285. A strong critic of the counter-offensive thesis is Gerhard P. </w:t>
      </w:r>
      <w:proofErr w:type="spellStart"/>
      <w:r w:rsidRPr="000070C7">
        <w:rPr>
          <w:rFonts w:ascii="Candara" w:hAnsi="Candara"/>
        </w:rPr>
        <w:t>Groß</w:t>
      </w:r>
      <w:proofErr w:type="spellEnd"/>
      <w:r w:rsidRPr="000070C7">
        <w:rPr>
          <w:rFonts w:ascii="Candara" w:hAnsi="Candara"/>
        </w:rPr>
        <w:t xml:space="preserve">, ‘There Was a Schlieffen Plan: New Sources on the History of German Military Planning’, </w:t>
      </w:r>
      <w:r w:rsidRPr="000070C7">
        <w:rPr>
          <w:rFonts w:ascii="Candara" w:hAnsi="Candara"/>
          <w:i/>
          <w:iCs/>
        </w:rPr>
        <w:t>War in History</w:t>
      </w:r>
      <w:r w:rsidRPr="000070C7">
        <w:rPr>
          <w:rFonts w:ascii="Candara" w:hAnsi="Candara"/>
        </w:rPr>
        <w:t xml:space="preserve">, vol. 15, no. 4, (2008), 389-431. </w:t>
      </w:r>
    </w:p>
  </w:footnote>
  <w:footnote w:id="7">
    <w:p w14:paraId="111156A5" w14:textId="65048192" w:rsidR="000C1872" w:rsidRPr="00651589" w:rsidRDefault="000C1872" w:rsidP="000C1872">
      <w:pPr>
        <w:pStyle w:val="FootnoteText"/>
        <w:jc w:val="both"/>
        <w:rPr>
          <w:rFonts w:ascii="Candara" w:hAnsi="Candara"/>
        </w:rPr>
      </w:pPr>
      <w:r w:rsidRPr="00BB315A">
        <w:rPr>
          <w:rStyle w:val="FootnoteReference"/>
          <w:rFonts w:ascii="Candara" w:hAnsi="Candara"/>
        </w:rPr>
        <w:footnoteRef/>
      </w:r>
      <w:r w:rsidRPr="00BB315A">
        <w:rPr>
          <w:rFonts w:ascii="Candara" w:hAnsi="Candara"/>
        </w:rPr>
        <w:t xml:space="preserve"> </w:t>
      </w:r>
      <w:r>
        <w:rPr>
          <w:rFonts w:ascii="Candara" w:hAnsi="Candara"/>
        </w:rPr>
        <w:t xml:space="preserve">Zuber maintained this line of argument in subsequent works. See, Terence Zuber, </w:t>
      </w:r>
      <w:r>
        <w:rPr>
          <w:rFonts w:ascii="Candara" w:hAnsi="Candara"/>
          <w:i/>
          <w:iCs/>
        </w:rPr>
        <w:t>Inventing the Schlieffen Plan: German War Planning, 1871-1914</w:t>
      </w:r>
      <w:r>
        <w:rPr>
          <w:rFonts w:ascii="Candara" w:hAnsi="Candara"/>
        </w:rPr>
        <w:t xml:space="preserve"> (Oxford University Press, Oxford, 2002); </w:t>
      </w:r>
      <w:r>
        <w:rPr>
          <w:rFonts w:ascii="Candara" w:hAnsi="Candara"/>
          <w:i/>
          <w:iCs/>
        </w:rPr>
        <w:t>German War Planning, 1891-1914: Sources and Interpretations</w:t>
      </w:r>
      <w:r>
        <w:rPr>
          <w:rFonts w:ascii="Candara" w:hAnsi="Candara"/>
        </w:rPr>
        <w:t xml:space="preserve"> (Boydell Press, Woodbridge, 2004); </w:t>
      </w:r>
      <w:r>
        <w:rPr>
          <w:rFonts w:ascii="Candara" w:hAnsi="Candara"/>
          <w:i/>
          <w:iCs/>
        </w:rPr>
        <w:t>The Real German War Plan, 1904-14</w:t>
      </w:r>
      <w:r>
        <w:rPr>
          <w:rFonts w:ascii="Candara" w:hAnsi="Candara"/>
        </w:rPr>
        <w:t xml:space="preserve"> (History Press, Stroud, 2011); ‘Terence Holmes Reinvents the Schlieffen Plan’, </w:t>
      </w:r>
      <w:r>
        <w:rPr>
          <w:rFonts w:ascii="Candara" w:hAnsi="Candara"/>
          <w:i/>
          <w:iCs/>
        </w:rPr>
        <w:t>War in History</w:t>
      </w:r>
      <w:r>
        <w:rPr>
          <w:rFonts w:ascii="Candara" w:hAnsi="Candara"/>
        </w:rPr>
        <w:t xml:space="preserve">, vol. 8, no. 4, (2001), 468-476; ‘The ‘Schlieffen Plan’ and German War Guilt’, </w:t>
      </w:r>
      <w:r>
        <w:rPr>
          <w:rFonts w:ascii="Candara" w:hAnsi="Candara"/>
          <w:i/>
          <w:iCs/>
        </w:rPr>
        <w:t>War in History</w:t>
      </w:r>
      <w:r>
        <w:rPr>
          <w:rFonts w:ascii="Candara" w:hAnsi="Candara"/>
        </w:rPr>
        <w:t>, vol. 14, no. 1, (2007), 96-108.</w:t>
      </w:r>
    </w:p>
  </w:footnote>
  <w:footnote w:id="8">
    <w:p w14:paraId="6135AC17" w14:textId="2E4453FF" w:rsidR="000C1872" w:rsidRPr="003837A3" w:rsidRDefault="000C1872" w:rsidP="000C1872">
      <w:pPr>
        <w:pStyle w:val="FootnoteText"/>
        <w:jc w:val="both"/>
        <w:rPr>
          <w:rFonts w:ascii="Candara" w:hAnsi="Candara"/>
        </w:rPr>
      </w:pPr>
      <w:r w:rsidRPr="003837A3">
        <w:rPr>
          <w:rStyle w:val="FootnoteReference"/>
          <w:rFonts w:ascii="Candara" w:hAnsi="Candara"/>
        </w:rPr>
        <w:footnoteRef/>
      </w:r>
      <w:r w:rsidR="007346E6">
        <w:rPr>
          <w:rFonts w:ascii="Candara" w:hAnsi="Candara"/>
        </w:rPr>
        <w:t xml:space="preserve"> </w:t>
      </w:r>
      <w:r>
        <w:rPr>
          <w:rFonts w:ascii="Candara" w:hAnsi="Candara"/>
        </w:rPr>
        <w:t xml:space="preserve">Terence Holmes, ‘The Reluctant March on Paris: A Reply to Terence Zuber’s ‘The Schlieffen Plan Reconsidered”, </w:t>
      </w:r>
      <w:r>
        <w:rPr>
          <w:rFonts w:ascii="Candara" w:hAnsi="Candara"/>
          <w:i/>
          <w:iCs/>
        </w:rPr>
        <w:t>War in History</w:t>
      </w:r>
      <w:r>
        <w:rPr>
          <w:rFonts w:ascii="Candara" w:hAnsi="Candara"/>
        </w:rPr>
        <w:t xml:space="preserve">, vol. 8, no. 2, (2001), 209 &amp; 210; and ‘The Real Thing: A Reply to Terence Zuber’s ‘Terence Holmes Reinvents the Schlieffen Plan’, </w:t>
      </w:r>
      <w:r>
        <w:rPr>
          <w:rFonts w:ascii="Candara" w:hAnsi="Candara"/>
          <w:i/>
          <w:iCs/>
        </w:rPr>
        <w:t>War in History</w:t>
      </w:r>
      <w:r>
        <w:rPr>
          <w:rFonts w:ascii="Candara" w:hAnsi="Candara"/>
        </w:rPr>
        <w:t>, vol. 9, no. 1, (2002), 115 &amp; 120.</w:t>
      </w:r>
    </w:p>
  </w:footnote>
  <w:footnote w:id="9">
    <w:p w14:paraId="6317D861" w14:textId="43DDFA52" w:rsidR="000C1872" w:rsidRPr="00CA6760" w:rsidRDefault="000C1872" w:rsidP="000C1872">
      <w:pPr>
        <w:pStyle w:val="FootnoteText"/>
        <w:jc w:val="both"/>
        <w:rPr>
          <w:rFonts w:ascii="Candara" w:hAnsi="Candara"/>
        </w:rPr>
      </w:pPr>
      <w:r w:rsidRPr="00CA6760">
        <w:rPr>
          <w:rStyle w:val="FootnoteReference"/>
          <w:rFonts w:ascii="Candara" w:hAnsi="Candara"/>
        </w:rPr>
        <w:footnoteRef/>
      </w:r>
      <w:r w:rsidRPr="00CA6760">
        <w:rPr>
          <w:rFonts w:ascii="Candara" w:hAnsi="Candara"/>
        </w:rPr>
        <w:t xml:space="preserve"> </w:t>
      </w:r>
      <w:r>
        <w:rPr>
          <w:rFonts w:ascii="Candara" w:hAnsi="Candara"/>
        </w:rPr>
        <w:t xml:space="preserve">Robert T. Foley, ‘The Origins of the Schlieffen Plan’, </w:t>
      </w:r>
      <w:r>
        <w:rPr>
          <w:rFonts w:ascii="Candara" w:hAnsi="Candara"/>
          <w:i/>
          <w:iCs/>
        </w:rPr>
        <w:t>War in History</w:t>
      </w:r>
      <w:r>
        <w:rPr>
          <w:rFonts w:ascii="Candara" w:hAnsi="Candara"/>
        </w:rPr>
        <w:t xml:space="preserve">, vol. 10, no. 2, (2003), 222-32; </w:t>
      </w:r>
      <w:r>
        <w:rPr>
          <w:rFonts w:ascii="Candara" w:hAnsi="Candara"/>
          <w:i/>
          <w:iCs/>
        </w:rPr>
        <w:t>Alfred von Schlieffen’s Military Writings</w:t>
      </w:r>
      <w:r>
        <w:rPr>
          <w:rFonts w:ascii="Candara" w:hAnsi="Candara"/>
        </w:rPr>
        <w:t>, Translated and Edited by Robert T. Foley (Frank Cass, London and Portland, OR, 2005).</w:t>
      </w:r>
    </w:p>
  </w:footnote>
  <w:footnote w:id="10">
    <w:p w14:paraId="24D4DBE7" w14:textId="047A08F0" w:rsidR="000C1872" w:rsidRPr="00796D7A" w:rsidRDefault="000C1872" w:rsidP="000C1872">
      <w:pPr>
        <w:pStyle w:val="FootnoteText"/>
        <w:jc w:val="both"/>
        <w:rPr>
          <w:rFonts w:ascii="Candara" w:hAnsi="Candara"/>
        </w:rPr>
      </w:pPr>
      <w:r w:rsidRPr="00796D7A">
        <w:rPr>
          <w:rStyle w:val="FootnoteReference"/>
          <w:rFonts w:ascii="Candara" w:hAnsi="Candara"/>
        </w:rPr>
        <w:footnoteRef/>
      </w:r>
      <w:r w:rsidRPr="00796D7A">
        <w:rPr>
          <w:rFonts w:ascii="Candara" w:hAnsi="Candara"/>
        </w:rPr>
        <w:t xml:space="preserve"> </w:t>
      </w:r>
      <w:r>
        <w:rPr>
          <w:rFonts w:ascii="Candara" w:hAnsi="Candara"/>
        </w:rPr>
        <w:t xml:space="preserve">Mark Hewitson, ‘Images of the Enemy: German Depictions of the French Military, 1890-1914’, </w:t>
      </w:r>
      <w:r>
        <w:rPr>
          <w:rFonts w:ascii="Candara" w:hAnsi="Candara"/>
          <w:i/>
          <w:iCs/>
        </w:rPr>
        <w:t>War in History</w:t>
      </w:r>
      <w:r>
        <w:rPr>
          <w:rFonts w:ascii="Candara" w:hAnsi="Candara"/>
        </w:rPr>
        <w:t xml:space="preserve">, vol. 11, no. 1, (2004), 4-33; Lukas Grawe, ‘Report from Paris. The German Military Attaché in France, Detlof von Winterfeldt, and his views of the French Army, 1909-1914’, </w:t>
      </w:r>
      <w:r>
        <w:rPr>
          <w:rFonts w:ascii="Candara" w:hAnsi="Candara"/>
          <w:i/>
          <w:iCs/>
        </w:rPr>
        <w:t>War in History</w:t>
      </w:r>
      <w:r>
        <w:rPr>
          <w:rFonts w:ascii="Candara" w:hAnsi="Candara"/>
        </w:rPr>
        <w:t>, vol. 26, no. 4, (2019), 484-5, 493 &amp; 494.</w:t>
      </w:r>
    </w:p>
  </w:footnote>
  <w:footnote w:id="11">
    <w:p w14:paraId="1504FE85" w14:textId="71A326B1" w:rsidR="000C1872" w:rsidRPr="00FC7D3D" w:rsidRDefault="000C1872" w:rsidP="000C1872">
      <w:pPr>
        <w:pStyle w:val="FootnoteText"/>
        <w:jc w:val="both"/>
        <w:rPr>
          <w:rFonts w:ascii="Candara" w:hAnsi="Candara"/>
        </w:rPr>
      </w:pPr>
      <w:r w:rsidRPr="003C1375">
        <w:rPr>
          <w:rStyle w:val="FootnoteReference"/>
          <w:rFonts w:ascii="Candara" w:hAnsi="Candara"/>
        </w:rPr>
        <w:footnoteRef/>
      </w:r>
      <w:r w:rsidRPr="003C1375">
        <w:rPr>
          <w:rFonts w:ascii="Candara" w:hAnsi="Candara"/>
        </w:rPr>
        <w:t xml:space="preserve"> </w:t>
      </w:r>
      <w:r>
        <w:rPr>
          <w:rFonts w:ascii="Candara" w:hAnsi="Candara"/>
        </w:rPr>
        <w:t xml:space="preserve">Annika </w:t>
      </w:r>
      <w:proofErr w:type="spellStart"/>
      <w:r>
        <w:rPr>
          <w:rFonts w:ascii="Candara" w:hAnsi="Candara"/>
        </w:rPr>
        <w:t>Mombauer</w:t>
      </w:r>
      <w:proofErr w:type="spellEnd"/>
      <w:r>
        <w:rPr>
          <w:rFonts w:ascii="Candara" w:hAnsi="Candara"/>
        </w:rPr>
        <w:t xml:space="preserve">, ‘A Reluctant Military Leader? Helmuth von Moltke and the July Crisis of 1914’, </w:t>
      </w:r>
      <w:r>
        <w:rPr>
          <w:rFonts w:ascii="Candara" w:hAnsi="Candara"/>
          <w:i/>
          <w:iCs/>
        </w:rPr>
        <w:t xml:space="preserve">War in </w:t>
      </w:r>
      <w:r w:rsidRPr="00FC7D3D">
        <w:rPr>
          <w:rFonts w:ascii="Candara" w:hAnsi="Candara"/>
          <w:i/>
          <w:iCs/>
        </w:rPr>
        <w:t>History</w:t>
      </w:r>
      <w:r>
        <w:rPr>
          <w:rFonts w:ascii="Candara" w:hAnsi="Candara"/>
        </w:rPr>
        <w:t xml:space="preserve">, vol.6, no. 4, (1999), 417-446; and </w:t>
      </w:r>
      <w:r>
        <w:rPr>
          <w:rFonts w:ascii="Candara" w:hAnsi="Candara"/>
          <w:i/>
          <w:iCs/>
        </w:rPr>
        <w:t>Helmuth von Moltke and the Origins of the First World</w:t>
      </w:r>
      <w:r w:rsidRPr="007E52A5">
        <w:rPr>
          <w:rFonts w:ascii="Candara" w:hAnsi="Candara"/>
          <w:i/>
          <w:iCs/>
        </w:rPr>
        <w:t xml:space="preserve"> War</w:t>
      </w:r>
      <w:r>
        <w:rPr>
          <w:rFonts w:ascii="Candara" w:hAnsi="Candara"/>
        </w:rPr>
        <w:t xml:space="preserve"> (Cambridge University Press, Cambridge, 2001), pp. 54-72; </w:t>
      </w:r>
      <w:r w:rsidRPr="007E52A5">
        <w:rPr>
          <w:rFonts w:ascii="Candara" w:hAnsi="Candara"/>
        </w:rPr>
        <w:t>Tim</w:t>
      </w:r>
      <w:r w:rsidRPr="003C1375">
        <w:rPr>
          <w:rFonts w:ascii="Candara" w:hAnsi="Candara"/>
        </w:rPr>
        <w:t xml:space="preserve"> Hadley</w:t>
      </w:r>
      <w:r>
        <w:rPr>
          <w:rFonts w:ascii="Candara" w:hAnsi="Candara"/>
        </w:rPr>
        <w:t xml:space="preserve">, ‘Military Diplomacy in the Dual Alliance: German Military Attaché Reporting from Vienna, 1906-1914’, </w:t>
      </w:r>
      <w:r>
        <w:rPr>
          <w:rFonts w:ascii="Candara" w:hAnsi="Candara"/>
          <w:i/>
          <w:iCs/>
        </w:rPr>
        <w:t>War in History</w:t>
      </w:r>
      <w:r>
        <w:rPr>
          <w:rFonts w:ascii="Candara" w:hAnsi="Candara"/>
        </w:rPr>
        <w:t>, vol. 17, no. 3, (2010), 312.</w:t>
      </w:r>
    </w:p>
  </w:footnote>
  <w:footnote w:id="12">
    <w:p w14:paraId="7BA4E05F" w14:textId="6F0BABE7" w:rsidR="000C1872" w:rsidRPr="00055F5F" w:rsidRDefault="000C1872" w:rsidP="000C1872">
      <w:pPr>
        <w:pStyle w:val="FootnoteText"/>
        <w:rPr>
          <w:rFonts w:ascii="Candara" w:hAnsi="Candara"/>
        </w:rPr>
      </w:pPr>
      <w:r w:rsidRPr="00055F5F">
        <w:rPr>
          <w:rStyle w:val="FootnoteReference"/>
          <w:rFonts w:ascii="Candara" w:hAnsi="Candara"/>
        </w:rPr>
        <w:footnoteRef/>
      </w:r>
      <w:r w:rsidRPr="00055F5F">
        <w:rPr>
          <w:rFonts w:ascii="Candara" w:hAnsi="Candara"/>
        </w:rPr>
        <w:t xml:space="preserve"> </w:t>
      </w:r>
      <w:r>
        <w:rPr>
          <w:rFonts w:ascii="Candara" w:hAnsi="Candara"/>
        </w:rPr>
        <w:t xml:space="preserve">Robert T. Foley, ‘The Real Schlieffen Plan’, </w:t>
      </w:r>
      <w:r>
        <w:rPr>
          <w:rFonts w:ascii="Candara" w:hAnsi="Candara"/>
          <w:i/>
          <w:iCs/>
        </w:rPr>
        <w:t>War in History</w:t>
      </w:r>
      <w:r>
        <w:rPr>
          <w:rFonts w:ascii="Candara" w:hAnsi="Candara"/>
        </w:rPr>
        <w:t>, vol. 13, no. 1, (2006), 111-13.</w:t>
      </w:r>
    </w:p>
  </w:footnote>
  <w:footnote w:id="13">
    <w:p w14:paraId="7F409538" w14:textId="5B72D1C2" w:rsidR="000C1872" w:rsidRPr="00FE3170" w:rsidRDefault="000C1872" w:rsidP="000C1872">
      <w:pPr>
        <w:pStyle w:val="FootnoteText"/>
        <w:jc w:val="both"/>
        <w:rPr>
          <w:rFonts w:ascii="Candara" w:hAnsi="Candara"/>
        </w:rPr>
      </w:pPr>
      <w:r w:rsidRPr="00FE3170">
        <w:rPr>
          <w:rStyle w:val="FootnoteReference"/>
          <w:rFonts w:ascii="Candara" w:hAnsi="Candara"/>
        </w:rPr>
        <w:footnoteRef/>
      </w:r>
      <w:r w:rsidRPr="00FE3170">
        <w:rPr>
          <w:rFonts w:ascii="Candara" w:hAnsi="Candara"/>
        </w:rPr>
        <w:t xml:space="preserve"> </w:t>
      </w:r>
      <w:r>
        <w:rPr>
          <w:rFonts w:ascii="Candara" w:hAnsi="Candara"/>
        </w:rPr>
        <w:t xml:space="preserve">Annika </w:t>
      </w:r>
      <w:proofErr w:type="spellStart"/>
      <w:r>
        <w:rPr>
          <w:rFonts w:ascii="Candara" w:hAnsi="Candara"/>
        </w:rPr>
        <w:t>Mombauer</w:t>
      </w:r>
      <w:proofErr w:type="spellEnd"/>
      <w:r>
        <w:rPr>
          <w:rFonts w:ascii="Candara" w:hAnsi="Candara"/>
        </w:rPr>
        <w:t xml:space="preserve">, ‘Of War Plans and War Guilt: The Debate Surrounding the Schlieffen Plan’, </w:t>
      </w:r>
      <w:r>
        <w:rPr>
          <w:rFonts w:ascii="Candara" w:hAnsi="Candara"/>
          <w:i/>
          <w:iCs/>
        </w:rPr>
        <w:t>Journal of Strategic Studies</w:t>
      </w:r>
      <w:r>
        <w:rPr>
          <w:rFonts w:ascii="Candara" w:hAnsi="Candara"/>
        </w:rPr>
        <w:t>, vol. 28, no. 5, (2005), 867-72.</w:t>
      </w:r>
    </w:p>
  </w:footnote>
  <w:footnote w:id="14">
    <w:p w14:paraId="6BA97728" w14:textId="77777777" w:rsidR="000C1872" w:rsidRPr="002D5FEE" w:rsidRDefault="000C1872" w:rsidP="000C1872">
      <w:pPr>
        <w:pStyle w:val="FootnoteText"/>
        <w:jc w:val="both"/>
        <w:rPr>
          <w:rFonts w:ascii="Candara" w:hAnsi="Candara"/>
        </w:rPr>
      </w:pPr>
      <w:r w:rsidRPr="00877664">
        <w:rPr>
          <w:rStyle w:val="FootnoteReference"/>
          <w:rFonts w:ascii="Candara" w:hAnsi="Candara"/>
        </w:rPr>
        <w:footnoteRef/>
      </w:r>
      <w:r w:rsidRPr="00877664">
        <w:rPr>
          <w:rFonts w:ascii="Candara" w:hAnsi="Candara"/>
        </w:rPr>
        <w:t xml:space="preserve"> </w:t>
      </w:r>
      <w:r>
        <w:rPr>
          <w:rFonts w:ascii="Candara" w:hAnsi="Candara"/>
        </w:rPr>
        <w:t xml:space="preserve">Hew Strachan, </w:t>
      </w:r>
      <w:r>
        <w:rPr>
          <w:rFonts w:ascii="Candara" w:hAnsi="Candara"/>
          <w:i/>
          <w:iCs/>
        </w:rPr>
        <w:t>The First World War. Volume I: To Arms</w:t>
      </w:r>
      <w:r>
        <w:rPr>
          <w:rFonts w:ascii="Candara" w:hAnsi="Candara"/>
        </w:rPr>
        <w:t xml:space="preserve"> (Oxford University Press, Oxford, 2001), pp. 164-6.</w:t>
      </w:r>
    </w:p>
  </w:footnote>
  <w:footnote w:id="15">
    <w:p w14:paraId="5F4D366F" w14:textId="77777777" w:rsidR="000C1872" w:rsidRPr="002D5FEE" w:rsidRDefault="000C1872" w:rsidP="000C1872">
      <w:pPr>
        <w:pStyle w:val="FootnoteText"/>
        <w:rPr>
          <w:rFonts w:ascii="Candara" w:hAnsi="Candara"/>
        </w:rPr>
      </w:pPr>
      <w:r w:rsidRPr="002D5FEE">
        <w:rPr>
          <w:rStyle w:val="FootnoteReference"/>
          <w:rFonts w:ascii="Candara" w:hAnsi="Candara"/>
        </w:rPr>
        <w:footnoteRef/>
      </w:r>
      <w:r w:rsidRPr="002D5FEE">
        <w:rPr>
          <w:rFonts w:ascii="Candara" w:hAnsi="Candara"/>
        </w:rPr>
        <w:t xml:space="preserve"> </w:t>
      </w:r>
      <w:r>
        <w:rPr>
          <w:rFonts w:ascii="Candara" w:hAnsi="Candara"/>
          <w:i/>
          <w:iCs/>
        </w:rPr>
        <w:t>Schlieffen’s Military Writings</w:t>
      </w:r>
      <w:r>
        <w:rPr>
          <w:rFonts w:ascii="Candara" w:hAnsi="Candara"/>
        </w:rPr>
        <w:t>, pp. xvii-xviii.</w:t>
      </w:r>
    </w:p>
  </w:footnote>
  <w:footnote w:id="16">
    <w:p w14:paraId="302E38BC" w14:textId="61ED36F4" w:rsidR="000C1872" w:rsidRPr="00EE4412" w:rsidRDefault="000C1872" w:rsidP="000C1872">
      <w:pPr>
        <w:pStyle w:val="FootnoteText"/>
        <w:jc w:val="both"/>
        <w:rPr>
          <w:rFonts w:ascii="Candara" w:hAnsi="Candara"/>
        </w:rPr>
      </w:pPr>
      <w:r w:rsidRPr="00EE4412">
        <w:rPr>
          <w:rStyle w:val="FootnoteReference"/>
          <w:rFonts w:ascii="Candara" w:hAnsi="Candara"/>
        </w:rPr>
        <w:footnoteRef/>
      </w:r>
      <w:r w:rsidRPr="00EE4412">
        <w:rPr>
          <w:rFonts w:ascii="Candara" w:hAnsi="Candara"/>
        </w:rPr>
        <w:t xml:space="preserve"> </w:t>
      </w:r>
      <w:proofErr w:type="spellStart"/>
      <w:r w:rsidRPr="00EE4412">
        <w:rPr>
          <w:rFonts w:ascii="Candara" w:hAnsi="Candara"/>
        </w:rPr>
        <w:t>THolmes</w:t>
      </w:r>
      <w:proofErr w:type="spellEnd"/>
      <w:r w:rsidRPr="00EE4412">
        <w:rPr>
          <w:rFonts w:ascii="Candara" w:hAnsi="Candara"/>
        </w:rPr>
        <w:t>, ‘Reluctant March on Paris’, 214-</w:t>
      </w:r>
      <w:r w:rsidR="00886552">
        <w:rPr>
          <w:rFonts w:ascii="Candara" w:hAnsi="Candara"/>
        </w:rPr>
        <w:t>1</w:t>
      </w:r>
      <w:r w:rsidRPr="00EE4412">
        <w:rPr>
          <w:rFonts w:ascii="Candara" w:hAnsi="Candara"/>
        </w:rPr>
        <w:t xml:space="preserve">5; ‘Asking Schlieffen: A Further Reply to Terence Zuber’, </w:t>
      </w:r>
      <w:r w:rsidRPr="00EE4412">
        <w:rPr>
          <w:rFonts w:ascii="Candara" w:hAnsi="Candara"/>
          <w:i/>
          <w:iCs/>
        </w:rPr>
        <w:t>War in History</w:t>
      </w:r>
      <w:r w:rsidRPr="00EE4412">
        <w:rPr>
          <w:rFonts w:ascii="Candara" w:hAnsi="Candara"/>
        </w:rPr>
        <w:t>, vol. 10, no. 4, (2003), 479.</w:t>
      </w:r>
    </w:p>
  </w:footnote>
  <w:footnote w:id="17">
    <w:p w14:paraId="78435A29" w14:textId="702E8567" w:rsidR="000C1872" w:rsidRPr="00EE4412" w:rsidRDefault="000C1872" w:rsidP="00207B67">
      <w:pPr>
        <w:pStyle w:val="FootnoteText"/>
        <w:jc w:val="both"/>
        <w:rPr>
          <w:rFonts w:ascii="Candara" w:hAnsi="Candara"/>
        </w:rPr>
      </w:pPr>
      <w:r w:rsidRPr="00EE4412">
        <w:rPr>
          <w:rStyle w:val="FootnoteReference"/>
          <w:rFonts w:ascii="Candara" w:hAnsi="Candara"/>
        </w:rPr>
        <w:footnoteRef/>
      </w:r>
      <w:r w:rsidRPr="00EE4412">
        <w:rPr>
          <w:rFonts w:ascii="Candara" w:hAnsi="Candara"/>
        </w:rPr>
        <w:t xml:space="preserve"> Terence Holmes, ‘All Present and Correct: The Verifiable Army of the Schlieffen Plan’, </w:t>
      </w:r>
      <w:r w:rsidRPr="00EE4412">
        <w:rPr>
          <w:rFonts w:ascii="Candara" w:hAnsi="Candara"/>
          <w:i/>
          <w:iCs/>
        </w:rPr>
        <w:t>War in History</w:t>
      </w:r>
      <w:r w:rsidRPr="00EE4412">
        <w:rPr>
          <w:rFonts w:ascii="Candara" w:hAnsi="Candara"/>
        </w:rPr>
        <w:t xml:space="preserve">, vol. 16, no. 1, (2009), 1o3-12. A point refuted by Zuber, see ‘The Schlieffen Plan’s ‘Ghost Divisions’ March Again: A Reply to Terence Holmes’, </w:t>
      </w:r>
      <w:r w:rsidRPr="00EE4412">
        <w:rPr>
          <w:rFonts w:ascii="Candara" w:hAnsi="Candara"/>
          <w:i/>
          <w:iCs/>
        </w:rPr>
        <w:t>War in History</w:t>
      </w:r>
      <w:r w:rsidRPr="00EE4412">
        <w:rPr>
          <w:rFonts w:ascii="Candara" w:hAnsi="Candara"/>
        </w:rPr>
        <w:t>, vol. 17, no. 4, (2010), 512-25.</w:t>
      </w:r>
    </w:p>
  </w:footnote>
  <w:footnote w:id="18">
    <w:p w14:paraId="4AE6DD3E" w14:textId="0C4CD724" w:rsidR="000C1872" w:rsidRPr="00207B67" w:rsidRDefault="000C1872" w:rsidP="00207B67">
      <w:pPr>
        <w:pStyle w:val="FootnoteText"/>
        <w:jc w:val="both"/>
        <w:rPr>
          <w:rFonts w:ascii="Candara" w:hAnsi="Candara"/>
        </w:rPr>
      </w:pPr>
      <w:r w:rsidRPr="00DC4693">
        <w:rPr>
          <w:rStyle w:val="FootnoteReference"/>
          <w:rFonts w:ascii="Candara" w:hAnsi="Candara"/>
        </w:rPr>
        <w:footnoteRef/>
      </w:r>
      <w:r w:rsidRPr="00DC4693">
        <w:rPr>
          <w:rFonts w:ascii="Candara" w:hAnsi="Candara"/>
        </w:rPr>
        <w:t xml:space="preserve"> </w:t>
      </w:r>
      <w:r w:rsidR="00207B67">
        <w:rPr>
          <w:rFonts w:ascii="Candara" w:hAnsi="Candara"/>
        </w:rPr>
        <w:t xml:space="preserve">Shelford Bidwell and Dominick Graham, </w:t>
      </w:r>
      <w:r w:rsidR="00207B67">
        <w:rPr>
          <w:rFonts w:ascii="Candara" w:hAnsi="Candara"/>
          <w:i/>
          <w:iCs/>
        </w:rPr>
        <w:t>Fire-Power: The British Army Weapons &amp; Theories of War 1904-1945</w:t>
      </w:r>
      <w:r w:rsidR="00207B67">
        <w:rPr>
          <w:rFonts w:ascii="Candara" w:hAnsi="Candara"/>
        </w:rPr>
        <w:t xml:space="preserve"> (P</w:t>
      </w:r>
      <w:r w:rsidR="001151EE">
        <w:rPr>
          <w:rFonts w:ascii="Candara" w:hAnsi="Candara"/>
        </w:rPr>
        <w:t>en &amp; Sword, Barnsley, 1988), pp. 15-18.</w:t>
      </w:r>
    </w:p>
  </w:footnote>
  <w:footnote w:id="19">
    <w:p w14:paraId="15C2613A" w14:textId="77777777" w:rsidR="000C1872" w:rsidRPr="00EE4412" w:rsidRDefault="000C1872" w:rsidP="00207B67">
      <w:pPr>
        <w:pStyle w:val="FootnoteText"/>
        <w:jc w:val="both"/>
        <w:rPr>
          <w:rFonts w:ascii="Candara" w:hAnsi="Candara"/>
        </w:rPr>
      </w:pPr>
      <w:r w:rsidRPr="00EE4412">
        <w:rPr>
          <w:rStyle w:val="FootnoteReference"/>
          <w:rFonts w:ascii="Candara" w:hAnsi="Candara"/>
        </w:rPr>
        <w:footnoteRef/>
      </w:r>
      <w:r w:rsidRPr="00EE4412">
        <w:rPr>
          <w:rFonts w:ascii="Candara" w:hAnsi="Candara"/>
        </w:rPr>
        <w:t xml:space="preserve"> Gunther E.</w:t>
      </w:r>
      <w:r>
        <w:rPr>
          <w:rFonts w:ascii="Candara" w:hAnsi="Candara"/>
        </w:rPr>
        <w:t xml:space="preserve"> Rothenberg, ‘Moltke, Schlieffen, and the Doctrine of Strategic Envelopment’, in Peter Paret (ed.), </w:t>
      </w:r>
      <w:r>
        <w:rPr>
          <w:rFonts w:ascii="Candara" w:hAnsi="Candara"/>
          <w:i/>
          <w:iCs/>
        </w:rPr>
        <w:t>The Makers of Modern Strategy: From Machiavelli to the Nuclear Age</w:t>
      </w:r>
      <w:r>
        <w:rPr>
          <w:rFonts w:ascii="Candara" w:hAnsi="Candara"/>
        </w:rPr>
        <w:t xml:space="preserve"> (Princeton University Press, Princeton, NJ.), p. 314.</w:t>
      </w:r>
    </w:p>
  </w:footnote>
  <w:footnote w:id="20">
    <w:p w14:paraId="5D18AF68" w14:textId="77777777" w:rsidR="000C1872" w:rsidRPr="00EF7600" w:rsidRDefault="000C1872" w:rsidP="00207B67">
      <w:pPr>
        <w:pStyle w:val="FootnoteText"/>
        <w:jc w:val="both"/>
        <w:rPr>
          <w:rFonts w:ascii="Candara" w:hAnsi="Candara"/>
        </w:rPr>
      </w:pPr>
      <w:r w:rsidRPr="00EF7600">
        <w:rPr>
          <w:rStyle w:val="FootnoteReference"/>
          <w:rFonts w:ascii="Candara" w:hAnsi="Candara"/>
        </w:rPr>
        <w:footnoteRef/>
      </w:r>
      <w:r w:rsidRPr="00EF7600">
        <w:rPr>
          <w:rFonts w:ascii="Candara" w:hAnsi="Candara"/>
        </w:rPr>
        <w:t xml:space="preserve"> </w:t>
      </w:r>
      <w:r>
        <w:rPr>
          <w:rFonts w:ascii="Candara" w:hAnsi="Candara"/>
        </w:rPr>
        <w:t xml:space="preserve">Holger Herwig, </w:t>
      </w:r>
      <w:r>
        <w:rPr>
          <w:rFonts w:ascii="Candara" w:hAnsi="Candara"/>
          <w:i/>
          <w:iCs/>
        </w:rPr>
        <w:t>The first World War: Germany and Austria-Hungary 1914-1918</w:t>
      </w:r>
      <w:r>
        <w:rPr>
          <w:rFonts w:ascii="Candara" w:hAnsi="Candara"/>
        </w:rPr>
        <w:t xml:space="preserve"> (Arnold, London, 1997), p. 47.</w:t>
      </w:r>
    </w:p>
  </w:footnote>
  <w:footnote w:id="21">
    <w:p w14:paraId="170E119C" w14:textId="6C7CD933" w:rsidR="000C1872" w:rsidRPr="000B044F" w:rsidRDefault="000C1872" w:rsidP="000C1872">
      <w:pPr>
        <w:pStyle w:val="FootnoteText"/>
        <w:jc w:val="both"/>
        <w:rPr>
          <w:rFonts w:ascii="Candara" w:hAnsi="Candara"/>
        </w:rPr>
      </w:pPr>
      <w:r w:rsidRPr="00040817">
        <w:rPr>
          <w:rStyle w:val="FootnoteReference"/>
          <w:rFonts w:ascii="Candara" w:hAnsi="Candara"/>
        </w:rPr>
        <w:footnoteRef/>
      </w:r>
      <w:r w:rsidRPr="00040817">
        <w:rPr>
          <w:rFonts w:ascii="Candara" w:hAnsi="Candara"/>
        </w:rPr>
        <w:t xml:space="preserve"> </w:t>
      </w:r>
      <w:r>
        <w:rPr>
          <w:rFonts w:ascii="Candara" w:hAnsi="Candara"/>
        </w:rPr>
        <w:t>Leonard V. Smith, Stéphane Audoin-</w:t>
      </w:r>
      <w:proofErr w:type="spellStart"/>
      <w:r>
        <w:rPr>
          <w:rFonts w:ascii="Candara" w:hAnsi="Candara"/>
        </w:rPr>
        <w:t>Rouzeau</w:t>
      </w:r>
      <w:proofErr w:type="spellEnd"/>
      <w:r>
        <w:rPr>
          <w:rFonts w:ascii="Candara" w:hAnsi="Candara"/>
        </w:rPr>
        <w:t xml:space="preserve">, &amp; Annette Becker, </w:t>
      </w:r>
      <w:r>
        <w:rPr>
          <w:rFonts w:ascii="Candara" w:hAnsi="Candara"/>
          <w:i/>
          <w:iCs/>
        </w:rPr>
        <w:t>France and the Great War, 1914-1918</w:t>
      </w:r>
      <w:r>
        <w:rPr>
          <w:rFonts w:ascii="Candara" w:hAnsi="Candara"/>
        </w:rPr>
        <w:t xml:space="preserve"> (Cambridge University Press, Cambridge, 2003), pp. 14-</w:t>
      </w:r>
      <w:r w:rsidR="00886552">
        <w:rPr>
          <w:rFonts w:ascii="Candara" w:hAnsi="Candara"/>
        </w:rPr>
        <w:t>1</w:t>
      </w:r>
      <w:r>
        <w:rPr>
          <w:rFonts w:ascii="Candara" w:hAnsi="Candara"/>
        </w:rPr>
        <w:t>5.</w:t>
      </w:r>
    </w:p>
  </w:footnote>
  <w:footnote w:id="22">
    <w:p w14:paraId="11C64592" w14:textId="77777777" w:rsidR="000C1872" w:rsidRPr="00BB32A6" w:rsidRDefault="000C1872" w:rsidP="000C1872">
      <w:pPr>
        <w:pStyle w:val="FootnoteText"/>
        <w:rPr>
          <w:rFonts w:ascii="Candara" w:hAnsi="Candara"/>
        </w:rPr>
      </w:pPr>
      <w:r w:rsidRPr="00BB32A6">
        <w:rPr>
          <w:rStyle w:val="FootnoteReference"/>
          <w:rFonts w:ascii="Candara" w:hAnsi="Candara"/>
        </w:rPr>
        <w:footnoteRef/>
      </w:r>
      <w:r>
        <w:rPr>
          <w:rFonts w:ascii="Candara" w:hAnsi="Candara"/>
        </w:rPr>
        <w:t xml:space="preserve"> See, famously,</w:t>
      </w:r>
      <w:r w:rsidRPr="00BB32A6">
        <w:rPr>
          <w:rFonts w:ascii="Candara" w:hAnsi="Candara"/>
        </w:rPr>
        <w:t xml:space="preserve"> </w:t>
      </w:r>
      <w:r>
        <w:rPr>
          <w:rFonts w:ascii="Candara" w:hAnsi="Candara"/>
          <w:i/>
          <w:iCs/>
        </w:rPr>
        <w:t>Le Petit Journal</w:t>
      </w:r>
      <w:r>
        <w:rPr>
          <w:rFonts w:ascii="Candara" w:hAnsi="Candara"/>
        </w:rPr>
        <w:t>, 10 October 1891.</w:t>
      </w:r>
    </w:p>
  </w:footnote>
  <w:footnote w:id="23">
    <w:p w14:paraId="7E67B8D8" w14:textId="77777777" w:rsidR="000C1872" w:rsidRPr="00030A86" w:rsidRDefault="000C1872" w:rsidP="000C1872">
      <w:pPr>
        <w:pStyle w:val="FootnoteText"/>
        <w:jc w:val="both"/>
        <w:rPr>
          <w:rFonts w:ascii="Candara" w:hAnsi="Candara"/>
        </w:rPr>
      </w:pPr>
      <w:r w:rsidRPr="00030A86">
        <w:rPr>
          <w:rStyle w:val="FootnoteReference"/>
          <w:rFonts w:ascii="Candara" w:hAnsi="Candara"/>
        </w:rPr>
        <w:footnoteRef/>
      </w:r>
      <w:r w:rsidRPr="00030A86">
        <w:rPr>
          <w:rFonts w:ascii="Candara" w:hAnsi="Candara"/>
        </w:rPr>
        <w:t xml:space="preserve"> </w:t>
      </w:r>
      <w:r>
        <w:rPr>
          <w:rFonts w:ascii="Candara" w:hAnsi="Candara"/>
        </w:rPr>
        <w:t xml:space="preserve">See Douglas Porch, ‘Bugeaud, </w:t>
      </w:r>
      <w:proofErr w:type="spellStart"/>
      <w:r>
        <w:rPr>
          <w:rFonts w:ascii="Candara" w:hAnsi="Candara"/>
        </w:rPr>
        <w:t>Galliéni</w:t>
      </w:r>
      <w:proofErr w:type="spellEnd"/>
      <w:r>
        <w:rPr>
          <w:rFonts w:ascii="Candara" w:hAnsi="Candara"/>
        </w:rPr>
        <w:t xml:space="preserve">, Lyautey: The Development of French Colonial Warfare’, in Paret (ed.), </w:t>
      </w:r>
      <w:r>
        <w:rPr>
          <w:rFonts w:ascii="Candara" w:hAnsi="Candara"/>
          <w:i/>
          <w:iCs/>
        </w:rPr>
        <w:t>The Makers of Modern Strategy</w:t>
      </w:r>
      <w:r>
        <w:rPr>
          <w:rFonts w:ascii="Candara" w:hAnsi="Candara"/>
        </w:rPr>
        <w:t>, pp. 376-407.</w:t>
      </w:r>
    </w:p>
  </w:footnote>
  <w:footnote w:id="24">
    <w:p w14:paraId="6C2B2942" w14:textId="77777777" w:rsidR="000C1872" w:rsidRPr="00591A29" w:rsidRDefault="000C1872" w:rsidP="000C1872">
      <w:pPr>
        <w:pStyle w:val="FootnoteText"/>
        <w:jc w:val="both"/>
        <w:rPr>
          <w:rFonts w:ascii="Candara" w:hAnsi="Candara"/>
        </w:rPr>
      </w:pPr>
      <w:r w:rsidRPr="00591A29">
        <w:rPr>
          <w:rStyle w:val="FootnoteReference"/>
          <w:rFonts w:ascii="Candara" w:hAnsi="Candara"/>
        </w:rPr>
        <w:footnoteRef/>
      </w:r>
      <w:r w:rsidRPr="00591A29">
        <w:rPr>
          <w:rFonts w:ascii="Candara" w:hAnsi="Candara"/>
        </w:rPr>
        <w:t xml:space="preserve"> Douglas Porch, </w:t>
      </w:r>
      <w:r w:rsidRPr="00591A29">
        <w:rPr>
          <w:rFonts w:ascii="Candara" w:hAnsi="Candara"/>
          <w:i/>
          <w:iCs/>
        </w:rPr>
        <w:t>The March to the Marne: The French Army 1871-1914</w:t>
      </w:r>
      <w:r w:rsidRPr="00591A29">
        <w:rPr>
          <w:rFonts w:ascii="Candara" w:hAnsi="Candara"/>
        </w:rPr>
        <w:t xml:space="preserve"> (Cambridge University Press, Cambridge, 1981), pp. 56-61.</w:t>
      </w:r>
    </w:p>
  </w:footnote>
  <w:footnote w:id="25">
    <w:p w14:paraId="4EDAAD4E" w14:textId="43C0C21E" w:rsidR="000C1872" w:rsidRPr="00591A29" w:rsidRDefault="000C1872" w:rsidP="000C1872">
      <w:pPr>
        <w:pStyle w:val="FootnoteText"/>
        <w:jc w:val="both"/>
        <w:rPr>
          <w:rFonts w:ascii="Candara" w:hAnsi="Candara"/>
        </w:rPr>
      </w:pPr>
      <w:r w:rsidRPr="00591A29">
        <w:rPr>
          <w:rStyle w:val="FootnoteReference"/>
          <w:rFonts w:ascii="Candara" w:hAnsi="Candara"/>
        </w:rPr>
        <w:footnoteRef/>
      </w:r>
      <w:r w:rsidRPr="00591A29">
        <w:rPr>
          <w:rFonts w:ascii="Candara" w:hAnsi="Candara"/>
        </w:rPr>
        <w:t xml:space="preserve"> Ibid., p.</w:t>
      </w:r>
      <w:r w:rsidR="0094735F">
        <w:rPr>
          <w:rFonts w:ascii="Candara" w:hAnsi="Candara"/>
        </w:rPr>
        <w:t xml:space="preserve"> </w:t>
      </w:r>
      <w:r w:rsidRPr="00591A29">
        <w:rPr>
          <w:rFonts w:ascii="Candara" w:hAnsi="Candara"/>
        </w:rPr>
        <w:t>215.</w:t>
      </w:r>
    </w:p>
  </w:footnote>
  <w:footnote w:id="26">
    <w:p w14:paraId="36376B91" w14:textId="77777777" w:rsidR="000C1872" w:rsidRPr="00591A29" w:rsidRDefault="000C1872" w:rsidP="000C1872">
      <w:pPr>
        <w:pStyle w:val="FootnoteText"/>
        <w:jc w:val="both"/>
      </w:pPr>
      <w:r w:rsidRPr="00591A29">
        <w:rPr>
          <w:rStyle w:val="FootnoteReference"/>
          <w:rFonts w:ascii="Candara" w:hAnsi="Candara"/>
        </w:rPr>
        <w:footnoteRef/>
      </w:r>
      <w:r w:rsidRPr="00591A29">
        <w:rPr>
          <w:rFonts w:ascii="Candara" w:hAnsi="Candara"/>
        </w:rPr>
        <w:t xml:space="preserve"> Smith, Audoin-</w:t>
      </w:r>
      <w:proofErr w:type="spellStart"/>
      <w:r w:rsidRPr="00591A29">
        <w:rPr>
          <w:rFonts w:ascii="Candara" w:hAnsi="Candara"/>
        </w:rPr>
        <w:t>Rouzeau</w:t>
      </w:r>
      <w:proofErr w:type="spellEnd"/>
      <w:r w:rsidRPr="00591A29">
        <w:rPr>
          <w:rFonts w:ascii="Candara" w:hAnsi="Candara"/>
        </w:rPr>
        <w:t xml:space="preserve">, &amp; Becker, </w:t>
      </w:r>
      <w:r w:rsidRPr="00591A29">
        <w:rPr>
          <w:rFonts w:ascii="Candara" w:hAnsi="Candara"/>
          <w:i/>
          <w:iCs/>
        </w:rPr>
        <w:t>France and the Great War</w:t>
      </w:r>
      <w:r w:rsidRPr="00591A29">
        <w:rPr>
          <w:rFonts w:ascii="Candara" w:hAnsi="Candara"/>
        </w:rPr>
        <w:t>, pp. 19-21.</w:t>
      </w:r>
    </w:p>
  </w:footnote>
  <w:footnote w:id="27">
    <w:p w14:paraId="0726788A" w14:textId="77777777" w:rsidR="000C1872" w:rsidRPr="00DB3924" w:rsidRDefault="000C1872" w:rsidP="000C1872">
      <w:pPr>
        <w:pStyle w:val="FootnoteText"/>
        <w:rPr>
          <w:rFonts w:ascii="Candara" w:hAnsi="Candara"/>
        </w:rPr>
      </w:pPr>
      <w:r w:rsidRPr="00DB3924">
        <w:rPr>
          <w:rStyle w:val="FootnoteReference"/>
          <w:rFonts w:ascii="Candara" w:hAnsi="Candara"/>
        </w:rPr>
        <w:footnoteRef/>
      </w:r>
      <w:r w:rsidRPr="00DB3924">
        <w:rPr>
          <w:rFonts w:ascii="Candara" w:hAnsi="Candara"/>
        </w:rPr>
        <w:t xml:space="preserve"> </w:t>
      </w:r>
      <w:r>
        <w:rPr>
          <w:rFonts w:ascii="Candara" w:hAnsi="Candara"/>
        </w:rPr>
        <w:t xml:space="preserve">Elizabeth Greenhalgh, </w:t>
      </w:r>
      <w:r>
        <w:rPr>
          <w:rFonts w:ascii="Candara" w:hAnsi="Candara"/>
          <w:i/>
          <w:iCs/>
        </w:rPr>
        <w:t>The French Army and the First World War</w:t>
      </w:r>
      <w:r>
        <w:rPr>
          <w:rFonts w:ascii="Candara" w:hAnsi="Candara"/>
        </w:rPr>
        <w:t xml:space="preserve"> (Cambridge University Press, Cambridge, 2014), pp. 14-15.</w:t>
      </w:r>
    </w:p>
  </w:footnote>
  <w:footnote w:id="28">
    <w:p w14:paraId="69EAF7F5" w14:textId="77777777" w:rsidR="000C1872" w:rsidRPr="00CC267C" w:rsidRDefault="000C1872" w:rsidP="000C1872">
      <w:pPr>
        <w:pStyle w:val="FootnoteText"/>
        <w:jc w:val="both"/>
        <w:rPr>
          <w:rFonts w:ascii="Candara" w:hAnsi="Candara"/>
        </w:rPr>
      </w:pPr>
      <w:r w:rsidRPr="00CC267C">
        <w:rPr>
          <w:rStyle w:val="FootnoteReference"/>
          <w:rFonts w:ascii="Candara" w:hAnsi="Candara"/>
        </w:rPr>
        <w:footnoteRef/>
      </w:r>
      <w:r w:rsidRPr="00CC267C">
        <w:rPr>
          <w:rFonts w:ascii="Candara" w:hAnsi="Candara"/>
        </w:rPr>
        <w:t xml:space="preserve"> Herwig, </w:t>
      </w:r>
      <w:r w:rsidRPr="00CC267C">
        <w:rPr>
          <w:rFonts w:ascii="Candara" w:hAnsi="Candara"/>
          <w:i/>
          <w:iCs/>
        </w:rPr>
        <w:t>The First World War</w:t>
      </w:r>
      <w:r w:rsidRPr="00CC267C">
        <w:rPr>
          <w:rFonts w:ascii="Candara" w:hAnsi="Candara"/>
        </w:rPr>
        <w:t xml:space="preserve">, p. 67; &amp; Williamson, </w:t>
      </w:r>
      <w:r w:rsidRPr="00CC267C">
        <w:rPr>
          <w:rFonts w:ascii="Candara" w:hAnsi="Candara"/>
          <w:i/>
          <w:iCs/>
        </w:rPr>
        <w:t>The Politics of Grand Strategy</w:t>
      </w:r>
      <w:r w:rsidRPr="00CC267C">
        <w:rPr>
          <w:rFonts w:ascii="Candara" w:hAnsi="Candara"/>
        </w:rPr>
        <w:t>, p. 220.</w:t>
      </w:r>
    </w:p>
  </w:footnote>
  <w:footnote w:id="29">
    <w:p w14:paraId="76376A30" w14:textId="516EAD17" w:rsidR="000C1872" w:rsidRPr="00CC267C" w:rsidRDefault="000C1872" w:rsidP="000C1872">
      <w:pPr>
        <w:pStyle w:val="FootnoteText"/>
        <w:jc w:val="both"/>
      </w:pPr>
      <w:r w:rsidRPr="00CC267C">
        <w:rPr>
          <w:rStyle w:val="FootnoteReference"/>
          <w:rFonts w:ascii="Candara" w:hAnsi="Candara"/>
        </w:rPr>
        <w:footnoteRef/>
      </w:r>
      <w:r w:rsidRPr="00CC267C">
        <w:rPr>
          <w:rFonts w:ascii="Candara" w:hAnsi="Candara"/>
        </w:rPr>
        <w:t xml:space="preserve"> Robert A. Doughty, ‘French Strategy in 1914: Joffre’s Own’, </w:t>
      </w:r>
      <w:r w:rsidRPr="00CC267C">
        <w:rPr>
          <w:rFonts w:ascii="Candara" w:hAnsi="Candara"/>
          <w:i/>
          <w:iCs/>
        </w:rPr>
        <w:t>Journal of Military History</w:t>
      </w:r>
      <w:r w:rsidRPr="00CC267C">
        <w:rPr>
          <w:rFonts w:ascii="Candara" w:hAnsi="Candara"/>
        </w:rPr>
        <w:t>, vol. 67, no. 2, (2003), 427-</w:t>
      </w:r>
      <w:r>
        <w:rPr>
          <w:rFonts w:ascii="Candara" w:hAnsi="Candara"/>
        </w:rPr>
        <w:t>9</w:t>
      </w:r>
      <w:r w:rsidRPr="00CC267C">
        <w:rPr>
          <w:rFonts w:ascii="Candara" w:hAnsi="Candara"/>
        </w:rPr>
        <w:t>.</w:t>
      </w:r>
    </w:p>
  </w:footnote>
  <w:footnote w:id="30">
    <w:p w14:paraId="46F19AC3" w14:textId="77777777" w:rsidR="000C1872" w:rsidRPr="000F4651" w:rsidRDefault="000C1872" w:rsidP="000C1872">
      <w:pPr>
        <w:pStyle w:val="FootnoteText"/>
        <w:rPr>
          <w:rFonts w:ascii="Candara" w:hAnsi="Candara"/>
        </w:rPr>
      </w:pPr>
      <w:r w:rsidRPr="000F4651">
        <w:rPr>
          <w:rStyle w:val="FootnoteReference"/>
          <w:rFonts w:ascii="Candara" w:hAnsi="Candara"/>
        </w:rPr>
        <w:footnoteRef/>
      </w:r>
      <w:r w:rsidRPr="000F4651">
        <w:rPr>
          <w:rFonts w:ascii="Candara" w:hAnsi="Candara"/>
        </w:rPr>
        <w:t xml:space="preserve"> </w:t>
      </w:r>
      <w:r>
        <w:rPr>
          <w:rFonts w:ascii="Candara" w:hAnsi="Candara"/>
        </w:rPr>
        <w:t xml:space="preserve">Greenhalgh, </w:t>
      </w:r>
      <w:r>
        <w:rPr>
          <w:rFonts w:ascii="Candara" w:hAnsi="Candara"/>
          <w:i/>
          <w:iCs/>
        </w:rPr>
        <w:t>The French Army</w:t>
      </w:r>
      <w:r>
        <w:rPr>
          <w:rFonts w:ascii="Candara" w:hAnsi="Candara"/>
        </w:rPr>
        <w:t>, p. 36.</w:t>
      </w:r>
    </w:p>
  </w:footnote>
  <w:footnote w:id="31">
    <w:p w14:paraId="3DCB1743" w14:textId="1762B14E" w:rsidR="000C1872" w:rsidRPr="009E3432" w:rsidRDefault="000C1872" w:rsidP="000C1872">
      <w:pPr>
        <w:pStyle w:val="FootnoteText"/>
        <w:jc w:val="both"/>
        <w:rPr>
          <w:rFonts w:ascii="Candara" w:hAnsi="Candara"/>
        </w:rPr>
      </w:pPr>
      <w:r w:rsidRPr="009E3432">
        <w:rPr>
          <w:rStyle w:val="FootnoteReference"/>
          <w:rFonts w:ascii="Candara" w:hAnsi="Candara"/>
        </w:rPr>
        <w:footnoteRef/>
      </w:r>
      <w:r w:rsidRPr="009E3432">
        <w:rPr>
          <w:rFonts w:ascii="Candara" w:hAnsi="Candara"/>
        </w:rPr>
        <w:t xml:space="preserve"> Douglas Porch, ‘French War Plans, 1914</w:t>
      </w:r>
      <w:r>
        <w:rPr>
          <w:rFonts w:ascii="Candara" w:hAnsi="Candara"/>
        </w:rPr>
        <w:t xml:space="preserve">: The ‘Balance of Power Paradox”, </w:t>
      </w:r>
      <w:r>
        <w:rPr>
          <w:rFonts w:ascii="Candara" w:hAnsi="Candara"/>
          <w:i/>
          <w:iCs/>
        </w:rPr>
        <w:t>The Journal of Strategic Studies</w:t>
      </w:r>
      <w:r>
        <w:rPr>
          <w:rFonts w:ascii="Candara" w:hAnsi="Candara"/>
        </w:rPr>
        <w:t>, vol. 29, no. 1, (2006), 117-44.</w:t>
      </w:r>
    </w:p>
  </w:footnote>
  <w:footnote w:id="32">
    <w:p w14:paraId="334838D0" w14:textId="5EAE18A1" w:rsidR="000C1872" w:rsidRPr="001A374D" w:rsidRDefault="000C1872" w:rsidP="000C1872">
      <w:pPr>
        <w:pStyle w:val="FootnoteText"/>
        <w:jc w:val="both"/>
        <w:rPr>
          <w:rFonts w:ascii="Candara" w:hAnsi="Candara"/>
        </w:rPr>
      </w:pPr>
      <w:r w:rsidRPr="001A374D">
        <w:rPr>
          <w:rStyle w:val="FootnoteReference"/>
          <w:rFonts w:ascii="Candara" w:hAnsi="Candara"/>
        </w:rPr>
        <w:footnoteRef/>
      </w:r>
      <w:r w:rsidRPr="001A374D">
        <w:rPr>
          <w:rFonts w:ascii="Candara" w:hAnsi="Candara"/>
        </w:rPr>
        <w:t xml:space="preserve"> See, </w:t>
      </w:r>
      <w:r>
        <w:rPr>
          <w:rFonts w:ascii="Candara" w:hAnsi="Candara"/>
        </w:rPr>
        <w:t xml:space="preserve">A.J. Echevarria II, ‘The ‘Cult of the Offensive’ Revisited: Confronting Technological Change Before the Great War’, </w:t>
      </w:r>
      <w:r>
        <w:rPr>
          <w:rFonts w:ascii="Candara" w:hAnsi="Candara"/>
          <w:i/>
          <w:iCs/>
        </w:rPr>
        <w:t>The Journal of Strategic Studies</w:t>
      </w:r>
      <w:r>
        <w:rPr>
          <w:rFonts w:ascii="Candara" w:hAnsi="Candara"/>
        </w:rPr>
        <w:t>, vol. 25, no. 1, (2002), 199-214.</w:t>
      </w:r>
    </w:p>
  </w:footnote>
  <w:footnote w:id="33">
    <w:p w14:paraId="74B8445F" w14:textId="77777777" w:rsidR="000C1872" w:rsidRPr="004F1B4F" w:rsidRDefault="000C1872" w:rsidP="000C1872">
      <w:pPr>
        <w:pStyle w:val="FootnoteText"/>
        <w:jc w:val="both"/>
        <w:rPr>
          <w:rFonts w:ascii="Candara" w:hAnsi="Candara"/>
        </w:rPr>
      </w:pPr>
      <w:r w:rsidRPr="004E395D">
        <w:rPr>
          <w:rStyle w:val="FootnoteReference"/>
          <w:rFonts w:ascii="Candara" w:hAnsi="Candara"/>
        </w:rPr>
        <w:footnoteRef/>
      </w:r>
      <w:r w:rsidRPr="004E395D">
        <w:rPr>
          <w:rFonts w:ascii="Candara" w:hAnsi="Candara"/>
        </w:rPr>
        <w:t xml:space="preserve"> S.R. Williamson, ‘Joffre Reshapes French Strategy, 1911-193’, Kennedy (ed.), </w:t>
      </w:r>
      <w:r w:rsidRPr="004E395D">
        <w:rPr>
          <w:rFonts w:ascii="Candara" w:hAnsi="Candara"/>
          <w:i/>
          <w:iCs/>
        </w:rPr>
        <w:t>War Plans</w:t>
      </w:r>
      <w:r w:rsidRPr="004E395D">
        <w:rPr>
          <w:rFonts w:ascii="Candara" w:hAnsi="Candara"/>
        </w:rPr>
        <w:t>, pp. 136-9.</w:t>
      </w:r>
    </w:p>
  </w:footnote>
  <w:footnote w:id="34">
    <w:p w14:paraId="5C23F549" w14:textId="77777777" w:rsidR="000C1872" w:rsidRPr="00124B80" w:rsidRDefault="000C1872" w:rsidP="000C1872">
      <w:pPr>
        <w:pStyle w:val="FootnoteText"/>
        <w:jc w:val="both"/>
        <w:rPr>
          <w:rFonts w:ascii="Candara" w:hAnsi="Candara"/>
        </w:rPr>
      </w:pPr>
      <w:r w:rsidRPr="00124B80">
        <w:rPr>
          <w:rStyle w:val="FootnoteReference"/>
          <w:rFonts w:ascii="Candara" w:hAnsi="Candara"/>
        </w:rPr>
        <w:footnoteRef/>
      </w:r>
      <w:r w:rsidRPr="00124B80">
        <w:rPr>
          <w:rFonts w:ascii="Candara" w:hAnsi="Candara"/>
        </w:rPr>
        <w:t xml:space="preserve"> </w:t>
      </w:r>
      <w:r>
        <w:rPr>
          <w:rFonts w:ascii="Candara" w:hAnsi="Candara"/>
        </w:rPr>
        <w:t xml:space="preserve">Douglas Delaney, </w:t>
      </w:r>
      <w:r>
        <w:rPr>
          <w:rFonts w:ascii="Candara" w:hAnsi="Candara"/>
          <w:i/>
          <w:iCs/>
        </w:rPr>
        <w:t>The Imperial Army Project: Britain and the Land Forces of the Dominions and India, 1902-1945</w:t>
      </w:r>
      <w:r>
        <w:rPr>
          <w:rFonts w:ascii="Candara" w:hAnsi="Candara"/>
        </w:rPr>
        <w:t xml:space="preserve"> (Oxford University Press, Oxford, 2017), pp. 7-43.</w:t>
      </w:r>
    </w:p>
  </w:footnote>
  <w:footnote w:id="35">
    <w:p w14:paraId="6A85C643" w14:textId="77777777" w:rsidR="000C1872" w:rsidRPr="00F30BD2" w:rsidRDefault="000C1872" w:rsidP="000C1872">
      <w:pPr>
        <w:pStyle w:val="FootnoteText"/>
        <w:jc w:val="both"/>
        <w:rPr>
          <w:rFonts w:ascii="Candara" w:hAnsi="Candara"/>
        </w:rPr>
      </w:pPr>
      <w:r w:rsidRPr="00BE5BAB">
        <w:rPr>
          <w:rStyle w:val="FootnoteReference"/>
          <w:rFonts w:ascii="Candara" w:hAnsi="Candara"/>
        </w:rPr>
        <w:footnoteRef/>
      </w:r>
      <w:r w:rsidRPr="00BE5BAB">
        <w:rPr>
          <w:rFonts w:ascii="Candara" w:hAnsi="Candara"/>
        </w:rPr>
        <w:t xml:space="preserve"> </w:t>
      </w:r>
      <w:r>
        <w:rPr>
          <w:rFonts w:ascii="Candara" w:hAnsi="Candara"/>
        </w:rPr>
        <w:t xml:space="preserve">For more on Haldane and the Haldane Reforms, see Edward M. Spiers, </w:t>
      </w:r>
      <w:r>
        <w:rPr>
          <w:rFonts w:ascii="Candara" w:hAnsi="Candara"/>
          <w:i/>
          <w:iCs/>
        </w:rPr>
        <w:t>Haldane: an Army Reformer</w:t>
      </w:r>
      <w:r>
        <w:rPr>
          <w:rFonts w:ascii="Candara" w:hAnsi="Candara"/>
        </w:rPr>
        <w:t xml:space="preserve"> (Edinburgh University Press, Edinburgh, 1980); &amp; Timothy Bowman and Mark Connelly, </w:t>
      </w:r>
      <w:r>
        <w:rPr>
          <w:rFonts w:ascii="Candara" w:hAnsi="Candara"/>
          <w:i/>
          <w:iCs/>
        </w:rPr>
        <w:t xml:space="preserve">The Edwardian Army: </w:t>
      </w:r>
      <w:r w:rsidRPr="00F30BD2">
        <w:rPr>
          <w:rFonts w:ascii="Candara" w:hAnsi="Candara"/>
          <w:i/>
          <w:iCs/>
        </w:rPr>
        <w:t>Recruiting, Training, and Deploying the British Army, 1902-1914</w:t>
      </w:r>
      <w:r w:rsidRPr="00F30BD2">
        <w:rPr>
          <w:rFonts w:ascii="Candara" w:hAnsi="Candara"/>
        </w:rPr>
        <w:t xml:space="preserve"> (Oxford University Press, Oxford, 2012), pp. 106-46.</w:t>
      </w:r>
    </w:p>
  </w:footnote>
  <w:footnote w:id="36">
    <w:p w14:paraId="2913E2E4" w14:textId="77777777" w:rsidR="000C1872" w:rsidRPr="00F30BD2" w:rsidRDefault="000C1872" w:rsidP="000C1872">
      <w:pPr>
        <w:pStyle w:val="FootnoteText"/>
        <w:jc w:val="both"/>
        <w:rPr>
          <w:rFonts w:ascii="Candara" w:hAnsi="Candara"/>
        </w:rPr>
      </w:pPr>
      <w:r w:rsidRPr="00F30BD2">
        <w:rPr>
          <w:rStyle w:val="FootnoteReference"/>
          <w:rFonts w:ascii="Candara" w:hAnsi="Candara"/>
        </w:rPr>
        <w:footnoteRef/>
      </w:r>
      <w:r w:rsidRPr="00F30BD2">
        <w:rPr>
          <w:rFonts w:ascii="Candara" w:hAnsi="Candara"/>
        </w:rPr>
        <w:t xml:space="preserve"> For more on  the establishment and role of the (Imperial) General Staff, see John Gooch, </w:t>
      </w:r>
      <w:r w:rsidRPr="00F30BD2">
        <w:rPr>
          <w:rFonts w:ascii="Candara" w:hAnsi="Candara"/>
          <w:i/>
          <w:iCs/>
        </w:rPr>
        <w:t xml:space="preserve">The Plans of War: The General Staff and British Military Strategy c.1900-1916 </w:t>
      </w:r>
      <w:r w:rsidRPr="00F30BD2">
        <w:rPr>
          <w:rFonts w:ascii="Candara" w:hAnsi="Candara"/>
        </w:rPr>
        <w:t xml:space="preserve">(Halstead Press, New York, 1974); &amp; David French and Brian Holden-Reid (eds.), </w:t>
      </w:r>
      <w:r w:rsidRPr="00F30BD2">
        <w:rPr>
          <w:rFonts w:ascii="Candara" w:hAnsi="Candara"/>
          <w:i/>
          <w:iCs/>
        </w:rPr>
        <w:t>The British General Staff: Reform and Innovation c.1890-1939</w:t>
      </w:r>
      <w:r w:rsidRPr="00F30BD2">
        <w:rPr>
          <w:rFonts w:ascii="Candara" w:hAnsi="Candara"/>
        </w:rPr>
        <w:t xml:space="preserve"> (Frank Cass, London, 2002).</w:t>
      </w:r>
    </w:p>
  </w:footnote>
  <w:footnote w:id="37">
    <w:p w14:paraId="7AF4038A" w14:textId="49287545" w:rsidR="000C1872" w:rsidRPr="00F30BD2" w:rsidRDefault="000C1872" w:rsidP="000C1872">
      <w:pPr>
        <w:pStyle w:val="FootnoteText"/>
        <w:jc w:val="both"/>
        <w:rPr>
          <w:rFonts w:ascii="Candara" w:hAnsi="Candara"/>
        </w:rPr>
      </w:pPr>
      <w:r w:rsidRPr="00F30BD2">
        <w:rPr>
          <w:rStyle w:val="FootnoteReference"/>
          <w:rFonts w:ascii="Candara" w:hAnsi="Candara"/>
        </w:rPr>
        <w:footnoteRef/>
      </w:r>
      <w:r w:rsidRPr="00F30BD2">
        <w:rPr>
          <w:rFonts w:ascii="Candara" w:hAnsi="Candara"/>
        </w:rPr>
        <w:t xml:space="preserve"> The controversy largely stems from its concealment from Cabinet until 1911. See T</w:t>
      </w:r>
      <w:r>
        <w:rPr>
          <w:rFonts w:ascii="Candara" w:hAnsi="Candara"/>
        </w:rPr>
        <w:t>revor</w:t>
      </w:r>
      <w:r w:rsidRPr="00F30BD2">
        <w:rPr>
          <w:rFonts w:ascii="Candara" w:hAnsi="Candara"/>
        </w:rPr>
        <w:t xml:space="preserve"> Wilson, ‘Britain’s ‘Moral Commitment’ to France in August 1914’, </w:t>
      </w:r>
      <w:r w:rsidRPr="00F30BD2">
        <w:rPr>
          <w:rFonts w:ascii="Candara" w:hAnsi="Candara"/>
          <w:i/>
          <w:iCs/>
        </w:rPr>
        <w:t>History</w:t>
      </w:r>
      <w:r w:rsidRPr="00F30BD2">
        <w:rPr>
          <w:rFonts w:ascii="Candara" w:hAnsi="Candara"/>
        </w:rPr>
        <w:t>, vol. 61, (1979), 380-90</w:t>
      </w:r>
      <w:r>
        <w:rPr>
          <w:rFonts w:ascii="Candara" w:hAnsi="Candara"/>
        </w:rPr>
        <w:t xml:space="preserve">; &amp; Michael Howard, </w:t>
      </w:r>
      <w:r>
        <w:rPr>
          <w:rFonts w:ascii="Candara" w:hAnsi="Candara"/>
          <w:i/>
          <w:iCs/>
        </w:rPr>
        <w:t>The Continental Commitment: The Dilemma of British Defence Policy in the Era of the Two World Wars</w:t>
      </w:r>
      <w:r>
        <w:rPr>
          <w:rFonts w:ascii="Candara" w:hAnsi="Candara"/>
        </w:rPr>
        <w:t xml:space="preserve"> (Temple Smith, London, 1972), p. 31.</w:t>
      </w:r>
    </w:p>
  </w:footnote>
  <w:footnote w:id="38">
    <w:p w14:paraId="7E38C69B" w14:textId="77777777" w:rsidR="000C1872" w:rsidRPr="00F30BD2" w:rsidRDefault="000C1872" w:rsidP="000C1872">
      <w:pPr>
        <w:pStyle w:val="FootnoteText"/>
        <w:jc w:val="both"/>
        <w:rPr>
          <w:rFonts w:ascii="Candara" w:hAnsi="Candara"/>
        </w:rPr>
      </w:pPr>
      <w:r w:rsidRPr="00F30BD2">
        <w:rPr>
          <w:rStyle w:val="FootnoteReference"/>
          <w:rFonts w:ascii="Candara" w:hAnsi="Candara"/>
        </w:rPr>
        <w:footnoteRef/>
      </w:r>
      <w:r w:rsidRPr="00F30BD2">
        <w:rPr>
          <w:rFonts w:ascii="Candara" w:hAnsi="Candara"/>
        </w:rPr>
        <w:t xml:space="preserve"> George Monger, </w:t>
      </w:r>
      <w:r w:rsidRPr="00F30BD2">
        <w:rPr>
          <w:rFonts w:ascii="Candara" w:hAnsi="Candara"/>
          <w:i/>
          <w:iCs/>
        </w:rPr>
        <w:t>The End of Isolation: British Foreign Policy, 1900-1907</w:t>
      </w:r>
      <w:r w:rsidRPr="00F30BD2">
        <w:rPr>
          <w:rFonts w:ascii="Candara" w:hAnsi="Candara"/>
        </w:rPr>
        <w:t xml:space="preserve"> (T. Nelson, London, 1963),</w:t>
      </w:r>
      <w:r w:rsidRPr="00F30BD2">
        <w:rPr>
          <w:rFonts w:ascii="Candara" w:hAnsi="Candara"/>
          <w:i/>
          <w:iCs/>
        </w:rPr>
        <w:t xml:space="preserve"> </w:t>
      </w:r>
      <w:r w:rsidRPr="00F30BD2">
        <w:rPr>
          <w:rFonts w:ascii="Candara" w:hAnsi="Candara"/>
        </w:rPr>
        <w:t>p. 210.</w:t>
      </w:r>
    </w:p>
  </w:footnote>
  <w:footnote w:id="39">
    <w:p w14:paraId="632823B7" w14:textId="17FA2F51" w:rsidR="000C1872" w:rsidRPr="006B7D59" w:rsidRDefault="000C1872" w:rsidP="000C1872">
      <w:pPr>
        <w:pStyle w:val="FootnoteText"/>
        <w:jc w:val="both"/>
        <w:rPr>
          <w:rFonts w:ascii="Candara" w:hAnsi="Candara"/>
        </w:rPr>
      </w:pPr>
      <w:r w:rsidRPr="00F30BD2">
        <w:rPr>
          <w:rStyle w:val="FootnoteReference"/>
          <w:rFonts w:ascii="Candara" w:hAnsi="Candara"/>
        </w:rPr>
        <w:footnoteRef/>
      </w:r>
      <w:r w:rsidRPr="00F30BD2">
        <w:rPr>
          <w:rFonts w:ascii="Candara" w:hAnsi="Candara"/>
        </w:rPr>
        <w:t xml:space="preserve"> </w:t>
      </w:r>
      <w:r>
        <w:rPr>
          <w:rFonts w:ascii="Candara" w:hAnsi="Candara"/>
        </w:rPr>
        <w:t xml:space="preserve">Nicholas </w:t>
      </w:r>
      <w:proofErr w:type="spellStart"/>
      <w:r>
        <w:rPr>
          <w:rFonts w:ascii="Candara" w:hAnsi="Candara"/>
        </w:rPr>
        <w:t>d’Ombrain</w:t>
      </w:r>
      <w:proofErr w:type="spellEnd"/>
      <w:r>
        <w:rPr>
          <w:rFonts w:ascii="Candara" w:hAnsi="Candara"/>
        </w:rPr>
        <w:t xml:space="preserve">, </w:t>
      </w:r>
      <w:r>
        <w:rPr>
          <w:rFonts w:ascii="Candara" w:hAnsi="Candara"/>
          <w:i/>
          <w:iCs/>
        </w:rPr>
        <w:t>War Machinery and High Policy: Defence Administration in Peacetime Britain, 1902-1914</w:t>
      </w:r>
      <w:r>
        <w:rPr>
          <w:rFonts w:ascii="Candara" w:hAnsi="Candara"/>
        </w:rPr>
        <w:t xml:space="preserve"> (Oxford University Press, Oxford, 1973), p. 88. On Royal Naval planning, see Paul Haggie, ‘The Royal Navy and War Planning in the Fischer Era’, </w:t>
      </w:r>
      <w:r>
        <w:rPr>
          <w:rFonts w:ascii="Candara" w:hAnsi="Candara"/>
          <w:i/>
          <w:iCs/>
        </w:rPr>
        <w:t>Journal of Contemporary History</w:t>
      </w:r>
      <w:r>
        <w:rPr>
          <w:rFonts w:ascii="Candara" w:hAnsi="Candara"/>
        </w:rPr>
        <w:t xml:space="preserve">, vol. 8, no. 3, (1973), 113-31; &amp; David Morgan-Owen, </w:t>
      </w:r>
      <w:r w:rsidRPr="008B20F7">
        <w:rPr>
          <w:rFonts w:ascii="Candara" w:hAnsi="Candara"/>
        </w:rPr>
        <w:t xml:space="preserve">The Fear of Invasion: Strategy, Politics, and British War Planning, 1880–1914 (Oxford University Press, </w:t>
      </w:r>
      <w:r>
        <w:rPr>
          <w:rFonts w:ascii="Candara" w:hAnsi="Candara"/>
        </w:rPr>
        <w:t xml:space="preserve">Oxford, </w:t>
      </w:r>
      <w:r w:rsidRPr="008B20F7">
        <w:rPr>
          <w:rFonts w:ascii="Candara" w:hAnsi="Candara"/>
        </w:rPr>
        <w:t>2017)</w:t>
      </w:r>
      <w:r>
        <w:rPr>
          <w:rFonts w:ascii="Candara" w:hAnsi="Candara"/>
        </w:rPr>
        <w:t>.</w:t>
      </w:r>
    </w:p>
  </w:footnote>
  <w:footnote w:id="40">
    <w:p w14:paraId="15EF039E" w14:textId="77777777" w:rsidR="000C1872" w:rsidRPr="00F30BD2" w:rsidRDefault="000C1872" w:rsidP="000C1872">
      <w:pPr>
        <w:pStyle w:val="FootnoteText"/>
        <w:jc w:val="both"/>
        <w:rPr>
          <w:rFonts w:ascii="Candara" w:hAnsi="Candara"/>
        </w:rPr>
      </w:pPr>
      <w:r w:rsidRPr="00F30BD2">
        <w:rPr>
          <w:rStyle w:val="FootnoteReference"/>
          <w:rFonts w:ascii="Candara" w:hAnsi="Candara"/>
        </w:rPr>
        <w:footnoteRef/>
      </w:r>
      <w:r w:rsidRPr="00F30BD2">
        <w:rPr>
          <w:rFonts w:ascii="Candara" w:hAnsi="Candara"/>
        </w:rPr>
        <w:t xml:space="preserve"> David French, </w:t>
      </w:r>
      <w:r w:rsidRPr="00F30BD2">
        <w:rPr>
          <w:rFonts w:ascii="Candara" w:hAnsi="Candara"/>
          <w:i/>
          <w:iCs/>
        </w:rPr>
        <w:t>British Economic and Strategic Planning, 1905-1915</w:t>
      </w:r>
      <w:r w:rsidRPr="00F30BD2">
        <w:rPr>
          <w:rFonts w:ascii="Candara" w:hAnsi="Candara"/>
        </w:rPr>
        <w:t xml:space="preserve"> (George Allen &amp; Urwin, London, 1982), pp. 15-24.</w:t>
      </w:r>
    </w:p>
  </w:footnote>
  <w:footnote w:id="41">
    <w:p w14:paraId="0D6A799A" w14:textId="77777777" w:rsidR="000C1872" w:rsidRPr="00F30BD2" w:rsidRDefault="000C1872" w:rsidP="000C1872">
      <w:pPr>
        <w:pStyle w:val="FootnoteText"/>
        <w:jc w:val="both"/>
        <w:rPr>
          <w:rFonts w:ascii="Candara" w:hAnsi="Candara"/>
        </w:rPr>
      </w:pPr>
      <w:r w:rsidRPr="00F30BD2">
        <w:rPr>
          <w:rStyle w:val="FootnoteReference"/>
          <w:rFonts w:ascii="Candara" w:hAnsi="Candara"/>
        </w:rPr>
        <w:footnoteRef/>
      </w:r>
      <w:r w:rsidRPr="00F30BD2">
        <w:rPr>
          <w:rFonts w:ascii="Candara" w:hAnsi="Candara"/>
        </w:rPr>
        <w:t xml:space="preserve"> Sir Arthur Nicholson protested to Grey in August 1914 that “you have over and over again promised M. Cambon that if Germany was the aggressor you would stand by France; Grey’s response was: “Yes, but he has nothing in writing”, see Wilson, </w:t>
      </w:r>
      <w:r w:rsidRPr="00F30BD2">
        <w:rPr>
          <w:rFonts w:ascii="Candara" w:hAnsi="Candara"/>
          <w:i/>
          <w:iCs/>
        </w:rPr>
        <w:t>The Policy of the Entente</w:t>
      </w:r>
      <w:r>
        <w:rPr>
          <w:rFonts w:ascii="Candara" w:hAnsi="Candara"/>
          <w:i/>
          <w:iCs/>
        </w:rPr>
        <w:t>,</w:t>
      </w:r>
      <w:r w:rsidRPr="00F30BD2">
        <w:rPr>
          <w:rFonts w:ascii="Candara" w:hAnsi="Candara"/>
        </w:rPr>
        <w:t xml:space="preserve"> p. 123.</w:t>
      </w:r>
    </w:p>
  </w:footnote>
  <w:footnote w:id="42">
    <w:p w14:paraId="48C7BB12" w14:textId="77777777" w:rsidR="000C1872" w:rsidRPr="00082857" w:rsidRDefault="000C1872" w:rsidP="000C1872">
      <w:pPr>
        <w:pStyle w:val="FootnoteText"/>
        <w:jc w:val="both"/>
      </w:pPr>
      <w:r w:rsidRPr="00F30BD2">
        <w:rPr>
          <w:rStyle w:val="FootnoteReference"/>
          <w:rFonts w:ascii="Candara" w:hAnsi="Candara"/>
        </w:rPr>
        <w:footnoteRef/>
      </w:r>
      <w:r w:rsidRPr="00F30BD2">
        <w:rPr>
          <w:rFonts w:ascii="Candara" w:hAnsi="Candara"/>
        </w:rPr>
        <w:t xml:space="preserve"> A.J.P. Taylor, </w:t>
      </w:r>
      <w:r w:rsidRPr="00F30BD2">
        <w:rPr>
          <w:rFonts w:ascii="Candara" w:hAnsi="Candara"/>
          <w:i/>
          <w:iCs/>
        </w:rPr>
        <w:t>The Struggle for Mastery in Europe 1848-1918</w:t>
      </w:r>
      <w:r w:rsidRPr="00F30BD2">
        <w:rPr>
          <w:rFonts w:ascii="Candara" w:hAnsi="Candara"/>
        </w:rPr>
        <w:t xml:space="preserve"> (The Clarendon Press, Oxford, 1954), pp.437-8</w:t>
      </w:r>
      <w:r>
        <w:rPr>
          <w:rFonts w:ascii="Candara" w:hAnsi="Candara"/>
        </w:rPr>
        <w:t xml:space="preserve">; &amp; </w:t>
      </w:r>
      <w:r w:rsidRPr="00F30BD2">
        <w:rPr>
          <w:rFonts w:ascii="Candara" w:hAnsi="Candara"/>
        </w:rPr>
        <w:t xml:space="preserve">French, </w:t>
      </w:r>
      <w:r w:rsidRPr="00F30BD2">
        <w:rPr>
          <w:rFonts w:ascii="Candara" w:hAnsi="Candara"/>
          <w:i/>
          <w:iCs/>
        </w:rPr>
        <w:t>British Economic and Strategic Planning</w:t>
      </w:r>
      <w:r>
        <w:rPr>
          <w:rFonts w:ascii="Candara" w:hAnsi="Candara"/>
        </w:rPr>
        <w:t>, p. 23.</w:t>
      </w:r>
    </w:p>
  </w:footnote>
  <w:footnote w:id="43">
    <w:p w14:paraId="31608F3C" w14:textId="5BE1E950" w:rsidR="000C1872" w:rsidRPr="00082857" w:rsidRDefault="000C1872" w:rsidP="000C1872">
      <w:pPr>
        <w:pStyle w:val="FootnoteText"/>
        <w:jc w:val="both"/>
        <w:rPr>
          <w:rFonts w:ascii="Candara" w:hAnsi="Candara"/>
        </w:rPr>
      </w:pPr>
      <w:r w:rsidRPr="00082857">
        <w:rPr>
          <w:rStyle w:val="FootnoteReference"/>
          <w:rFonts w:ascii="Candara" w:hAnsi="Candara"/>
        </w:rPr>
        <w:footnoteRef/>
      </w:r>
      <w:r w:rsidRPr="00082857">
        <w:rPr>
          <w:rFonts w:ascii="Candara" w:hAnsi="Candara"/>
        </w:rPr>
        <w:t xml:space="preserve"> </w:t>
      </w:r>
      <w:r>
        <w:rPr>
          <w:rFonts w:ascii="Candara" w:hAnsi="Candara"/>
        </w:rPr>
        <w:t xml:space="preserve">Jonathan E. Helmreich, ‘Belgian Concern over Neutrality and British Intentions, 1906-1914’, </w:t>
      </w:r>
      <w:r>
        <w:rPr>
          <w:rFonts w:ascii="Candara" w:hAnsi="Candara"/>
          <w:i/>
          <w:iCs/>
        </w:rPr>
        <w:t>The Journal of Modern History</w:t>
      </w:r>
      <w:r>
        <w:rPr>
          <w:rFonts w:ascii="Candara" w:hAnsi="Candara"/>
        </w:rPr>
        <w:t>, vol. 36, (1964), 416.</w:t>
      </w:r>
    </w:p>
  </w:footnote>
  <w:footnote w:id="44">
    <w:p w14:paraId="6063C7A3" w14:textId="2D8BCD53" w:rsidR="000C1872" w:rsidRPr="00972ABB" w:rsidRDefault="000C1872" w:rsidP="000C1872">
      <w:pPr>
        <w:pStyle w:val="FootnoteText"/>
        <w:rPr>
          <w:rFonts w:ascii="Candara" w:hAnsi="Candara"/>
        </w:rPr>
      </w:pPr>
      <w:r w:rsidRPr="00972ABB">
        <w:rPr>
          <w:rStyle w:val="FootnoteReference"/>
          <w:rFonts w:ascii="Candara" w:hAnsi="Candara"/>
        </w:rPr>
        <w:footnoteRef/>
      </w:r>
      <w:r w:rsidRPr="00972ABB">
        <w:rPr>
          <w:rFonts w:ascii="Candara" w:hAnsi="Candara"/>
        </w:rPr>
        <w:t xml:space="preserve"> </w:t>
      </w:r>
      <w:r>
        <w:rPr>
          <w:rFonts w:ascii="Candara" w:hAnsi="Candara"/>
        </w:rPr>
        <w:t xml:space="preserve">Mario Draper, “Are We Ready?’: Belgium and the </w:t>
      </w:r>
      <w:r>
        <w:rPr>
          <w:rFonts w:ascii="Candara" w:hAnsi="Candara"/>
          <w:i/>
          <w:iCs/>
        </w:rPr>
        <w:t>Entente’</w:t>
      </w:r>
      <w:r>
        <w:rPr>
          <w:rFonts w:ascii="Candara" w:hAnsi="Candara"/>
        </w:rPr>
        <w:t xml:space="preserve">s Military Planning for a War Against Germany, 1906-1914’, </w:t>
      </w:r>
      <w:r>
        <w:rPr>
          <w:rFonts w:ascii="Candara" w:hAnsi="Candara"/>
          <w:i/>
          <w:iCs/>
        </w:rPr>
        <w:t>The International History Review</w:t>
      </w:r>
      <w:r>
        <w:rPr>
          <w:rFonts w:ascii="Candara" w:hAnsi="Candara"/>
        </w:rPr>
        <w:t>, vol. 41, no. 6, (2019), 1220-1.</w:t>
      </w:r>
    </w:p>
  </w:footnote>
  <w:footnote w:id="45">
    <w:p w14:paraId="6EEEA60F" w14:textId="77777777" w:rsidR="000C1872" w:rsidRPr="00082857" w:rsidRDefault="000C1872" w:rsidP="000C1872">
      <w:pPr>
        <w:pStyle w:val="FootnoteText"/>
        <w:jc w:val="both"/>
        <w:rPr>
          <w:rFonts w:ascii="Candara" w:hAnsi="Candara"/>
        </w:rPr>
      </w:pPr>
      <w:r w:rsidRPr="00082857">
        <w:rPr>
          <w:rStyle w:val="FootnoteReference"/>
          <w:rFonts w:ascii="Candara" w:hAnsi="Candara"/>
        </w:rPr>
        <w:footnoteRef/>
      </w:r>
      <w:r w:rsidRPr="00082857">
        <w:rPr>
          <w:rFonts w:ascii="Candara" w:hAnsi="Candara"/>
        </w:rPr>
        <w:t xml:space="preserve"> </w:t>
      </w:r>
      <w:r w:rsidRPr="00F30BD2">
        <w:rPr>
          <w:rFonts w:ascii="Candara" w:hAnsi="Candara"/>
        </w:rPr>
        <w:t xml:space="preserve">Gooch, </w:t>
      </w:r>
      <w:r w:rsidRPr="00F30BD2">
        <w:rPr>
          <w:rFonts w:ascii="Candara" w:hAnsi="Candara"/>
          <w:i/>
          <w:iCs/>
        </w:rPr>
        <w:t>The Plans of War</w:t>
      </w:r>
      <w:r>
        <w:rPr>
          <w:rFonts w:ascii="Candara" w:hAnsi="Candara"/>
        </w:rPr>
        <w:t>, p. 282.</w:t>
      </w:r>
    </w:p>
  </w:footnote>
  <w:footnote w:id="46">
    <w:p w14:paraId="5465723A" w14:textId="45CB56D5" w:rsidR="000C1872" w:rsidRPr="00FA7946" w:rsidRDefault="000C1872" w:rsidP="000C1872">
      <w:pPr>
        <w:pStyle w:val="FootnoteText"/>
        <w:jc w:val="both"/>
        <w:rPr>
          <w:rFonts w:ascii="Candara" w:hAnsi="Candara"/>
        </w:rPr>
      </w:pPr>
      <w:r w:rsidRPr="00FA7946">
        <w:rPr>
          <w:rStyle w:val="FootnoteReference"/>
          <w:rFonts w:ascii="Candara" w:hAnsi="Candara"/>
        </w:rPr>
        <w:footnoteRef/>
      </w:r>
      <w:r w:rsidRPr="00FA7946">
        <w:rPr>
          <w:rFonts w:ascii="Candara" w:hAnsi="Candara"/>
        </w:rPr>
        <w:t xml:space="preserve"> </w:t>
      </w:r>
      <w:proofErr w:type="spellStart"/>
      <w:r>
        <w:rPr>
          <w:rFonts w:ascii="Candara" w:hAnsi="Candara"/>
        </w:rPr>
        <w:t>d’Ombrain</w:t>
      </w:r>
      <w:proofErr w:type="spellEnd"/>
      <w:r>
        <w:rPr>
          <w:rFonts w:ascii="Candara" w:hAnsi="Candara"/>
        </w:rPr>
        <w:t xml:space="preserve">, </w:t>
      </w:r>
      <w:r>
        <w:rPr>
          <w:rFonts w:ascii="Candara" w:hAnsi="Candara"/>
          <w:i/>
          <w:iCs/>
        </w:rPr>
        <w:t>War Machinery and High Policy</w:t>
      </w:r>
      <w:r>
        <w:rPr>
          <w:rFonts w:ascii="Candara" w:hAnsi="Candara"/>
        </w:rPr>
        <w:t>, pp. 91-2.</w:t>
      </w:r>
    </w:p>
  </w:footnote>
  <w:footnote w:id="47">
    <w:p w14:paraId="52DC00BF" w14:textId="469645E6" w:rsidR="000C1872" w:rsidRPr="000C6BF4" w:rsidRDefault="000C1872" w:rsidP="000C1872">
      <w:pPr>
        <w:pStyle w:val="FootnoteText"/>
        <w:rPr>
          <w:rFonts w:ascii="Candara" w:hAnsi="Candara"/>
        </w:rPr>
      </w:pPr>
      <w:r w:rsidRPr="000C6BF4">
        <w:rPr>
          <w:rStyle w:val="FootnoteReference"/>
          <w:rFonts w:ascii="Candara" w:hAnsi="Candara"/>
        </w:rPr>
        <w:footnoteRef/>
      </w:r>
      <w:r w:rsidRPr="000C6BF4">
        <w:rPr>
          <w:rFonts w:ascii="Candara" w:hAnsi="Candara"/>
        </w:rPr>
        <w:t xml:space="preserve"> </w:t>
      </w:r>
      <w:r>
        <w:rPr>
          <w:rFonts w:ascii="Candara" w:hAnsi="Candara"/>
        </w:rPr>
        <w:t xml:space="preserve">Ibid., </w:t>
      </w:r>
      <w:r w:rsidR="0094735F">
        <w:rPr>
          <w:rFonts w:ascii="Candara" w:hAnsi="Candara"/>
        </w:rPr>
        <w:t xml:space="preserve">pp. </w:t>
      </w:r>
      <w:r>
        <w:rPr>
          <w:rFonts w:ascii="Candara" w:hAnsi="Candara"/>
        </w:rPr>
        <w:t>94-9.</w:t>
      </w:r>
    </w:p>
  </w:footnote>
  <w:footnote w:id="48">
    <w:p w14:paraId="5D158BE2" w14:textId="77777777" w:rsidR="000C1872" w:rsidRPr="00C17F6C" w:rsidRDefault="000C1872" w:rsidP="000C1872">
      <w:pPr>
        <w:pStyle w:val="FootnoteText"/>
        <w:jc w:val="both"/>
        <w:rPr>
          <w:rFonts w:ascii="Candara" w:hAnsi="Candara"/>
        </w:rPr>
      </w:pPr>
      <w:r w:rsidRPr="00C17F6C">
        <w:rPr>
          <w:rStyle w:val="FootnoteReference"/>
          <w:rFonts w:ascii="Candara" w:hAnsi="Candara"/>
        </w:rPr>
        <w:footnoteRef/>
      </w:r>
      <w:r w:rsidRPr="00C17F6C">
        <w:rPr>
          <w:rFonts w:ascii="Candara" w:hAnsi="Candara"/>
        </w:rPr>
        <w:t xml:space="preserve"> </w:t>
      </w:r>
      <w:r>
        <w:rPr>
          <w:rFonts w:ascii="Candara" w:hAnsi="Candara"/>
        </w:rPr>
        <w:t>Ibid., p. 106.</w:t>
      </w:r>
    </w:p>
  </w:footnote>
  <w:footnote w:id="49">
    <w:p w14:paraId="1EA4378B" w14:textId="5C8DC4FF" w:rsidR="000C1872" w:rsidRDefault="000C1872" w:rsidP="000C1872">
      <w:pPr>
        <w:pStyle w:val="FootnoteText"/>
      </w:pPr>
      <w:r>
        <w:rPr>
          <w:rStyle w:val="FootnoteReference"/>
        </w:rPr>
        <w:footnoteRef/>
      </w:r>
      <w:r>
        <w:t xml:space="preserve"> </w:t>
      </w:r>
      <w:r w:rsidRPr="00F30BD2">
        <w:rPr>
          <w:rFonts w:ascii="Candara" w:hAnsi="Candara"/>
        </w:rPr>
        <w:t xml:space="preserve">Wilson, </w:t>
      </w:r>
      <w:r w:rsidRPr="00F30BD2">
        <w:rPr>
          <w:rFonts w:ascii="Candara" w:hAnsi="Candara"/>
          <w:i/>
          <w:iCs/>
        </w:rPr>
        <w:t>The Policy of the Entente</w:t>
      </w:r>
      <w:r>
        <w:rPr>
          <w:rFonts w:ascii="Candara" w:hAnsi="Candara"/>
        </w:rPr>
        <w:t>, pp. 131-2.</w:t>
      </w:r>
    </w:p>
  </w:footnote>
  <w:footnote w:id="50">
    <w:p w14:paraId="4655EC39" w14:textId="2E540503" w:rsidR="000C1872" w:rsidRPr="00B153A4" w:rsidRDefault="000C1872" w:rsidP="000C1872">
      <w:pPr>
        <w:pStyle w:val="FootnoteText"/>
        <w:jc w:val="both"/>
        <w:rPr>
          <w:rFonts w:ascii="Candara" w:hAnsi="Candara"/>
        </w:rPr>
      </w:pPr>
      <w:r w:rsidRPr="00F17D34">
        <w:rPr>
          <w:rStyle w:val="FootnoteReference"/>
          <w:rFonts w:ascii="Candara" w:hAnsi="Candara"/>
        </w:rPr>
        <w:footnoteRef/>
      </w:r>
      <w:r>
        <w:t xml:space="preserve"> </w:t>
      </w:r>
      <w:r w:rsidR="00B153A4">
        <w:rPr>
          <w:rFonts w:ascii="Candara" w:hAnsi="Candara"/>
        </w:rPr>
        <w:t xml:space="preserve">Nicholas </w:t>
      </w:r>
      <w:proofErr w:type="spellStart"/>
      <w:r w:rsidR="00B153A4">
        <w:rPr>
          <w:rFonts w:ascii="Candara" w:hAnsi="Candara"/>
        </w:rPr>
        <w:t>d’Ombrain</w:t>
      </w:r>
      <w:proofErr w:type="spellEnd"/>
      <w:r w:rsidR="00B153A4">
        <w:rPr>
          <w:rFonts w:ascii="Candara" w:hAnsi="Candara"/>
        </w:rPr>
        <w:t xml:space="preserve">, ‘The Imperial General Staff and the Military Policy of a ‘Continental Strategy’ during the 1911 International Crisis’, </w:t>
      </w:r>
      <w:r w:rsidR="00B153A4">
        <w:rPr>
          <w:rFonts w:ascii="Candara" w:hAnsi="Candara"/>
          <w:i/>
          <w:iCs/>
        </w:rPr>
        <w:t>Military Affairs</w:t>
      </w:r>
      <w:r w:rsidR="00B153A4">
        <w:rPr>
          <w:rFonts w:ascii="Candara" w:hAnsi="Candara"/>
        </w:rPr>
        <w:t>, vol. 34, no. 3, (1970), 90-2.</w:t>
      </w:r>
    </w:p>
  </w:footnote>
  <w:footnote w:id="51">
    <w:p w14:paraId="695417ED" w14:textId="77777777" w:rsidR="000C1872" w:rsidRPr="002C10FC" w:rsidRDefault="000C1872" w:rsidP="000C1872">
      <w:pPr>
        <w:pStyle w:val="FootnoteText"/>
        <w:rPr>
          <w:rFonts w:ascii="Candara" w:hAnsi="Candara"/>
        </w:rPr>
      </w:pPr>
      <w:r w:rsidRPr="002C10FC">
        <w:rPr>
          <w:rStyle w:val="FootnoteReference"/>
          <w:rFonts w:ascii="Candara" w:hAnsi="Candara"/>
        </w:rPr>
        <w:footnoteRef/>
      </w:r>
      <w:r w:rsidRPr="002C10FC">
        <w:rPr>
          <w:rFonts w:ascii="Candara" w:hAnsi="Candara"/>
        </w:rPr>
        <w:t xml:space="preserve"> </w:t>
      </w:r>
      <w:r w:rsidRPr="00F30BD2">
        <w:rPr>
          <w:rFonts w:ascii="Candara" w:hAnsi="Candara"/>
        </w:rPr>
        <w:t xml:space="preserve">Wilson, </w:t>
      </w:r>
      <w:r w:rsidRPr="00F30BD2">
        <w:rPr>
          <w:rFonts w:ascii="Candara" w:hAnsi="Candara"/>
          <w:i/>
          <w:iCs/>
        </w:rPr>
        <w:t>The Policy of the Entente</w:t>
      </w:r>
      <w:r>
        <w:rPr>
          <w:rFonts w:ascii="Candara" w:hAnsi="Candara"/>
        </w:rPr>
        <w:t>, pp. 127-8.</w:t>
      </w:r>
    </w:p>
  </w:footnote>
  <w:footnote w:id="52">
    <w:p w14:paraId="5A26DB67" w14:textId="77777777" w:rsidR="000C1872" w:rsidRPr="002C10FC" w:rsidRDefault="000C1872" w:rsidP="000C1872">
      <w:pPr>
        <w:pStyle w:val="FootnoteText"/>
        <w:jc w:val="both"/>
        <w:rPr>
          <w:rFonts w:ascii="Candara" w:hAnsi="Candara"/>
        </w:rPr>
      </w:pPr>
      <w:r w:rsidRPr="002C10FC">
        <w:rPr>
          <w:rStyle w:val="FootnoteReference"/>
          <w:rFonts w:ascii="Candara" w:hAnsi="Candara"/>
        </w:rPr>
        <w:footnoteRef/>
      </w:r>
      <w:r>
        <w:rPr>
          <w:rFonts w:ascii="Candara" w:hAnsi="Candara"/>
        </w:rPr>
        <w:t xml:space="preserve"> William Philpott, </w:t>
      </w:r>
      <w:r>
        <w:rPr>
          <w:rFonts w:ascii="Candara" w:hAnsi="Candara"/>
          <w:i/>
          <w:iCs/>
        </w:rPr>
        <w:t>Anglo-French Relations and Strategy on the Western Front, 1914-18</w:t>
      </w:r>
      <w:r>
        <w:rPr>
          <w:rFonts w:ascii="Candara" w:hAnsi="Candara"/>
        </w:rPr>
        <w:t xml:space="preserve"> (Macmillan, Basingstoke, 1996), p. 19.</w:t>
      </w:r>
    </w:p>
  </w:footnote>
  <w:footnote w:id="53">
    <w:p w14:paraId="1FBBE55F" w14:textId="0CA56C52" w:rsidR="000C1872" w:rsidRPr="00985297" w:rsidRDefault="000C1872" w:rsidP="000C1872">
      <w:pPr>
        <w:pStyle w:val="FootnoteText"/>
        <w:jc w:val="both"/>
        <w:rPr>
          <w:rFonts w:ascii="Candara" w:hAnsi="Candara"/>
        </w:rPr>
      </w:pPr>
      <w:r w:rsidRPr="00985297">
        <w:rPr>
          <w:rStyle w:val="FootnoteReference"/>
          <w:rFonts w:ascii="Candara" w:hAnsi="Candara"/>
        </w:rPr>
        <w:footnoteRef/>
      </w:r>
      <w:r w:rsidRPr="00985297">
        <w:rPr>
          <w:rFonts w:ascii="Candara" w:hAnsi="Candara"/>
        </w:rPr>
        <w:t xml:space="preserve"> </w:t>
      </w:r>
      <w:r>
        <w:rPr>
          <w:rFonts w:ascii="Candara" w:hAnsi="Candara"/>
        </w:rPr>
        <w:t xml:space="preserve">Williamson Jr, </w:t>
      </w:r>
      <w:r>
        <w:rPr>
          <w:rFonts w:ascii="Candara" w:hAnsi="Candara"/>
          <w:i/>
          <w:iCs/>
        </w:rPr>
        <w:t>The Politics of Grand Strategy</w:t>
      </w:r>
      <w:r>
        <w:rPr>
          <w:rFonts w:ascii="Candara" w:hAnsi="Candara"/>
        </w:rPr>
        <w:t>, pp. 86-8.</w:t>
      </w:r>
    </w:p>
  </w:footnote>
  <w:footnote w:id="54">
    <w:p w14:paraId="065B3705" w14:textId="77777777" w:rsidR="000C1872" w:rsidRPr="000A5DFF" w:rsidRDefault="000C1872" w:rsidP="000C1872">
      <w:pPr>
        <w:pStyle w:val="FootnoteText"/>
        <w:jc w:val="both"/>
        <w:rPr>
          <w:rFonts w:ascii="Candara" w:hAnsi="Candara"/>
        </w:rPr>
      </w:pPr>
      <w:r w:rsidRPr="000A5DFF">
        <w:rPr>
          <w:rStyle w:val="FootnoteReference"/>
          <w:rFonts w:ascii="Candara" w:hAnsi="Candara"/>
        </w:rPr>
        <w:footnoteRef/>
      </w:r>
      <w:r w:rsidRPr="000A5DFF">
        <w:rPr>
          <w:rFonts w:ascii="Candara" w:hAnsi="Candara"/>
        </w:rPr>
        <w:t xml:space="preserve"> Keith Nielson, ‘Great Britain’, in R.F. Hamilton and Holger Herwig (eds.), </w:t>
      </w:r>
      <w:r w:rsidRPr="000A5DFF">
        <w:rPr>
          <w:rFonts w:ascii="Candara" w:hAnsi="Candara"/>
          <w:i/>
          <w:iCs/>
        </w:rPr>
        <w:t>War Planning 1914</w:t>
      </w:r>
      <w:r w:rsidRPr="000A5DFF">
        <w:rPr>
          <w:rFonts w:ascii="Candara" w:hAnsi="Candara"/>
        </w:rPr>
        <w:t xml:space="preserve"> (Cambridge University Press, Cambridge, 2010), p. 191; &amp; Wilson, </w:t>
      </w:r>
      <w:r w:rsidRPr="000A5DFF">
        <w:rPr>
          <w:rFonts w:ascii="Candara" w:hAnsi="Candara"/>
          <w:i/>
          <w:iCs/>
        </w:rPr>
        <w:t>The Policy of the Entente</w:t>
      </w:r>
      <w:r w:rsidRPr="000A5DFF">
        <w:rPr>
          <w:rFonts w:ascii="Candara" w:hAnsi="Candara"/>
        </w:rPr>
        <w:t>, p. 134.</w:t>
      </w:r>
    </w:p>
  </w:footnote>
  <w:footnote w:id="55">
    <w:p w14:paraId="745A758F" w14:textId="77777777" w:rsidR="000C1872" w:rsidRPr="009E73A2" w:rsidRDefault="000C1872" w:rsidP="000C1872">
      <w:pPr>
        <w:pStyle w:val="FootnoteText"/>
        <w:rPr>
          <w:rFonts w:ascii="Candara" w:hAnsi="Candara"/>
        </w:rPr>
      </w:pPr>
      <w:r w:rsidRPr="009E73A2">
        <w:rPr>
          <w:rStyle w:val="FootnoteReference"/>
          <w:rFonts w:ascii="Candara" w:hAnsi="Candara"/>
        </w:rPr>
        <w:footnoteRef/>
      </w:r>
      <w:r w:rsidRPr="009E73A2">
        <w:rPr>
          <w:rFonts w:ascii="Candara" w:hAnsi="Candara"/>
        </w:rPr>
        <w:t xml:space="preserve"> J. Steinberg, ‘A German Plan for the Invasion of Holland and Belgium, 1897’, in Paul M. Kennedy (ed.), </w:t>
      </w:r>
      <w:r w:rsidRPr="009E73A2">
        <w:rPr>
          <w:rFonts w:ascii="Candara" w:hAnsi="Candara"/>
          <w:i/>
          <w:iCs/>
        </w:rPr>
        <w:t>The War Plans of the Great Powers 1880-1914</w:t>
      </w:r>
      <w:r w:rsidRPr="009E73A2">
        <w:rPr>
          <w:rFonts w:ascii="Candara" w:hAnsi="Candara"/>
        </w:rPr>
        <w:t>, (Urwin Hyman, London, 1988), pp. 155-70.</w:t>
      </w:r>
    </w:p>
  </w:footnote>
  <w:footnote w:id="56">
    <w:p w14:paraId="4D5CD85F" w14:textId="77777777" w:rsidR="000C1872" w:rsidRPr="00236D13" w:rsidRDefault="000C1872" w:rsidP="000C1872">
      <w:pPr>
        <w:pStyle w:val="FootnoteText"/>
        <w:jc w:val="both"/>
        <w:rPr>
          <w:rFonts w:ascii="Candara" w:hAnsi="Candara"/>
        </w:rPr>
      </w:pPr>
      <w:r w:rsidRPr="00236D13">
        <w:rPr>
          <w:rStyle w:val="FootnoteReference"/>
          <w:rFonts w:ascii="Candara" w:hAnsi="Candara"/>
        </w:rPr>
        <w:footnoteRef/>
      </w:r>
      <w:r w:rsidRPr="00236D13">
        <w:rPr>
          <w:rFonts w:ascii="Candara" w:hAnsi="Candara"/>
        </w:rPr>
        <w:t xml:space="preserve"> </w:t>
      </w:r>
      <w:r>
        <w:rPr>
          <w:rFonts w:ascii="Candara" w:hAnsi="Candara"/>
        </w:rPr>
        <w:t xml:space="preserve">Maartje Abbenhuis, </w:t>
      </w:r>
      <w:r>
        <w:rPr>
          <w:rFonts w:ascii="Candara" w:hAnsi="Candara"/>
          <w:i/>
          <w:iCs/>
        </w:rPr>
        <w:t>An Age of Neutrals: Great Power Politics, 1815-1914</w:t>
      </w:r>
      <w:r>
        <w:rPr>
          <w:rFonts w:ascii="Candara" w:hAnsi="Candara"/>
        </w:rPr>
        <w:t xml:space="preserve"> (Cambridge University Press, Cambridge, 2014).</w:t>
      </w:r>
    </w:p>
  </w:footnote>
  <w:footnote w:id="57">
    <w:p w14:paraId="7DE5A43A" w14:textId="77777777" w:rsidR="000C1872" w:rsidRPr="000A5DFF" w:rsidRDefault="000C1872" w:rsidP="000C1872">
      <w:pPr>
        <w:pStyle w:val="FootnoteText"/>
        <w:jc w:val="both"/>
      </w:pPr>
      <w:r w:rsidRPr="000A5DFF">
        <w:rPr>
          <w:rStyle w:val="FootnoteReference"/>
          <w:rFonts w:ascii="Candara" w:hAnsi="Candara"/>
        </w:rPr>
        <w:footnoteRef/>
      </w:r>
      <w:r w:rsidRPr="000A5DFF">
        <w:rPr>
          <w:rFonts w:ascii="Candara" w:hAnsi="Candara"/>
        </w:rPr>
        <w:t xml:space="preserve"> Mario Draper, </w:t>
      </w:r>
      <w:r w:rsidRPr="000A5DFF">
        <w:rPr>
          <w:rFonts w:ascii="Candara" w:hAnsi="Candara"/>
          <w:i/>
          <w:iCs/>
        </w:rPr>
        <w:t>The Belgian Army and Society from Independence to the Great War</w:t>
      </w:r>
      <w:r w:rsidRPr="000A5DFF">
        <w:rPr>
          <w:rFonts w:ascii="Candara" w:hAnsi="Candara"/>
        </w:rPr>
        <w:t xml:space="preserve"> (Palgrave Macmillan, Cham, 2018), p. 87.</w:t>
      </w:r>
    </w:p>
  </w:footnote>
  <w:footnote w:id="58">
    <w:p w14:paraId="6DDA3E9A" w14:textId="77777777" w:rsidR="000C1872" w:rsidRPr="000A5DFF" w:rsidRDefault="000C1872" w:rsidP="000C1872">
      <w:pPr>
        <w:pStyle w:val="FootnoteText"/>
        <w:tabs>
          <w:tab w:val="left" w:pos="2467"/>
        </w:tabs>
        <w:jc w:val="both"/>
        <w:rPr>
          <w:rFonts w:ascii="Candara" w:hAnsi="Candara"/>
        </w:rPr>
      </w:pPr>
      <w:r w:rsidRPr="000A5DFF">
        <w:rPr>
          <w:rStyle w:val="FootnoteReference"/>
          <w:rFonts w:ascii="Candara" w:hAnsi="Candara"/>
        </w:rPr>
        <w:footnoteRef/>
      </w:r>
      <w:r w:rsidRPr="000A5DFF">
        <w:rPr>
          <w:rFonts w:ascii="Candara" w:hAnsi="Candara"/>
        </w:rPr>
        <w:t xml:space="preserve"> J. E. Kaufmann and H. W. Kaufmann, </w:t>
      </w:r>
      <w:r w:rsidRPr="000A5DFF">
        <w:rPr>
          <w:rFonts w:ascii="Candara" w:hAnsi="Candara"/>
          <w:i/>
          <w:iCs/>
        </w:rPr>
        <w:t>The Forts and Fortifications of Europe 1815–1945. The Neutral States: The Netherlands, Belgium and Switzerland</w:t>
      </w:r>
      <w:r w:rsidRPr="000A5DFF">
        <w:rPr>
          <w:rFonts w:ascii="Candara" w:hAnsi="Candara"/>
        </w:rPr>
        <w:t xml:space="preserve"> (Barnsley: Pen &amp; Sword, 2014), pp. 85–90. For the effects of German artillery on these forts in 1914, see Luc De Vos, </w:t>
      </w:r>
      <w:r w:rsidRPr="000A5DFF">
        <w:rPr>
          <w:rFonts w:ascii="Candara" w:hAnsi="Candara"/>
          <w:i/>
          <w:iCs/>
        </w:rPr>
        <w:t>La Première Guerre Mondiale</w:t>
      </w:r>
      <w:r w:rsidRPr="000A5DFF">
        <w:rPr>
          <w:rFonts w:ascii="Candara" w:hAnsi="Candara"/>
        </w:rPr>
        <w:t xml:space="preserve"> (Braine-</w:t>
      </w:r>
      <w:proofErr w:type="spellStart"/>
      <w:r w:rsidRPr="000A5DFF">
        <w:rPr>
          <w:rFonts w:ascii="Candara" w:hAnsi="Candara"/>
        </w:rPr>
        <w:t>l’Alleud</w:t>
      </w:r>
      <w:proofErr w:type="spellEnd"/>
      <w:r w:rsidRPr="000A5DFF">
        <w:rPr>
          <w:rFonts w:ascii="Candara" w:hAnsi="Candara"/>
        </w:rPr>
        <w:t>: J.M. Collet, 1997), p. 30.</w:t>
      </w:r>
      <w:r w:rsidRPr="000A5DFF">
        <w:rPr>
          <w:rFonts w:ascii="Candara" w:hAnsi="Candara"/>
        </w:rPr>
        <w:tab/>
      </w:r>
    </w:p>
  </w:footnote>
  <w:footnote w:id="59">
    <w:p w14:paraId="68A08B9C" w14:textId="77777777" w:rsidR="000C1872" w:rsidRPr="000A5DFF" w:rsidRDefault="000C1872" w:rsidP="000C1872">
      <w:pPr>
        <w:pStyle w:val="FootnoteText"/>
        <w:jc w:val="both"/>
        <w:rPr>
          <w:rFonts w:ascii="Candara" w:hAnsi="Candara"/>
        </w:rPr>
      </w:pPr>
      <w:r w:rsidRPr="000A5DFF">
        <w:rPr>
          <w:rStyle w:val="FootnoteReference"/>
          <w:rFonts w:ascii="Candara" w:hAnsi="Candara"/>
        </w:rPr>
        <w:footnoteRef/>
      </w:r>
      <w:r w:rsidRPr="000A5DFF">
        <w:rPr>
          <w:rFonts w:ascii="Candara" w:hAnsi="Candara"/>
        </w:rPr>
        <w:t xml:space="preserve"> Mario Draper, ‘The Legacy of the Franco-Prussian War on Belgian Neutrality’, in Karine Varley (ed.), </w:t>
      </w:r>
      <w:r w:rsidRPr="000A5DFF">
        <w:rPr>
          <w:rFonts w:ascii="Candara" w:hAnsi="Candara"/>
          <w:i/>
          <w:iCs/>
        </w:rPr>
        <w:t>The Franco-Prussian War: Turning-Points in European Experiences and Perceptions of Military Conflict</w:t>
      </w:r>
      <w:r w:rsidRPr="000A5DFF">
        <w:rPr>
          <w:rFonts w:ascii="Candara" w:hAnsi="Candara"/>
        </w:rPr>
        <w:t xml:space="preserve"> (Routledge, Abingdon, 2024), pp. 27-39.</w:t>
      </w:r>
    </w:p>
  </w:footnote>
  <w:footnote w:id="60">
    <w:p w14:paraId="7218CEA3" w14:textId="77777777" w:rsidR="000C1872" w:rsidRPr="000A5DFF" w:rsidRDefault="000C1872" w:rsidP="000C1872">
      <w:pPr>
        <w:pStyle w:val="FootnoteText"/>
        <w:jc w:val="both"/>
        <w:rPr>
          <w:rFonts w:ascii="Candara" w:hAnsi="Candara"/>
        </w:rPr>
      </w:pPr>
      <w:r w:rsidRPr="000A5DFF">
        <w:rPr>
          <w:rStyle w:val="FootnoteReference"/>
          <w:rFonts w:ascii="Candara" w:hAnsi="Candara"/>
        </w:rPr>
        <w:footnoteRef/>
      </w:r>
      <w:r w:rsidRPr="000A5DFF">
        <w:rPr>
          <w:rFonts w:ascii="Candara" w:hAnsi="Candara"/>
        </w:rPr>
        <w:t xml:space="preserve"> David Stevenson, ‘Fortifications and the European Balance before 1914’, </w:t>
      </w:r>
      <w:r w:rsidRPr="000A5DFF">
        <w:rPr>
          <w:rFonts w:ascii="Candara" w:hAnsi="Candara"/>
          <w:i/>
          <w:iCs/>
        </w:rPr>
        <w:t>The Journal of Strategic Studies</w:t>
      </w:r>
      <w:r w:rsidRPr="000A5DFF">
        <w:rPr>
          <w:rFonts w:ascii="Candara" w:hAnsi="Candara"/>
        </w:rPr>
        <w:t>, vol. 35, no. 6, (2012), p. 845.</w:t>
      </w:r>
    </w:p>
  </w:footnote>
  <w:footnote w:id="61">
    <w:p w14:paraId="3CBC43CB" w14:textId="77777777" w:rsidR="000C1872" w:rsidRPr="000A5DFF" w:rsidRDefault="000C1872" w:rsidP="000C1872">
      <w:pPr>
        <w:pStyle w:val="FootnoteText"/>
        <w:jc w:val="both"/>
        <w:rPr>
          <w:rFonts w:ascii="Candara" w:hAnsi="Candara"/>
        </w:rPr>
      </w:pPr>
      <w:r w:rsidRPr="000A5DFF">
        <w:rPr>
          <w:rStyle w:val="FootnoteReference"/>
          <w:rFonts w:ascii="Candara" w:hAnsi="Candara"/>
        </w:rPr>
        <w:footnoteRef/>
      </w:r>
      <w:r w:rsidRPr="000A5DFF">
        <w:rPr>
          <w:rFonts w:ascii="Candara" w:hAnsi="Candara"/>
        </w:rPr>
        <w:t xml:space="preserve"> </w:t>
      </w:r>
      <w:r w:rsidRPr="000A5DFF">
        <w:rPr>
          <w:rFonts w:ascii="Candara" w:hAnsi="Candara"/>
          <w:i/>
          <w:iCs/>
        </w:rPr>
        <w:t xml:space="preserve">La Belgique </w:t>
      </w:r>
      <w:proofErr w:type="spellStart"/>
      <w:r w:rsidRPr="000A5DFF">
        <w:rPr>
          <w:rFonts w:ascii="Candara" w:hAnsi="Candara"/>
          <w:i/>
          <w:iCs/>
        </w:rPr>
        <w:t>Militaire</w:t>
      </w:r>
      <w:proofErr w:type="spellEnd"/>
      <w:r w:rsidRPr="000A5DFF">
        <w:rPr>
          <w:rFonts w:ascii="Candara" w:hAnsi="Candara"/>
        </w:rPr>
        <w:t>, 19 September 1886, p. 360.</w:t>
      </w:r>
    </w:p>
  </w:footnote>
  <w:footnote w:id="62">
    <w:p w14:paraId="1D8190E6" w14:textId="5123EDC4" w:rsidR="000C1872" w:rsidRPr="005C211A" w:rsidRDefault="000C1872" w:rsidP="000C1872">
      <w:pPr>
        <w:pStyle w:val="FootnoteText"/>
        <w:jc w:val="both"/>
      </w:pPr>
      <w:r w:rsidRPr="000A5DFF">
        <w:rPr>
          <w:rStyle w:val="FootnoteReference"/>
          <w:rFonts w:ascii="Candara" w:hAnsi="Candara"/>
        </w:rPr>
        <w:footnoteRef/>
      </w:r>
      <w:r w:rsidRPr="000A5DFF">
        <w:rPr>
          <w:rFonts w:ascii="Candara" w:hAnsi="Candara"/>
        </w:rPr>
        <w:t xml:space="preserve"> Baron Van der Elst, ‘La </w:t>
      </w:r>
      <w:proofErr w:type="spellStart"/>
      <w:r w:rsidRPr="000A5DFF">
        <w:rPr>
          <w:rFonts w:ascii="Candara" w:hAnsi="Candara"/>
        </w:rPr>
        <w:t>Préméditation</w:t>
      </w:r>
      <w:proofErr w:type="spellEnd"/>
      <w:r w:rsidRPr="000A5DFF">
        <w:rPr>
          <w:rFonts w:ascii="Candara" w:hAnsi="Candara"/>
        </w:rPr>
        <w:t xml:space="preserve"> de </w:t>
      </w:r>
      <w:proofErr w:type="spellStart"/>
      <w:r w:rsidRPr="000A5DFF">
        <w:rPr>
          <w:rFonts w:ascii="Candara" w:hAnsi="Candara"/>
        </w:rPr>
        <w:t>l’Allemagne</w:t>
      </w:r>
      <w:proofErr w:type="spellEnd"/>
      <w:r w:rsidRPr="000A5DFF">
        <w:rPr>
          <w:rFonts w:ascii="Candara" w:hAnsi="Candara"/>
        </w:rPr>
        <w:t xml:space="preserve">’, </w:t>
      </w:r>
      <w:r w:rsidRPr="0094735F">
        <w:rPr>
          <w:rFonts w:ascii="Candara" w:hAnsi="Candara"/>
          <w:i/>
          <w:iCs/>
        </w:rPr>
        <w:t>La Revue de Paris</w:t>
      </w:r>
      <w:r w:rsidRPr="000A5DFF">
        <w:rPr>
          <w:rFonts w:ascii="Candara" w:hAnsi="Candara"/>
        </w:rPr>
        <w:t xml:space="preserve">, vol. 2, (1923), 530–1; &amp; Daniel H. Thomas, </w:t>
      </w:r>
      <w:r w:rsidRPr="000A5DFF">
        <w:rPr>
          <w:rFonts w:ascii="Candara" w:hAnsi="Candara"/>
          <w:i/>
          <w:iCs/>
        </w:rPr>
        <w:t>The Guarantee of Belgian Independence and Neutrality in European Diplomacy, 1830’s-1930s</w:t>
      </w:r>
      <w:r w:rsidRPr="000A5DFF">
        <w:rPr>
          <w:rFonts w:ascii="Candara" w:hAnsi="Candara"/>
        </w:rPr>
        <w:t xml:space="preserve"> (D.H. Thomas Publishing, Kingston, RI, 1983), p. 441.</w:t>
      </w:r>
      <w:r>
        <w:rPr>
          <w:rFonts w:ascii="Candara" w:hAnsi="Candara"/>
        </w:rPr>
        <w:t xml:space="preserve"> Others have demonstrated that Germany harboured similar fears regarding the influence of French culture in Wallonia. See, Jean </w:t>
      </w:r>
      <w:proofErr w:type="spellStart"/>
      <w:r>
        <w:rPr>
          <w:rFonts w:ascii="Candara" w:hAnsi="Candara"/>
        </w:rPr>
        <w:t>Stengers</w:t>
      </w:r>
      <w:proofErr w:type="spellEnd"/>
      <w:r>
        <w:rPr>
          <w:rFonts w:ascii="Candara" w:hAnsi="Candara"/>
        </w:rPr>
        <w:t xml:space="preserve">, ‘Belgium’, in Keith Wilson (ed.), </w:t>
      </w:r>
      <w:r>
        <w:rPr>
          <w:rFonts w:ascii="Candara" w:hAnsi="Candara"/>
          <w:i/>
          <w:iCs/>
        </w:rPr>
        <w:t>Decisions for War 1914</w:t>
      </w:r>
      <w:r>
        <w:rPr>
          <w:rFonts w:ascii="Candara" w:hAnsi="Candara"/>
        </w:rPr>
        <w:t xml:space="preserve"> (Routledge, London, 1995), pp. 155-6.</w:t>
      </w:r>
    </w:p>
  </w:footnote>
  <w:footnote w:id="63">
    <w:p w14:paraId="0EA08C58" w14:textId="5586F975" w:rsidR="000C1872" w:rsidRPr="00853D85" w:rsidRDefault="000C1872" w:rsidP="000C1872">
      <w:pPr>
        <w:pStyle w:val="FootnoteText"/>
        <w:jc w:val="both"/>
        <w:rPr>
          <w:rFonts w:ascii="Candara" w:hAnsi="Candara"/>
        </w:rPr>
      </w:pPr>
      <w:r w:rsidRPr="00853D85">
        <w:rPr>
          <w:rStyle w:val="FootnoteReference"/>
          <w:rFonts w:ascii="Candara" w:hAnsi="Candara"/>
        </w:rPr>
        <w:footnoteRef/>
      </w:r>
      <w:r w:rsidRPr="00853D85">
        <w:rPr>
          <w:rFonts w:ascii="Candara" w:hAnsi="Candara"/>
        </w:rPr>
        <w:t xml:space="preserve"> Mary E. Thomas, ‘Anglo-Belgian Military Relations and the Congo Question, 1911–1913’, </w:t>
      </w:r>
      <w:r w:rsidRPr="00853D85">
        <w:rPr>
          <w:rFonts w:ascii="Candara" w:hAnsi="Candara"/>
          <w:i/>
          <w:iCs/>
        </w:rPr>
        <w:t>Journal of Modern History</w:t>
      </w:r>
      <w:r w:rsidRPr="00853D85">
        <w:rPr>
          <w:rFonts w:ascii="Candara" w:hAnsi="Candara"/>
        </w:rPr>
        <w:t>,</w:t>
      </w:r>
      <w:r>
        <w:rPr>
          <w:rFonts w:ascii="Candara" w:hAnsi="Candara"/>
        </w:rPr>
        <w:t xml:space="preserve"> vol.</w:t>
      </w:r>
      <w:r w:rsidRPr="00853D85">
        <w:rPr>
          <w:rFonts w:ascii="Candara" w:hAnsi="Candara"/>
        </w:rPr>
        <w:t xml:space="preserve"> 25</w:t>
      </w:r>
      <w:r>
        <w:rPr>
          <w:rFonts w:ascii="Candara" w:hAnsi="Candara"/>
        </w:rPr>
        <w:t>,</w:t>
      </w:r>
      <w:r w:rsidRPr="00853D85">
        <w:rPr>
          <w:rFonts w:ascii="Candara" w:hAnsi="Candara"/>
        </w:rPr>
        <w:t xml:space="preserve"> (1953), 159</w:t>
      </w:r>
      <w:r>
        <w:rPr>
          <w:rFonts w:ascii="Candara" w:hAnsi="Candara"/>
        </w:rPr>
        <w:t xml:space="preserve">. Morel subsequently accused Sir Edward Grey of sacrificing the Congo question for the benefit of Anglo-Belgian military conversations. See, Thomas Packenham, </w:t>
      </w:r>
      <w:r w:rsidRPr="00853D85">
        <w:rPr>
          <w:rFonts w:ascii="Candara" w:hAnsi="Candara"/>
          <w:i/>
          <w:iCs/>
        </w:rPr>
        <w:t>The Scramble for Africa 1876–1912</w:t>
      </w:r>
      <w:r w:rsidRPr="00853D85">
        <w:rPr>
          <w:rFonts w:ascii="Candara" w:hAnsi="Candara"/>
        </w:rPr>
        <w:t xml:space="preserve"> (New York, Avon, 1991</w:t>
      </w:r>
      <w:r>
        <w:rPr>
          <w:rFonts w:ascii="Candara" w:hAnsi="Candara"/>
        </w:rPr>
        <w:t>), p. 668.</w:t>
      </w:r>
    </w:p>
  </w:footnote>
  <w:footnote w:id="64">
    <w:p w14:paraId="4034B5B4" w14:textId="1B4724B7" w:rsidR="000C1872" w:rsidRPr="00B566F7" w:rsidRDefault="000C1872" w:rsidP="000C1872">
      <w:pPr>
        <w:pStyle w:val="FootnoteText"/>
        <w:jc w:val="both"/>
        <w:rPr>
          <w:rFonts w:ascii="Candara" w:hAnsi="Candara"/>
        </w:rPr>
      </w:pPr>
      <w:r w:rsidRPr="00B566F7">
        <w:rPr>
          <w:rStyle w:val="FootnoteReference"/>
          <w:rFonts w:ascii="Candara" w:hAnsi="Candara"/>
        </w:rPr>
        <w:footnoteRef/>
      </w:r>
      <w:r w:rsidRPr="00B566F7">
        <w:rPr>
          <w:rFonts w:ascii="Candara" w:hAnsi="Candara"/>
        </w:rPr>
        <w:t xml:space="preserve"> </w:t>
      </w:r>
      <w:r>
        <w:rPr>
          <w:rFonts w:ascii="Candara" w:hAnsi="Candara"/>
        </w:rPr>
        <w:t>Draper, “Are We Ready?</w:t>
      </w:r>
      <w:r w:rsidR="0094735F">
        <w:rPr>
          <w:rFonts w:ascii="Candara" w:hAnsi="Candara"/>
        </w:rPr>
        <w:t>”</w:t>
      </w:r>
      <w:r>
        <w:rPr>
          <w:rFonts w:ascii="Candara" w:hAnsi="Candara"/>
        </w:rPr>
        <w:t>, 1228.</w:t>
      </w:r>
    </w:p>
  </w:footnote>
  <w:footnote w:id="65">
    <w:p w14:paraId="412B9AE6" w14:textId="15F21E5C" w:rsidR="000C1872" w:rsidRPr="00B41679" w:rsidRDefault="000C1872" w:rsidP="000C1872">
      <w:pPr>
        <w:pStyle w:val="FootnoteText"/>
        <w:rPr>
          <w:rFonts w:ascii="Candara" w:hAnsi="Candara"/>
        </w:rPr>
      </w:pPr>
      <w:r w:rsidRPr="00B41679">
        <w:rPr>
          <w:rStyle w:val="FootnoteReference"/>
          <w:rFonts w:ascii="Candara" w:hAnsi="Candara"/>
        </w:rPr>
        <w:footnoteRef/>
      </w:r>
      <w:r w:rsidRPr="00B41679">
        <w:rPr>
          <w:rFonts w:ascii="Candara" w:hAnsi="Candara"/>
        </w:rPr>
        <w:t xml:space="preserve"> </w:t>
      </w:r>
      <w:r>
        <w:rPr>
          <w:rFonts w:ascii="Candara" w:hAnsi="Candara"/>
        </w:rPr>
        <w:t>Ibid., 1226-30.</w:t>
      </w:r>
    </w:p>
  </w:footnote>
  <w:footnote w:id="66">
    <w:p w14:paraId="40E24198" w14:textId="77777777" w:rsidR="000C1872" w:rsidRPr="00CB2AD7" w:rsidRDefault="000C1872" w:rsidP="000C1872">
      <w:pPr>
        <w:pStyle w:val="FootnoteText"/>
        <w:rPr>
          <w:rFonts w:ascii="Candara" w:hAnsi="Candara"/>
        </w:rPr>
      </w:pPr>
      <w:r w:rsidRPr="00CB2AD7">
        <w:rPr>
          <w:rStyle w:val="FootnoteReference"/>
          <w:rFonts w:ascii="Candara" w:hAnsi="Candara"/>
        </w:rPr>
        <w:footnoteRef/>
      </w:r>
      <w:r w:rsidRPr="00CB2AD7">
        <w:rPr>
          <w:rFonts w:ascii="Candara" w:hAnsi="Candara"/>
        </w:rPr>
        <w:t xml:space="preserve"> </w:t>
      </w:r>
      <w:r w:rsidRPr="00FC1456">
        <w:rPr>
          <w:rFonts w:ascii="Candara" w:hAnsi="Candara"/>
        </w:rPr>
        <w:t xml:space="preserve">Strachan, </w:t>
      </w:r>
      <w:r w:rsidRPr="00FC1456">
        <w:rPr>
          <w:rFonts w:ascii="Candara" w:hAnsi="Candara"/>
          <w:i/>
          <w:iCs/>
        </w:rPr>
        <w:t>The First World War</w:t>
      </w:r>
      <w:r w:rsidRPr="00FC1456">
        <w:rPr>
          <w:rFonts w:ascii="Candara" w:hAnsi="Candara"/>
        </w:rPr>
        <w:t>, p</w:t>
      </w:r>
      <w:r>
        <w:rPr>
          <w:rFonts w:ascii="Candara" w:hAnsi="Candara"/>
        </w:rPr>
        <w:t>. 208.</w:t>
      </w:r>
    </w:p>
  </w:footnote>
  <w:footnote w:id="67">
    <w:p w14:paraId="42FB4E78" w14:textId="77777777" w:rsidR="000C1872" w:rsidRPr="000256E1" w:rsidRDefault="000C1872" w:rsidP="000C1872">
      <w:pPr>
        <w:pStyle w:val="FootnoteText"/>
        <w:jc w:val="both"/>
        <w:rPr>
          <w:rFonts w:ascii="Candara" w:hAnsi="Candara"/>
        </w:rPr>
      </w:pPr>
      <w:r w:rsidRPr="000256E1">
        <w:rPr>
          <w:rStyle w:val="FootnoteReference"/>
          <w:rFonts w:ascii="Candara" w:hAnsi="Candara"/>
        </w:rPr>
        <w:footnoteRef/>
      </w:r>
      <w:r w:rsidRPr="000256E1">
        <w:rPr>
          <w:rFonts w:ascii="Candara" w:hAnsi="Candara"/>
        </w:rPr>
        <w:t xml:space="preserve"> </w:t>
      </w:r>
      <w:r>
        <w:rPr>
          <w:rFonts w:ascii="Candara" w:hAnsi="Candara"/>
        </w:rPr>
        <w:t xml:space="preserve">Ian F.W. Beckett, </w:t>
      </w:r>
      <w:r>
        <w:rPr>
          <w:rFonts w:ascii="Candara" w:hAnsi="Candara"/>
          <w:i/>
          <w:iCs/>
        </w:rPr>
        <w:t>The Making of the First World War</w:t>
      </w:r>
      <w:r>
        <w:rPr>
          <w:rFonts w:ascii="Candara" w:hAnsi="Candara"/>
        </w:rPr>
        <w:t xml:space="preserve"> (Yale University Press, New Haven and London, 2012), pp.14-15.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872"/>
    <w:rsid w:val="000C1872"/>
    <w:rsid w:val="000E29C8"/>
    <w:rsid w:val="001151EE"/>
    <w:rsid w:val="001A514B"/>
    <w:rsid w:val="00207B67"/>
    <w:rsid w:val="00241BED"/>
    <w:rsid w:val="003B7A50"/>
    <w:rsid w:val="003D30B7"/>
    <w:rsid w:val="003D5270"/>
    <w:rsid w:val="004A2BE4"/>
    <w:rsid w:val="00507470"/>
    <w:rsid w:val="00514F7D"/>
    <w:rsid w:val="0064708D"/>
    <w:rsid w:val="0065396D"/>
    <w:rsid w:val="007346E6"/>
    <w:rsid w:val="008135D2"/>
    <w:rsid w:val="00886552"/>
    <w:rsid w:val="008C0E1D"/>
    <w:rsid w:val="008C234B"/>
    <w:rsid w:val="0094735F"/>
    <w:rsid w:val="009D1355"/>
    <w:rsid w:val="00A4111E"/>
    <w:rsid w:val="00B153A4"/>
    <w:rsid w:val="00BE4EC4"/>
    <w:rsid w:val="00BF30EF"/>
    <w:rsid w:val="00C35B72"/>
    <w:rsid w:val="00C55333"/>
    <w:rsid w:val="00DE4C4E"/>
    <w:rsid w:val="00DE7E18"/>
    <w:rsid w:val="00FD76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FC9DA"/>
  <w15:chartTrackingRefBased/>
  <w15:docId w15:val="{85BA809C-27AC-9B4D-9A9E-9E8FFAB5C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1872"/>
  </w:style>
  <w:style w:type="paragraph" w:styleId="Heading1">
    <w:name w:val="heading 1"/>
    <w:basedOn w:val="Normal"/>
    <w:next w:val="Normal"/>
    <w:link w:val="Heading1Char"/>
    <w:uiPriority w:val="9"/>
    <w:qFormat/>
    <w:rsid w:val="000C18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18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18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18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18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18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18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18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18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18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18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18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18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18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18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18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18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1872"/>
    <w:rPr>
      <w:rFonts w:eastAsiaTheme="majorEastAsia" w:cstheme="majorBidi"/>
      <w:color w:val="272727" w:themeColor="text1" w:themeTint="D8"/>
    </w:rPr>
  </w:style>
  <w:style w:type="paragraph" w:styleId="Title">
    <w:name w:val="Title"/>
    <w:basedOn w:val="Normal"/>
    <w:next w:val="Normal"/>
    <w:link w:val="TitleChar"/>
    <w:uiPriority w:val="10"/>
    <w:qFormat/>
    <w:rsid w:val="000C18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18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18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18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1872"/>
    <w:pPr>
      <w:spacing w:before="160"/>
      <w:jc w:val="center"/>
    </w:pPr>
    <w:rPr>
      <w:i/>
      <w:iCs/>
      <w:color w:val="404040" w:themeColor="text1" w:themeTint="BF"/>
    </w:rPr>
  </w:style>
  <w:style w:type="character" w:customStyle="1" w:styleId="QuoteChar">
    <w:name w:val="Quote Char"/>
    <w:basedOn w:val="DefaultParagraphFont"/>
    <w:link w:val="Quote"/>
    <w:uiPriority w:val="29"/>
    <w:rsid w:val="000C1872"/>
    <w:rPr>
      <w:i/>
      <w:iCs/>
      <w:color w:val="404040" w:themeColor="text1" w:themeTint="BF"/>
    </w:rPr>
  </w:style>
  <w:style w:type="paragraph" w:styleId="ListParagraph">
    <w:name w:val="List Paragraph"/>
    <w:basedOn w:val="Normal"/>
    <w:uiPriority w:val="34"/>
    <w:qFormat/>
    <w:rsid w:val="000C1872"/>
    <w:pPr>
      <w:ind w:left="720"/>
      <w:contextualSpacing/>
    </w:pPr>
  </w:style>
  <w:style w:type="character" w:styleId="IntenseEmphasis">
    <w:name w:val="Intense Emphasis"/>
    <w:basedOn w:val="DefaultParagraphFont"/>
    <w:uiPriority w:val="21"/>
    <w:qFormat/>
    <w:rsid w:val="000C1872"/>
    <w:rPr>
      <w:i/>
      <w:iCs/>
      <w:color w:val="0F4761" w:themeColor="accent1" w:themeShade="BF"/>
    </w:rPr>
  </w:style>
  <w:style w:type="paragraph" w:styleId="IntenseQuote">
    <w:name w:val="Intense Quote"/>
    <w:basedOn w:val="Normal"/>
    <w:next w:val="Normal"/>
    <w:link w:val="IntenseQuoteChar"/>
    <w:uiPriority w:val="30"/>
    <w:qFormat/>
    <w:rsid w:val="000C18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1872"/>
    <w:rPr>
      <w:i/>
      <w:iCs/>
      <w:color w:val="0F4761" w:themeColor="accent1" w:themeShade="BF"/>
    </w:rPr>
  </w:style>
  <w:style w:type="character" w:styleId="IntenseReference">
    <w:name w:val="Intense Reference"/>
    <w:basedOn w:val="DefaultParagraphFont"/>
    <w:uiPriority w:val="32"/>
    <w:qFormat/>
    <w:rsid w:val="000C1872"/>
    <w:rPr>
      <w:b/>
      <w:bCs/>
      <w:smallCaps/>
      <w:color w:val="0F4761" w:themeColor="accent1" w:themeShade="BF"/>
      <w:spacing w:val="5"/>
    </w:rPr>
  </w:style>
  <w:style w:type="paragraph" w:styleId="FootnoteText">
    <w:name w:val="footnote text"/>
    <w:basedOn w:val="Normal"/>
    <w:link w:val="FootnoteTextChar"/>
    <w:uiPriority w:val="99"/>
    <w:semiHidden/>
    <w:unhideWhenUsed/>
    <w:rsid w:val="000C18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1872"/>
    <w:rPr>
      <w:sz w:val="20"/>
      <w:szCs w:val="20"/>
    </w:rPr>
  </w:style>
  <w:style w:type="character" w:styleId="FootnoteReference">
    <w:name w:val="footnote reference"/>
    <w:basedOn w:val="DefaultParagraphFont"/>
    <w:uiPriority w:val="99"/>
    <w:semiHidden/>
    <w:unhideWhenUsed/>
    <w:rsid w:val="000C18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6215</Words>
  <Characters>35428</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Draper</dc:creator>
  <cp:keywords/>
  <dc:description/>
  <cp:lastModifiedBy>Mario Draper</cp:lastModifiedBy>
  <cp:revision>2</cp:revision>
  <dcterms:created xsi:type="dcterms:W3CDTF">2024-10-28T09:57:00Z</dcterms:created>
  <dcterms:modified xsi:type="dcterms:W3CDTF">2024-10-28T09:57:00Z</dcterms:modified>
</cp:coreProperties>
</file>