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E4D1" w14:textId="70BD9C3C" w:rsidR="00924A3B" w:rsidRPr="00A763CB" w:rsidRDefault="001D271D" w:rsidP="001E3C9A">
      <w:pPr>
        <w:pStyle w:val="VornameNachname"/>
        <w:jc w:val="both"/>
        <w:rPr>
          <w:lang w:val="en-US"/>
        </w:rPr>
      </w:pPr>
      <w:r w:rsidRPr="00A763CB">
        <w:rPr>
          <w:lang w:val="en-US"/>
        </w:rPr>
        <w:t>G</w:t>
      </w:r>
      <w:r w:rsidR="00062206" w:rsidRPr="00A763CB">
        <w:rPr>
          <w:lang w:val="en-US"/>
        </w:rPr>
        <w:t xml:space="preserve">eorgia </w:t>
      </w:r>
      <w:r w:rsidR="00062206" w:rsidRPr="0050131C">
        <w:t>Jenkins</w:t>
      </w:r>
      <w:r w:rsidR="00062206" w:rsidRPr="00A763CB">
        <w:rPr>
          <w:lang w:val="en-US"/>
        </w:rPr>
        <w:t xml:space="preserve">, </w:t>
      </w:r>
      <w:r w:rsidR="00FE4617" w:rsidRPr="00A763CB">
        <w:rPr>
          <w:lang w:val="en-US"/>
        </w:rPr>
        <w:t>Lecturer, University of Kent</w:t>
      </w:r>
      <w:r w:rsidR="00FA5426" w:rsidRPr="00A763CB">
        <w:rPr>
          <w:lang w:val="en-US"/>
        </w:rPr>
        <w:t>, https://orcid.org/0000-0002-6890-7018</w:t>
      </w:r>
    </w:p>
    <w:p w14:paraId="0D92E70B" w14:textId="0563A00F" w:rsidR="00924A3B" w:rsidRPr="00A763CB" w:rsidRDefault="007A5B75" w:rsidP="001E3C9A">
      <w:pPr>
        <w:pStyle w:val="HaupttiteldesBeitrags"/>
        <w:jc w:val="both"/>
        <w:rPr>
          <w:lang w:val="en-US"/>
        </w:rPr>
      </w:pPr>
      <w:r>
        <w:rPr>
          <w:lang w:val="en-US"/>
        </w:rPr>
        <w:t>C</w:t>
      </w:r>
      <w:r w:rsidR="00663E24">
        <w:rPr>
          <w:lang w:val="en-US"/>
        </w:rPr>
        <w:t>reative reuse</w:t>
      </w:r>
      <w:r w:rsidR="002B6BF3">
        <w:rPr>
          <w:lang w:val="en-US"/>
        </w:rPr>
        <w:t xml:space="preserve"> </w:t>
      </w:r>
      <w:r>
        <w:rPr>
          <w:lang w:val="en-US"/>
        </w:rPr>
        <w:t xml:space="preserve">and artistic communication </w:t>
      </w:r>
      <w:r w:rsidR="002B6BF3">
        <w:rPr>
          <w:lang w:val="en-US"/>
        </w:rPr>
        <w:t>on</w:t>
      </w:r>
      <w:r w:rsidR="0055713C">
        <w:rPr>
          <w:lang w:val="en-US"/>
        </w:rPr>
        <w:t xml:space="preserve"> pla</w:t>
      </w:r>
      <w:r w:rsidR="00127AC4">
        <w:rPr>
          <w:lang w:val="en-US"/>
        </w:rPr>
        <w:t>tforms</w:t>
      </w:r>
    </w:p>
    <w:p w14:paraId="57B63E8D" w14:textId="7DCEB063" w:rsidR="00924A3B" w:rsidRDefault="004103D0" w:rsidP="001E3C9A">
      <w:pPr>
        <w:pStyle w:val="UntertiteldesBeitrags"/>
        <w:jc w:val="both"/>
        <w:rPr>
          <w:lang w:val="en-US"/>
        </w:rPr>
      </w:pPr>
      <w:r>
        <w:rPr>
          <w:lang w:val="en-US"/>
        </w:rPr>
        <w:t>Building a creativity-based escape mechanism for the EU copyright system</w:t>
      </w:r>
    </w:p>
    <w:p w14:paraId="6AE62A8E" w14:textId="480B0319" w:rsidR="0021062E" w:rsidRDefault="0021062E" w:rsidP="0021062E">
      <w:pPr>
        <w:rPr>
          <w:rFonts w:cstheme="minorHAnsi"/>
          <w:lang w:val="en-US"/>
        </w:rPr>
      </w:pPr>
      <w:r w:rsidRPr="0021062E">
        <w:rPr>
          <w:rFonts w:cstheme="minorHAnsi"/>
          <w:lang w:val="en-US"/>
        </w:rPr>
        <w:t xml:space="preserve">This article discusses the impact of the regulation and behaviour of platforms on users who share creative reuse online. </w:t>
      </w:r>
      <w:proofErr w:type="gramStart"/>
      <w:r w:rsidRPr="0021062E">
        <w:rPr>
          <w:rFonts w:cstheme="minorHAnsi"/>
          <w:lang w:val="en-US"/>
        </w:rPr>
        <w:t>Adopting a systems theory lens, it</w:t>
      </w:r>
      <w:proofErr w:type="gramEnd"/>
      <w:r w:rsidRPr="0021062E">
        <w:rPr>
          <w:rFonts w:cstheme="minorHAnsi"/>
          <w:lang w:val="en-US"/>
        </w:rPr>
        <w:t xml:space="preserve"> suggests that norms and values within the artistic system preference creative autonomy and the ability to share creativity online. Given the resulting tension with the EU copyright system, the article identifies two possible ways forward: change either through the concept of consent inside the EU copyright system, or a departure point structured outside using the horizontal application of fundamental rights. These two approaches are then applied to the current EU regulatory landscape, focusing on art. 17 Digital Single Market Directive and art. 14 Digital Services Act. The discussion centres upon the extent that these approaches sufficiently safeguard creativity online and future steps</w:t>
      </w:r>
      <w:r>
        <w:rPr>
          <w:rFonts w:cstheme="minorHAnsi"/>
          <w:lang w:val="en-US"/>
        </w:rPr>
        <w:t>.</w:t>
      </w:r>
    </w:p>
    <w:p w14:paraId="18FC9AD7" w14:textId="3BC460B0" w:rsidR="002B1B3E" w:rsidRDefault="002B1B3E" w:rsidP="0021062E">
      <w:pPr>
        <w:pStyle w:val="Gliederungsebene1"/>
      </w:pPr>
      <w:r>
        <w:t>Introduction</w:t>
      </w:r>
      <w:r w:rsidRPr="0077172B">
        <w:tab/>
      </w:r>
      <w:r>
        <w:t>1</w:t>
      </w:r>
    </w:p>
    <w:p w14:paraId="1CD537BA" w14:textId="77BE03BF" w:rsidR="0021062E" w:rsidRDefault="0021062E" w:rsidP="0021062E">
      <w:pPr>
        <w:pStyle w:val="Gliederungsebene1"/>
      </w:pPr>
      <w:r>
        <w:t>A.</w:t>
      </w:r>
      <w:r w:rsidR="002B1B3E" w:rsidRPr="002B1B3E">
        <w:t xml:space="preserve"> </w:t>
      </w:r>
      <w:r w:rsidR="002B1B3E" w:rsidRPr="0077172B">
        <w:tab/>
      </w:r>
      <w:r>
        <w:t>Consent to reuse and create on platforms within the EU copyright system</w:t>
      </w:r>
      <w:r w:rsidR="002B1B3E" w:rsidRPr="0077172B">
        <w:tab/>
      </w:r>
      <w:r w:rsidR="002B1B3E">
        <w:t>3</w:t>
      </w:r>
    </w:p>
    <w:p w14:paraId="58BEE1C5" w14:textId="73163D11" w:rsidR="0021062E" w:rsidRDefault="0021062E" w:rsidP="0021062E">
      <w:pPr>
        <w:pStyle w:val="Gliederungsebene1"/>
      </w:pPr>
      <w:r>
        <w:t>I.</w:t>
      </w:r>
      <w:r w:rsidR="002B1B3E" w:rsidRPr="002B1B3E">
        <w:t xml:space="preserve"> </w:t>
      </w:r>
      <w:r w:rsidR="002B1B3E" w:rsidRPr="0077172B">
        <w:tab/>
      </w:r>
      <w:r w:rsidR="002B1B3E">
        <w:t>The limits of authorial consent</w:t>
      </w:r>
      <w:r w:rsidR="002B1B3E" w:rsidRPr="0077172B">
        <w:tab/>
      </w:r>
      <w:r w:rsidR="002B1B3E">
        <w:t>4</w:t>
      </w:r>
    </w:p>
    <w:p w14:paraId="0A074FFD" w14:textId="2B68EE1C" w:rsidR="002B1B3E" w:rsidRDefault="002B1B3E" w:rsidP="0021062E">
      <w:pPr>
        <w:pStyle w:val="Gliederungsebene1"/>
      </w:pPr>
      <w:r>
        <w:t>II.</w:t>
      </w:r>
      <w:r w:rsidRPr="002B1B3E">
        <w:t xml:space="preserve"> </w:t>
      </w:r>
      <w:r w:rsidRPr="0077172B">
        <w:tab/>
      </w:r>
      <w:r>
        <w:t>Remunerating authors for creative reuse on platforms</w:t>
      </w:r>
      <w:r w:rsidRPr="0077172B">
        <w:tab/>
      </w:r>
      <w:r>
        <w:t>6</w:t>
      </w:r>
    </w:p>
    <w:p w14:paraId="2181D5AE" w14:textId="4BA6153C" w:rsidR="002B1B3E" w:rsidRDefault="002B1B3E" w:rsidP="0021062E">
      <w:pPr>
        <w:pStyle w:val="Gliederungsebene1"/>
      </w:pPr>
      <w:r>
        <w:t>III.</w:t>
      </w:r>
      <w:r w:rsidRPr="002B1B3E">
        <w:t xml:space="preserve"> </w:t>
      </w:r>
      <w:r w:rsidRPr="0077172B">
        <w:tab/>
      </w:r>
      <w:r>
        <w:t>Conclusion</w:t>
      </w:r>
      <w:r w:rsidRPr="0077172B">
        <w:tab/>
      </w:r>
      <w:r>
        <w:t>8</w:t>
      </w:r>
    </w:p>
    <w:p w14:paraId="65DE185D" w14:textId="5E01D143" w:rsidR="002B1B3E" w:rsidRDefault="002B1B3E" w:rsidP="0021062E">
      <w:pPr>
        <w:pStyle w:val="Gliederungsebene1"/>
      </w:pPr>
      <w:r>
        <w:t>B. Safeguarding creative access beyond the EU copyright system</w:t>
      </w:r>
      <w:r w:rsidRPr="0077172B">
        <w:tab/>
      </w:r>
      <w:r>
        <w:t>9</w:t>
      </w:r>
    </w:p>
    <w:p w14:paraId="1BFCC03D" w14:textId="1D9386F7" w:rsidR="002B1B3E" w:rsidRDefault="002B1B3E" w:rsidP="002B1B3E">
      <w:pPr>
        <w:pStyle w:val="Gliederungsebene1"/>
      </w:pPr>
      <w:r>
        <w:t>I.</w:t>
      </w:r>
      <w:r w:rsidRPr="002B1B3E">
        <w:t xml:space="preserve"> </w:t>
      </w:r>
      <w:r w:rsidRPr="0077172B">
        <w:tab/>
      </w:r>
      <w:r>
        <w:t>A right of access to public forums</w:t>
      </w:r>
      <w:r w:rsidRPr="0077172B">
        <w:tab/>
      </w:r>
      <w:r>
        <w:t>10</w:t>
      </w:r>
    </w:p>
    <w:p w14:paraId="4A679AEF" w14:textId="7446B53D" w:rsidR="002B1B3E" w:rsidRDefault="002B1B3E" w:rsidP="002B1B3E">
      <w:pPr>
        <w:pStyle w:val="Gliederungsebene1"/>
      </w:pPr>
      <w:r>
        <w:t>II.</w:t>
      </w:r>
      <w:r w:rsidRPr="002B1B3E">
        <w:t xml:space="preserve"> </w:t>
      </w:r>
      <w:r w:rsidRPr="0077172B">
        <w:tab/>
      </w:r>
      <w:r>
        <w:t>A genuine counter-right to the EU copyright system</w:t>
      </w:r>
      <w:r w:rsidRPr="0077172B">
        <w:tab/>
      </w:r>
      <w:r>
        <w:t>13</w:t>
      </w:r>
    </w:p>
    <w:p w14:paraId="03AF9433" w14:textId="721D4AAE" w:rsidR="002B1B3E" w:rsidRDefault="002B1B3E" w:rsidP="002B1B3E">
      <w:pPr>
        <w:pStyle w:val="Gliederungsebene1"/>
      </w:pPr>
      <w:r>
        <w:t>III.</w:t>
      </w:r>
      <w:r w:rsidRPr="002B1B3E">
        <w:t xml:space="preserve"> </w:t>
      </w:r>
      <w:r w:rsidRPr="0077172B">
        <w:tab/>
      </w:r>
      <w:r>
        <w:t>Conclusion</w:t>
      </w:r>
      <w:r w:rsidRPr="0077172B">
        <w:tab/>
      </w:r>
      <w:r>
        <w:t>15</w:t>
      </w:r>
    </w:p>
    <w:p w14:paraId="7A6B252B" w14:textId="5C6E7213" w:rsidR="002B1B3E" w:rsidRDefault="002B1B3E" w:rsidP="002B1B3E">
      <w:pPr>
        <w:pStyle w:val="Gliederungsebene1"/>
      </w:pPr>
      <w:r>
        <w:t>C.</w:t>
      </w:r>
      <w:r w:rsidRPr="002B1B3E">
        <w:t xml:space="preserve"> </w:t>
      </w:r>
      <w:r w:rsidRPr="0077172B">
        <w:tab/>
      </w:r>
      <w:r>
        <w:t>Current EU regulatory landscape to foster and support creativity online</w:t>
      </w:r>
      <w:r w:rsidRPr="0077172B">
        <w:tab/>
      </w:r>
      <w:r>
        <w:t>15</w:t>
      </w:r>
    </w:p>
    <w:p w14:paraId="7C36D54C" w14:textId="1228F7ED" w:rsidR="002B1B3E" w:rsidRDefault="002B1B3E" w:rsidP="002B1B3E">
      <w:pPr>
        <w:pStyle w:val="Gliederungsebene1"/>
      </w:pPr>
      <w:r>
        <w:t>I.</w:t>
      </w:r>
      <w:r w:rsidRPr="002B1B3E">
        <w:t xml:space="preserve"> </w:t>
      </w:r>
      <w:r w:rsidRPr="0077172B">
        <w:tab/>
      </w:r>
      <w:r>
        <w:t>Working inside EU copyright law: Transposing article 17 Digital Single Market Directive</w:t>
      </w:r>
      <w:r w:rsidRPr="0077172B">
        <w:tab/>
      </w:r>
      <w:r>
        <w:t>16</w:t>
      </w:r>
    </w:p>
    <w:p w14:paraId="5EA1B321" w14:textId="353B1482" w:rsidR="002B1B3E" w:rsidRDefault="002B1B3E" w:rsidP="002B1B3E">
      <w:pPr>
        <w:pStyle w:val="Gliederungsebene1"/>
      </w:pPr>
      <w:r>
        <w:t>II.</w:t>
      </w:r>
      <w:r w:rsidRPr="002B1B3E">
        <w:t xml:space="preserve"> </w:t>
      </w:r>
      <w:r w:rsidRPr="0077172B">
        <w:tab/>
      </w:r>
      <w:r>
        <w:t>Platform obligations beyond EU copyright law: The Digital Services Act</w:t>
      </w:r>
      <w:r w:rsidRPr="0077172B">
        <w:tab/>
      </w:r>
      <w:r>
        <w:t>20</w:t>
      </w:r>
    </w:p>
    <w:p w14:paraId="0E29FF61" w14:textId="7D0A0257" w:rsidR="002B1B3E" w:rsidRDefault="002B1B3E" w:rsidP="002B1B3E">
      <w:pPr>
        <w:pStyle w:val="Gliederungsebene1"/>
      </w:pPr>
      <w:r>
        <w:t>III.</w:t>
      </w:r>
      <w:r w:rsidRPr="002B1B3E">
        <w:t xml:space="preserve"> </w:t>
      </w:r>
      <w:r w:rsidRPr="0077172B">
        <w:tab/>
      </w:r>
      <w:r>
        <w:t>Conclusion</w:t>
      </w:r>
      <w:r w:rsidRPr="0077172B">
        <w:tab/>
      </w:r>
      <w:r>
        <w:t>21</w:t>
      </w:r>
    </w:p>
    <w:p w14:paraId="5150FA49" w14:textId="7007A409" w:rsidR="008041C9" w:rsidRDefault="002B1B3E" w:rsidP="002B1B3E">
      <w:pPr>
        <w:pStyle w:val="Gliederungsebene1"/>
      </w:pPr>
      <w:r>
        <w:t>Conclusion</w:t>
      </w:r>
      <w:r w:rsidRPr="0077172B">
        <w:tab/>
      </w:r>
      <w:r>
        <w:t>22</w:t>
      </w:r>
    </w:p>
    <w:p w14:paraId="57B7BBDC" w14:textId="7CF889AE" w:rsidR="00924A3B" w:rsidRDefault="00892FBD" w:rsidP="00F55ED5">
      <w:pPr>
        <w:pStyle w:val="Heading1"/>
        <w:numPr>
          <w:ilvl w:val="0"/>
          <w:numId w:val="0"/>
        </w:numPr>
        <w:jc w:val="both"/>
        <w:rPr>
          <w:lang w:val="en-GB"/>
        </w:rPr>
      </w:pPr>
      <w:bookmarkStart w:id="0" w:name="_Toc157606427"/>
      <w:r w:rsidRPr="00741D1E">
        <w:t>Introduction</w:t>
      </w:r>
      <w:bookmarkEnd w:id="0"/>
    </w:p>
    <w:p w14:paraId="5EEB7EE9" w14:textId="6F0C14AA" w:rsidR="00712571" w:rsidRDefault="00C16B50" w:rsidP="00006B51">
      <w:pPr>
        <w:ind w:firstLine="227"/>
        <w:jc w:val="both"/>
        <w:rPr>
          <w:rFonts w:ascii="Times New Roman" w:hAnsi="Times New Roman"/>
          <w:lang w:val="en-GB"/>
        </w:rPr>
      </w:pPr>
      <w:r w:rsidRPr="00C16B50">
        <w:rPr>
          <w:rFonts w:ascii="Times New Roman" w:hAnsi="Times New Roman"/>
          <w:lang w:val="en-GB"/>
        </w:rPr>
        <w:t xml:space="preserve">Today users do not simply consume creative </w:t>
      </w:r>
      <w:r w:rsidR="002D0B61" w:rsidRPr="00C16B50">
        <w:rPr>
          <w:rFonts w:ascii="Times New Roman" w:hAnsi="Times New Roman"/>
          <w:lang w:val="en-GB"/>
        </w:rPr>
        <w:t>content but</w:t>
      </w:r>
      <w:r w:rsidRPr="00C16B50">
        <w:rPr>
          <w:rFonts w:ascii="Times New Roman" w:hAnsi="Times New Roman"/>
          <w:lang w:val="en-GB"/>
        </w:rPr>
        <w:t xml:space="preserve"> participate in the creative process</w:t>
      </w:r>
      <w:r w:rsidR="002D0B61">
        <w:rPr>
          <w:rFonts w:ascii="Times New Roman" w:hAnsi="Times New Roman"/>
          <w:lang w:val="en-GB"/>
        </w:rPr>
        <w:t>. Users</w:t>
      </w:r>
      <w:r w:rsidRPr="00C16B50">
        <w:rPr>
          <w:rFonts w:ascii="Times New Roman" w:hAnsi="Times New Roman"/>
          <w:lang w:val="en-GB"/>
        </w:rPr>
        <w:t xml:space="preserve"> access and </w:t>
      </w:r>
      <w:r w:rsidR="00AF6931">
        <w:rPr>
          <w:rFonts w:ascii="Times New Roman" w:hAnsi="Times New Roman"/>
          <w:lang w:val="en-GB"/>
        </w:rPr>
        <w:t>re</w:t>
      </w:r>
      <w:r w:rsidRPr="00C16B50">
        <w:rPr>
          <w:rFonts w:ascii="Times New Roman" w:hAnsi="Times New Roman"/>
          <w:lang w:val="en-GB"/>
        </w:rPr>
        <w:t>us</w:t>
      </w:r>
      <w:r w:rsidR="002D0B61">
        <w:rPr>
          <w:rFonts w:ascii="Times New Roman" w:hAnsi="Times New Roman"/>
          <w:lang w:val="en-GB"/>
        </w:rPr>
        <w:t>e</w:t>
      </w:r>
      <w:r w:rsidRPr="00C16B50">
        <w:rPr>
          <w:rFonts w:ascii="Times New Roman" w:hAnsi="Times New Roman"/>
          <w:lang w:val="en-GB"/>
        </w:rPr>
        <w:t xml:space="preserve"> works to </w:t>
      </w:r>
      <w:r w:rsidR="002D0B61">
        <w:rPr>
          <w:rFonts w:ascii="Times New Roman" w:hAnsi="Times New Roman"/>
          <w:lang w:val="en-GB"/>
        </w:rPr>
        <w:t>re</w:t>
      </w:r>
      <w:r w:rsidRPr="00C16B50">
        <w:rPr>
          <w:rFonts w:ascii="Times New Roman" w:hAnsi="Times New Roman"/>
          <w:lang w:val="en-GB"/>
        </w:rPr>
        <w:t xml:space="preserve">create. Often part of a broader creative community, the communication of new creative works forms an integral element of creativity online. </w:t>
      </w:r>
      <w:r w:rsidR="002D0B61">
        <w:rPr>
          <w:rFonts w:ascii="Times New Roman" w:hAnsi="Times New Roman"/>
          <w:lang w:val="en-GB"/>
        </w:rPr>
        <w:t>Yet</w:t>
      </w:r>
      <w:r w:rsidR="00CA2AFE">
        <w:rPr>
          <w:rFonts w:ascii="Times New Roman" w:hAnsi="Times New Roman"/>
          <w:lang w:val="en-GB"/>
        </w:rPr>
        <w:t xml:space="preserve"> creative reuses, whether referential or transformative, inherently conflict with commercial exploitation rights</w:t>
      </w:r>
      <w:r w:rsidR="008518EE">
        <w:rPr>
          <w:rFonts w:ascii="Times New Roman" w:hAnsi="Times New Roman"/>
          <w:lang w:val="en-GB"/>
        </w:rPr>
        <w:t xml:space="preserve"> enforced by what this article terms ‘</w:t>
      </w:r>
      <w:proofErr w:type="gramStart"/>
      <w:r w:rsidR="008518EE">
        <w:rPr>
          <w:rFonts w:ascii="Times New Roman" w:hAnsi="Times New Roman"/>
          <w:lang w:val="en-GB"/>
        </w:rPr>
        <w:t>exploiters’</w:t>
      </w:r>
      <w:proofErr w:type="gramEnd"/>
      <w:r w:rsidR="008518EE">
        <w:rPr>
          <w:rFonts w:ascii="Times New Roman" w:hAnsi="Times New Roman"/>
          <w:lang w:val="en-GB"/>
        </w:rPr>
        <w:t xml:space="preserve">. They are </w:t>
      </w:r>
      <w:r w:rsidR="00F50C68">
        <w:rPr>
          <w:rFonts w:ascii="Times New Roman" w:hAnsi="Times New Roman"/>
          <w:lang w:val="en-GB"/>
        </w:rPr>
        <w:t>copyright interests whose investment gives rise to rights despite lacking a direct creative contribution.</w:t>
      </w:r>
      <w:r w:rsidR="00F50C68">
        <w:rPr>
          <w:rStyle w:val="FootnoteReference"/>
          <w:rFonts w:ascii="Times New Roman" w:hAnsi="Times New Roman"/>
          <w:lang w:val="en-GB"/>
        </w:rPr>
        <w:footnoteReference w:id="1"/>
      </w:r>
      <w:r w:rsidR="00F50C68">
        <w:rPr>
          <w:rFonts w:ascii="Times New Roman" w:hAnsi="Times New Roman"/>
          <w:lang w:val="en-GB"/>
        </w:rPr>
        <w:t xml:space="preserve"> </w:t>
      </w:r>
      <w:r w:rsidR="00E1414F">
        <w:rPr>
          <w:rFonts w:ascii="Times New Roman" w:hAnsi="Times New Roman"/>
          <w:lang w:val="en-GB"/>
        </w:rPr>
        <w:t>However</w:t>
      </w:r>
      <w:r w:rsidR="00351D8F">
        <w:rPr>
          <w:rFonts w:ascii="Times New Roman" w:hAnsi="Times New Roman"/>
          <w:lang w:val="en-GB"/>
        </w:rPr>
        <w:t>,</w:t>
      </w:r>
      <w:r w:rsidR="000E7BC3">
        <w:rPr>
          <w:rFonts w:ascii="Times New Roman" w:hAnsi="Times New Roman"/>
          <w:lang w:val="en-GB"/>
        </w:rPr>
        <w:t xml:space="preserve"> the presence and reliance upon platforms to share and disseminate creativity online has complicated the EU </w:t>
      </w:r>
      <w:r w:rsidR="00712571">
        <w:rPr>
          <w:rFonts w:ascii="Times New Roman" w:hAnsi="Times New Roman"/>
          <w:lang w:val="en-GB"/>
        </w:rPr>
        <w:t>copyright landscape</w:t>
      </w:r>
      <w:r w:rsidR="00E1414F">
        <w:rPr>
          <w:rFonts w:ascii="Times New Roman" w:hAnsi="Times New Roman"/>
          <w:lang w:val="en-GB"/>
        </w:rPr>
        <w:t>, specifically the relationship between authors and exploiters</w:t>
      </w:r>
      <w:r w:rsidR="00712571">
        <w:rPr>
          <w:rFonts w:ascii="Times New Roman" w:hAnsi="Times New Roman"/>
          <w:lang w:val="en-GB"/>
        </w:rPr>
        <w:t xml:space="preserve">. </w:t>
      </w:r>
      <w:r w:rsidR="00E1414F">
        <w:rPr>
          <w:rFonts w:ascii="Times New Roman" w:hAnsi="Times New Roman"/>
          <w:lang w:val="en-GB"/>
        </w:rPr>
        <w:t>Now</w:t>
      </w:r>
      <w:r w:rsidR="00712571">
        <w:rPr>
          <w:rFonts w:ascii="Times New Roman" w:hAnsi="Times New Roman"/>
          <w:lang w:val="en-GB"/>
        </w:rPr>
        <w:t xml:space="preserve"> pl</w:t>
      </w:r>
      <w:r w:rsidR="002D522E">
        <w:rPr>
          <w:rFonts w:ascii="Times New Roman" w:hAnsi="Times New Roman"/>
          <w:lang w:val="en-GB"/>
        </w:rPr>
        <w:t>atfor</w:t>
      </w:r>
      <w:r w:rsidR="00D27B26">
        <w:rPr>
          <w:rFonts w:ascii="Times New Roman" w:hAnsi="Times New Roman"/>
          <w:lang w:val="en-GB"/>
        </w:rPr>
        <w:t xml:space="preserve">ms </w:t>
      </w:r>
      <w:r w:rsidR="00E1414F">
        <w:rPr>
          <w:rFonts w:ascii="Times New Roman" w:hAnsi="Times New Roman"/>
          <w:lang w:val="en-GB"/>
        </w:rPr>
        <w:t>p</w:t>
      </w:r>
      <w:r w:rsidR="00D27B26">
        <w:rPr>
          <w:rFonts w:ascii="Times New Roman" w:hAnsi="Times New Roman"/>
          <w:lang w:val="en-GB"/>
        </w:rPr>
        <w:t xml:space="preserve">lay a crucial role </w:t>
      </w:r>
      <w:r w:rsidR="00E1414F">
        <w:rPr>
          <w:rFonts w:ascii="Times New Roman" w:hAnsi="Times New Roman"/>
          <w:lang w:val="en-GB"/>
        </w:rPr>
        <w:t>to allow</w:t>
      </w:r>
      <w:r w:rsidR="00D27B26">
        <w:rPr>
          <w:rFonts w:ascii="Times New Roman" w:hAnsi="Times New Roman"/>
          <w:lang w:val="en-GB"/>
        </w:rPr>
        <w:t xml:space="preserve"> users to bypass traditional dissemination methods and broaden their audience exponentially.</w:t>
      </w:r>
    </w:p>
    <w:p w14:paraId="0C13E9EA" w14:textId="6D18FDE7" w:rsidR="007A723F" w:rsidRDefault="007637C9" w:rsidP="00006B51">
      <w:pPr>
        <w:ind w:firstLine="227"/>
        <w:jc w:val="both"/>
        <w:rPr>
          <w:rFonts w:ascii="Times New Roman" w:hAnsi="Times New Roman"/>
          <w:lang w:val="en-GB"/>
        </w:rPr>
      </w:pPr>
      <w:r>
        <w:rPr>
          <w:rFonts w:ascii="Times New Roman" w:hAnsi="Times New Roman"/>
          <w:lang w:val="en-GB"/>
        </w:rPr>
        <w:lastRenderedPageBreak/>
        <w:t>Thi</w:t>
      </w:r>
      <w:r w:rsidR="003E1FC4">
        <w:rPr>
          <w:rFonts w:ascii="Times New Roman" w:hAnsi="Times New Roman"/>
          <w:lang w:val="en-GB"/>
        </w:rPr>
        <w:t xml:space="preserve">s </w:t>
      </w:r>
      <w:r w:rsidR="00712571">
        <w:rPr>
          <w:rFonts w:ascii="Times New Roman" w:hAnsi="Times New Roman"/>
          <w:lang w:val="en-GB"/>
        </w:rPr>
        <w:t xml:space="preserve">development has </w:t>
      </w:r>
      <w:r w:rsidR="003E1FC4">
        <w:rPr>
          <w:rFonts w:ascii="Times New Roman" w:hAnsi="Times New Roman"/>
          <w:lang w:val="en-GB"/>
        </w:rPr>
        <w:t>not gone unnoticed</w:t>
      </w:r>
      <w:r w:rsidR="00E1414F">
        <w:rPr>
          <w:rFonts w:ascii="Times New Roman" w:hAnsi="Times New Roman"/>
          <w:lang w:val="en-GB"/>
        </w:rPr>
        <w:t xml:space="preserve">, </w:t>
      </w:r>
      <w:r w:rsidR="003E1FC4">
        <w:rPr>
          <w:rFonts w:ascii="Times New Roman" w:hAnsi="Times New Roman"/>
          <w:lang w:val="en-GB"/>
        </w:rPr>
        <w:t>as</w:t>
      </w:r>
      <w:r w:rsidR="00932DED">
        <w:rPr>
          <w:rFonts w:ascii="Times New Roman" w:hAnsi="Times New Roman"/>
          <w:lang w:val="en-GB"/>
        </w:rPr>
        <w:t xml:space="preserve"> </w:t>
      </w:r>
      <w:r w:rsidR="000C5E54">
        <w:rPr>
          <w:rFonts w:ascii="Times New Roman" w:hAnsi="Times New Roman"/>
          <w:lang w:val="en-GB"/>
        </w:rPr>
        <w:t>the introduction of art. 17 Digital Single Market (DSM) Directive requires platforms to ensure that all uploads which include potentially unauthorised copyright material are taken down</w:t>
      </w:r>
      <w:r w:rsidR="00797081">
        <w:rPr>
          <w:rFonts w:ascii="Times New Roman" w:hAnsi="Times New Roman"/>
          <w:lang w:val="en-GB"/>
        </w:rPr>
        <w:t xml:space="preserve"> and stay down, in lieu of a licence.</w:t>
      </w:r>
      <w:r w:rsidR="00797081">
        <w:rPr>
          <w:rStyle w:val="FootnoteReference"/>
          <w:rFonts w:ascii="Times New Roman" w:hAnsi="Times New Roman"/>
          <w:lang w:val="en-GB"/>
        </w:rPr>
        <w:footnoteReference w:id="2"/>
      </w:r>
      <w:r w:rsidR="00712571">
        <w:rPr>
          <w:rFonts w:ascii="Times New Roman" w:hAnsi="Times New Roman"/>
          <w:lang w:val="en-GB"/>
        </w:rPr>
        <w:t xml:space="preserve"> While premised on the argument that a value-</w:t>
      </w:r>
      <w:r w:rsidR="007A723F">
        <w:rPr>
          <w:rFonts w:ascii="Times New Roman" w:hAnsi="Times New Roman"/>
          <w:lang w:val="en-GB"/>
        </w:rPr>
        <w:t>g</w:t>
      </w:r>
      <w:r w:rsidR="00712571">
        <w:rPr>
          <w:rFonts w:ascii="Times New Roman" w:hAnsi="Times New Roman"/>
          <w:lang w:val="en-GB"/>
        </w:rPr>
        <w:t>ap existed between platforms and authors due to platform content monetization</w:t>
      </w:r>
      <w:r w:rsidR="007A723F">
        <w:rPr>
          <w:rFonts w:ascii="Times New Roman" w:hAnsi="Times New Roman"/>
          <w:lang w:val="en-GB"/>
        </w:rPr>
        <w:t>,</w:t>
      </w:r>
      <w:r w:rsidR="00CB5A86">
        <w:rPr>
          <w:rStyle w:val="FootnoteReference"/>
          <w:rFonts w:ascii="Times New Roman" w:hAnsi="Times New Roman"/>
          <w:lang w:val="en-GB"/>
        </w:rPr>
        <w:footnoteReference w:id="3"/>
      </w:r>
      <w:r w:rsidR="00712571">
        <w:rPr>
          <w:rFonts w:ascii="Times New Roman" w:hAnsi="Times New Roman"/>
          <w:lang w:val="en-GB"/>
        </w:rPr>
        <w:t xml:space="preserve"> these new platform obligations </w:t>
      </w:r>
      <w:r w:rsidR="00BC3D9F">
        <w:rPr>
          <w:rFonts w:ascii="Times New Roman" w:hAnsi="Times New Roman"/>
          <w:lang w:val="en-GB"/>
        </w:rPr>
        <w:t>have a gr</w:t>
      </w:r>
      <w:r w:rsidR="00CB5A86">
        <w:rPr>
          <w:rFonts w:ascii="Times New Roman" w:hAnsi="Times New Roman"/>
          <w:lang w:val="en-GB"/>
        </w:rPr>
        <w:t>oss impact</w:t>
      </w:r>
      <w:r w:rsidR="00BC3D9F">
        <w:rPr>
          <w:rFonts w:ascii="Times New Roman" w:hAnsi="Times New Roman"/>
          <w:lang w:val="en-GB"/>
        </w:rPr>
        <w:t xml:space="preserve"> on creativity online due to </w:t>
      </w:r>
      <w:r w:rsidR="0032327C">
        <w:rPr>
          <w:rFonts w:ascii="Times New Roman" w:hAnsi="Times New Roman"/>
          <w:lang w:val="en-GB"/>
        </w:rPr>
        <w:t>the use</w:t>
      </w:r>
      <w:r w:rsidR="00CB5A86">
        <w:rPr>
          <w:rFonts w:ascii="Times New Roman" w:hAnsi="Times New Roman"/>
          <w:lang w:val="en-GB"/>
        </w:rPr>
        <w:t xml:space="preserve"> of automated content monitoring.</w:t>
      </w:r>
      <w:r w:rsidR="007A723F">
        <w:rPr>
          <w:rStyle w:val="FootnoteReference"/>
          <w:rFonts w:ascii="Times New Roman" w:hAnsi="Times New Roman"/>
          <w:lang w:val="en-GB"/>
        </w:rPr>
        <w:footnoteReference w:id="4"/>
      </w:r>
      <w:r w:rsidR="009D1ABC">
        <w:rPr>
          <w:rFonts w:ascii="Times New Roman" w:hAnsi="Times New Roman"/>
          <w:lang w:val="en-GB"/>
        </w:rPr>
        <w:t xml:space="preserve"> </w:t>
      </w:r>
      <w:r w:rsidR="00CC7484">
        <w:rPr>
          <w:rFonts w:ascii="Times New Roman" w:hAnsi="Times New Roman"/>
          <w:lang w:val="en-GB"/>
        </w:rPr>
        <w:t>Though</w:t>
      </w:r>
      <w:r w:rsidR="009D1ABC">
        <w:rPr>
          <w:rFonts w:ascii="Times New Roman" w:hAnsi="Times New Roman"/>
          <w:lang w:val="en-GB"/>
        </w:rPr>
        <w:t xml:space="preserve"> the long process of implementation and </w:t>
      </w:r>
      <w:r w:rsidR="0032327C">
        <w:rPr>
          <w:rFonts w:ascii="Times New Roman" w:hAnsi="Times New Roman"/>
          <w:lang w:val="en-GB"/>
        </w:rPr>
        <w:t>interpretation</w:t>
      </w:r>
      <w:r w:rsidR="009D1ABC">
        <w:rPr>
          <w:rFonts w:ascii="Times New Roman" w:hAnsi="Times New Roman"/>
          <w:lang w:val="en-GB"/>
        </w:rPr>
        <w:t xml:space="preserve"> has only begun, this article seeks to restructure</w:t>
      </w:r>
      <w:r w:rsidR="00D8417A">
        <w:rPr>
          <w:rFonts w:ascii="Times New Roman" w:hAnsi="Times New Roman"/>
          <w:lang w:val="en-GB"/>
        </w:rPr>
        <w:t xml:space="preserve"> these obligations by centring the discussion on safeguarding creativity online.</w:t>
      </w:r>
    </w:p>
    <w:p w14:paraId="6DFB4E72" w14:textId="1A07A51E" w:rsidR="00357F96" w:rsidRDefault="00D8417A" w:rsidP="00006B51">
      <w:pPr>
        <w:ind w:firstLine="227"/>
        <w:jc w:val="both"/>
        <w:rPr>
          <w:rFonts w:ascii="Times New Roman" w:hAnsi="Times New Roman"/>
          <w:bCs/>
          <w:i/>
          <w:iCs/>
          <w:lang w:val="en-GB"/>
        </w:rPr>
      </w:pPr>
      <w:r>
        <w:rPr>
          <w:rFonts w:ascii="Times New Roman" w:hAnsi="Times New Roman"/>
          <w:lang w:val="en-GB"/>
        </w:rPr>
        <w:t>It maintains that i</w:t>
      </w:r>
      <w:r w:rsidR="007C596E">
        <w:rPr>
          <w:rFonts w:ascii="Times New Roman" w:hAnsi="Times New Roman"/>
          <w:lang w:val="en-GB"/>
        </w:rPr>
        <w:t>n the face of increasing enforcement by exploiters</w:t>
      </w:r>
      <w:r w:rsidR="005B0B2E">
        <w:rPr>
          <w:rFonts w:ascii="Times New Roman" w:hAnsi="Times New Roman"/>
          <w:lang w:val="en-GB"/>
        </w:rPr>
        <w:t xml:space="preserve"> against new dissemination models</w:t>
      </w:r>
      <w:r w:rsidR="007C596E">
        <w:rPr>
          <w:rFonts w:ascii="Times New Roman" w:hAnsi="Times New Roman"/>
          <w:lang w:val="en-GB"/>
        </w:rPr>
        <w:t xml:space="preserve">, </w:t>
      </w:r>
      <w:r w:rsidR="005B0B2E">
        <w:rPr>
          <w:rFonts w:ascii="Times New Roman" w:hAnsi="Times New Roman"/>
          <w:lang w:val="en-GB"/>
        </w:rPr>
        <w:t xml:space="preserve">it is </w:t>
      </w:r>
      <w:r w:rsidR="00A37423">
        <w:rPr>
          <w:rFonts w:ascii="Times New Roman" w:hAnsi="Times New Roman"/>
          <w:lang w:val="en-GB"/>
        </w:rPr>
        <w:t>fundamental</w:t>
      </w:r>
      <w:r w:rsidR="005B0B2E">
        <w:rPr>
          <w:rFonts w:ascii="Times New Roman" w:hAnsi="Times New Roman"/>
          <w:lang w:val="en-GB"/>
        </w:rPr>
        <w:t xml:space="preserve"> that </w:t>
      </w:r>
      <w:r w:rsidR="00A37423">
        <w:rPr>
          <w:rFonts w:ascii="Times New Roman" w:hAnsi="Times New Roman"/>
          <w:lang w:val="en-GB"/>
        </w:rPr>
        <w:t>e</w:t>
      </w:r>
      <w:r w:rsidR="002076FE">
        <w:rPr>
          <w:rFonts w:ascii="Times New Roman" w:hAnsi="Times New Roman"/>
          <w:lang w:val="en-GB"/>
        </w:rPr>
        <w:t>ssential spaces for creativity online</w:t>
      </w:r>
      <w:r w:rsidR="00DA0AEF">
        <w:rPr>
          <w:rFonts w:ascii="Times New Roman" w:hAnsi="Times New Roman"/>
          <w:lang w:val="en-GB"/>
        </w:rPr>
        <w:t xml:space="preserve"> </w:t>
      </w:r>
      <w:r w:rsidR="00A37423">
        <w:rPr>
          <w:rFonts w:ascii="Times New Roman" w:hAnsi="Times New Roman"/>
          <w:lang w:val="en-GB"/>
        </w:rPr>
        <w:t xml:space="preserve">provided by platforms are </w:t>
      </w:r>
      <w:r w:rsidR="00DA0AEF">
        <w:rPr>
          <w:rFonts w:ascii="Times New Roman" w:hAnsi="Times New Roman"/>
          <w:lang w:val="en-GB"/>
        </w:rPr>
        <w:t>safeguarded.</w:t>
      </w:r>
      <w:r w:rsidR="00EB24A1">
        <w:rPr>
          <w:rFonts w:ascii="Times New Roman" w:hAnsi="Times New Roman"/>
          <w:lang w:val="en-GB"/>
        </w:rPr>
        <w:t xml:space="preserve"> This begins with a wholistic assessment of creativity, particularly online</w:t>
      </w:r>
      <w:r w:rsidR="009D2C32">
        <w:rPr>
          <w:rFonts w:ascii="Times New Roman" w:hAnsi="Times New Roman"/>
          <w:lang w:val="en-GB"/>
        </w:rPr>
        <w:t>. Adopting a systems theory approach, the article unravel</w:t>
      </w:r>
      <w:r w:rsidR="008920B1">
        <w:rPr>
          <w:rFonts w:ascii="Times New Roman" w:hAnsi="Times New Roman"/>
          <w:lang w:val="en-GB"/>
        </w:rPr>
        <w:t>s</w:t>
      </w:r>
      <w:r w:rsidR="00472B24">
        <w:rPr>
          <w:rFonts w:ascii="Times New Roman" w:hAnsi="Times New Roman"/>
          <w:bCs/>
          <w:lang w:val="en-GB"/>
        </w:rPr>
        <w:t xml:space="preserve"> the obligations that authors and users hold to each other</w:t>
      </w:r>
      <w:r w:rsidR="00F7182F">
        <w:rPr>
          <w:rFonts w:ascii="Times New Roman" w:hAnsi="Times New Roman"/>
          <w:bCs/>
          <w:lang w:val="en-GB"/>
        </w:rPr>
        <w:t xml:space="preserve"> to help reconstruct the boundaries of the EU copyright system in relation to the norms inherent to the artistic system.</w:t>
      </w:r>
      <w:r w:rsidR="00F7182F">
        <w:rPr>
          <w:rStyle w:val="FootnoteReference"/>
          <w:rFonts w:ascii="Times New Roman" w:hAnsi="Times New Roman"/>
          <w:bCs/>
          <w:lang w:val="en-GB"/>
        </w:rPr>
        <w:footnoteReference w:id="5"/>
      </w:r>
      <w:r w:rsidR="00F7182F">
        <w:rPr>
          <w:rFonts w:ascii="Times New Roman" w:hAnsi="Times New Roman"/>
          <w:bCs/>
          <w:lang w:val="en-GB"/>
        </w:rPr>
        <w:t xml:space="preserve"> </w:t>
      </w:r>
      <w:r w:rsidR="00E4612A">
        <w:rPr>
          <w:rFonts w:ascii="Times New Roman" w:hAnsi="Times New Roman"/>
          <w:bCs/>
          <w:lang w:val="en-GB"/>
        </w:rPr>
        <w:t xml:space="preserve">One such norm being artistic communication, this article proposes that </w:t>
      </w:r>
      <w:r w:rsidR="00EB5E6B">
        <w:rPr>
          <w:rFonts w:ascii="Times New Roman" w:hAnsi="Times New Roman"/>
          <w:bCs/>
          <w:lang w:val="en-GB"/>
        </w:rPr>
        <w:t xml:space="preserve">the ability to control the dissemination and creative discussion of a work inherently includes </w:t>
      </w:r>
      <w:r w:rsidR="00627FFD">
        <w:rPr>
          <w:rFonts w:ascii="Times New Roman" w:hAnsi="Times New Roman"/>
          <w:bCs/>
          <w:lang w:val="en-GB"/>
        </w:rPr>
        <w:t xml:space="preserve">space for creative reuse and future artistic communication by </w:t>
      </w:r>
      <w:r w:rsidR="00AA0BB9">
        <w:rPr>
          <w:rFonts w:ascii="Times New Roman" w:hAnsi="Times New Roman"/>
          <w:bCs/>
          <w:lang w:val="en-GB"/>
        </w:rPr>
        <w:t>users</w:t>
      </w:r>
      <w:r w:rsidR="00243429">
        <w:rPr>
          <w:rFonts w:ascii="Times New Roman" w:hAnsi="Times New Roman"/>
          <w:bCs/>
          <w:lang w:val="en-GB"/>
        </w:rPr>
        <w:t xml:space="preserve"> who </w:t>
      </w:r>
      <w:r w:rsidR="000F43DC">
        <w:rPr>
          <w:rFonts w:ascii="Times New Roman" w:hAnsi="Times New Roman"/>
          <w:bCs/>
          <w:lang w:val="en-GB"/>
        </w:rPr>
        <w:t>are</w:t>
      </w:r>
      <w:r w:rsidR="00243429">
        <w:rPr>
          <w:rFonts w:ascii="Times New Roman" w:hAnsi="Times New Roman"/>
          <w:bCs/>
          <w:lang w:val="en-GB"/>
        </w:rPr>
        <w:t xml:space="preserve"> authors themselves.</w:t>
      </w:r>
      <w:r w:rsidR="00243429">
        <w:rPr>
          <w:rStyle w:val="FootnoteReference"/>
          <w:rFonts w:ascii="Times New Roman" w:hAnsi="Times New Roman"/>
          <w:bCs/>
          <w:lang w:val="en-GB"/>
        </w:rPr>
        <w:footnoteReference w:id="6"/>
      </w:r>
      <w:r w:rsidR="00AA0BB9">
        <w:rPr>
          <w:rFonts w:ascii="Times New Roman" w:hAnsi="Times New Roman"/>
          <w:bCs/>
          <w:lang w:val="en-GB"/>
        </w:rPr>
        <w:t xml:space="preserve"> </w:t>
      </w:r>
    </w:p>
    <w:p w14:paraId="53144A45" w14:textId="676DEDB8" w:rsidR="00EB7668" w:rsidRDefault="00243808" w:rsidP="00006B51">
      <w:pPr>
        <w:ind w:firstLine="227"/>
        <w:jc w:val="both"/>
        <w:rPr>
          <w:rFonts w:ascii="Times New Roman" w:hAnsi="Times New Roman"/>
          <w:bCs/>
          <w:lang w:val="en-GB"/>
        </w:rPr>
      </w:pPr>
      <w:r>
        <w:rPr>
          <w:rFonts w:ascii="Times New Roman" w:hAnsi="Times New Roman"/>
          <w:bCs/>
          <w:lang w:val="en-GB"/>
        </w:rPr>
        <w:t>Such</w:t>
      </w:r>
      <w:r w:rsidR="00346336">
        <w:rPr>
          <w:rFonts w:ascii="Times New Roman" w:hAnsi="Times New Roman"/>
          <w:bCs/>
          <w:lang w:val="en-GB"/>
        </w:rPr>
        <w:t xml:space="preserve"> </w:t>
      </w:r>
      <w:r w:rsidR="00926C38">
        <w:rPr>
          <w:rFonts w:ascii="Times New Roman" w:hAnsi="Times New Roman"/>
          <w:bCs/>
          <w:lang w:val="en-GB"/>
        </w:rPr>
        <w:t xml:space="preserve">a </w:t>
      </w:r>
      <w:r w:rsidR="009F36DB">
        <w:rPr>
          <w:rFonts w:ascii="Times New Roman" w:hAnsi="Times New Roman"/>
          <w:bCs/>
          <w:lang w:val="en-GB"/>
        </w:rPr>
        <w:t>broader approach to authorship</w:t>
      </w:r>
      <w:r w:rsidR="00926C38">
        <w:rPr>
          <w:rFonts w:ascii="Times New Roman" w:hAnsi="Times New Roman"/>
          <w:bCs/>
          <w:lang w:val="en-GB"/>
        </w:rPr>
        <w:t xml:space="preserve"> would better reconcile authors and users as equally necessary components of creativity.</w:t>
      </w:r>
      <w:r w:rsidR="00623C75">
        <w:rPr>
          <w:rFonts w:ascii="Times New Roman" w:hAnsi="Times New Roman"/>
          <w:bCs/>
          <w:lang w:val="en-GB"/>
        </w:rPr>
        <w:t xml:space="preserve"> Building from traditional personhood justifications for creative autonomy</w:t>
      </w:r>
      <w:r w:rsidR="008124B3">
        <w:rPr>
          <w:rStyle w:val="FootnoteReference"/>
          <w:rFonts w:ascii="Times New Roman" w:hAnsi="Times New Roman"/>
          <w:bCs/>
          <w:lang w:val="en-GB"/>
        </w:rPr>
        <w:footnoteReference w:id="7"/>
      </w:r>
      <w:r w:rsidR="00EB5E6B">
        <w:rPr>
          <w:rFonts w:ascii="Times New Roman" w:hAnsi="Times New Roman"/>
          <w:bCs/>
          <w:lang w:val="en-GB"/>
        </w:rPr>
        <w:t xml:space="preserve"> </w:t>
      </w:r>
      <w:r w:rsidR="00EB5E6B">
        <w:rPr>
          <w:rFonts w:ascii="Times New Roman" w:hAnsi="Times New Roman"/>
          <w:bCs/>
          <w:lang w:val="en-GB"/>
        </w:rPr>
        <w:lastRenderedPageBreak/>
        <w:t>and</w:t>
      </w:r>
      <w:r w:rsidR="00623C75">
        <w:rPr>
          <w:rFonts w:ascii="Times New Roman" w:hAnsi="Times New Roman"/>
          <w:bCs/>
          <w:lang w:val="en-GB"/>
        </w:rPr>
        <w:t xml:space="preserve"> </w:t>
      </w:r>
      <w:r w:rsidR="0011157E">
        <w:rPr>
          <w:rFonts w:ascii="Times New Roman" w:hAnsi="Times New Roman"/>
          <w:bCs/>
          <w:lang w:val="en-GB"/>
        </w:rPr>
        <w:t>considering</w:t>
      </w:r>
      <w:r w:rsidR="00215290">
        <w:rPr>
          <w:rFonts w:ascii="Times New Roman" w:hAnsi="Times New Roman"/>
          <w:bCs/>
          <w:lang w:val="en-GB"/>
        </w:rPr>
        <w:t xml:space="preserve"> the collaborative and cumulative nature of the artistic system, </w:t>
      </w:r>
      <w:r w:rsidR="00D471B3">
        <w:rPr>
          <w:rFonts w:ascii="Times New Roman" w:hAnsi="Times New Roman"/>
          <w:bCs/>
          <w:lang w:val="en-GB"/>
        </w:rPr>
        <w:t xml:space="preserve">systems theory </w:t>
      </w:r>
      <w:r w:rsidR="00EB5E6B">
        <w:rPr>
          <w:rFonts w:ascii="Times New Roman" w:hAnsi="Times New Roman"/>
          <w:bCs/>
          <w:lang w:val="en-GB"/>
        </w:rPr>
        <w:t>lens advocates</w:t>
      </w:r>
      <w:r w:rsidR="00D471B3">
        <w:rPr>
          <w:rFonts w:ascii="Times New Roman" w:hAnsi="Times New Roman"/>
          <w:bCs/>
          <w:lang w:val="en-GB"/>
        </w:rPr>
        <w:t xml:space="preserve"> </w:t>
      </w:r>
      <w:r w:rsidR="00407888">
        <w:rPr>
          <w:rFonts w:ascii="Times New Roman" w:hAnsi="Times New Roman"/>
          <w:bCs/>
          <w:lang w:val="en-GB"/>
        </w:rPr>
        <w:t>access for users to participate in creative reuse and its communication online</w:t>
      </w:r>
      <w:r w:rsidR="005265C7">
        <w:rPr>
          <w:rFonts w:ascii="Times New Roman" w:hAnsi="Times New Roman"/>
          <w:bCs/>
          <w:lang w:val="en-GB"/>
        </w:rPr>
        <w:t>.</w:t>
      </w:r>
      <w:r w:rsidR="00155B03">
        <w:rPr>
          <w:rFonts w:ascii="Times New Roman" w:hAnsi="Times New Roman"/>
          <w:bCs/>
          <w:lang w:val="en-GB"/>
        </w:rPr>
        <w:t xml:space="preserve"> It would be akin to a social contract between authors where </w:t>
      </w:r>
      <w:r w:rsidR="00792663">
        <w:rPr>
          <w:rFonts w:ascii="Times New Roman" w:hAnsi="Times New Roman"/>
          <w:bCs/>
          <w:lang w:val="en-GB"/>
        </w:rPr>
        <w:t xml:space="preserve">a certain degree of creative reuse </w:t>
      </w:r>
      <w:r w:rsidR="00DF4226">
        <w:rPr>
          <w:rFonts w:ascii="Times New Roman" w:hAnsi="Times New Roman"/>
          <w:bCs/>
          <w:lang w:val="en-GB"/>
        </w:rPr>
        <w:t>forms part of the initial artistic communication.</w:t>
      </w:r>
      <w:r w:rsidR="00DF4226">
        <w:rPr>
          <w:rStyle w:val="FootnoteReference"/>
          <w:rFonts w:ascii="Times New Roman" w:hAnsi="Times New Roman"/>
          <w:bCs/>
          <w:lang w:val="en-GB"/>
        </w:rPr>
        <w:footnoteReference w:id="8"/>
      </w:r>
      <w:r w:rsidR="005A5DC2">
        <w:rPr>
          <w:rFonts w:ascii="Times New Roman" w:hAnsi="Times New Roman"/>
          <w:bCs/>
          <w:lang w:val="en-GB"/>
        </w:rPr>
        <w:t xml:space="preserve"> Practically, this would take the form of a departure point from enforcement of artistic communication</w:t>
      </w:r>
      <w:r w:rsidR="00052630">
        <w:rPr>
          <w:rFonts w:ascii="Times New Roman" w:hAnsi="Times New Roman"/>
          <w:bCs/>
          <w:lang w:val="en-GB"/>
        </w:rPr>
        <w:t xml:space="preserve"> of the EU copyright system</w:t>
      </w:r>
      <w:r w:rsidR="00CC7484">
        <w:rPr>
          <w:rFonts w:ascii="Times New Roman" w:hAnsi="Times New Roman"/>
          <w:bCs/>
          <w:lang w:val="en-GB"/>
        </w:rPr>
        <w:t>,</w:t>
      </w:r>
      <w:r w:rsidR="00EB7668">
        <w:rPr>
          <w:rFonts w:ascii="Times New Roman" w:hAnsi="Times New Roman"/>
          <w:bCs/>
          <w:lang w:val="en-GB"/>
        </w:rPr>
        <w:t xml:space="preserve"> particularly creative reuse</w:t>
      </w:r>
      <w:r w:rsidR="00CC7484">
        <w:rPr>
          <w:rFonts w:ascii="Times New Roman" w:hAnsi="Times New Roman"/>
          <w:bCs/>
          <w:lang w:val="en-GB"/>
        </w:rPr>
        <w:t>s</w:t>
      </w:r>
      <w:r w:rsidR="00EB7668">
        <w:rPr>
          <w:rFonts w:ascii="Times New Roman" w:hAnsi="Times New Roman"/>
          <w:bCs/>
          <w:lang w:val="en-GB"/>
        </w:rPr>
        <w:t xml:space="preserve"> uploaded to platforms.</w:t>
      </w:r>
    </w:p>
    <w:p w14:paraId="63ABD1DA" w14:textId="27214500" w:rsidR="00E55979" w:rsidRPr="004E4CAF" w:rsidRDefault="00E55979" w:rsidP="00006B51">
      <w:pPr>
        <w:ind w:firstLine="227"/>
        <w:jc w:val="both"/>
        <w:rPr>
          <w:rFonts w:ascii="Times New Roman" w:hAnsi="Times New Roman"/>
          <w:bCs/>
          <w:color w:val="FF0000"/>
          <w:lang w:val="en-GB"/>
        </w:rPr>
      </w:pPr>
      <w:r>
        <w:rPr>
          <w:rFonts w:ascii="Times New Roman" w:hAnsi="Times New Roman"/>
          <w:bCs/>
          <w:lang w:val="en-GB"/>
        </w:rPr>
        <w:t xml:space="preserve">This article considers structuring the departure point </w:t>
      </w:r>
      <w:r w:rsidR="007E7705">
        <w:rPr>
          <w:rFonts w:ascii="Times New Roman" w:hAnsi="Times New Roman"/>
          <w:bCs/>
          <w:lang w:val="en-GB"/>
        </w:rPr>
        <w:t>from both within and outside the EU copyright system. In part A, the former is detailed through the overarching status of consent</w:t>
      </w:r>
      <w:r w:rsidR="0004636F">
        <w:rPr>
          <w:rFonts w:ascii="Times New Roman" w:hAnsi="Times New Roman"/>
          <w:bCs/>
          <w:lang w:val="en-GB"/>
        </w:rPr>
        <w:t>. B</w:t>
      </w:r>
      <w:r w:rsidR="007E7705">
        <w:rPr>
          <w:rFonts w:ascii="Times New Roman" w:hAnsi="Times New Roman"/>
          <w:bCs/>
          <w:lang w:val="en-GB"/>
        </w:rPr>
        <w:t xml:space="preserve">uilding </w:t>
      </w:r>
      <w:r w:rsidR="004C09EE">
        <w:rPr>
          <w:rFonts w:ascii="Times New Roman" w:hAnsi="Times New Roman"/>
          <w:bCs/>
          <w:lang w:val="en-GB"/>
        </w:rPr>
        <w:t>from t</w:t>
      </w:r>
      <w:r w:rsidR="007E7705">
        <w:rPr>
          <w:rFonts w:ascii="Times New Roman" w:hAnsi="Times New Roman"/>
          <w:bCs/>
          <w:lang w:val="en-GB"/>
        </w:rPr>
        <w:t xml:space="preserve">he doctrine of exhaustion, the article suggests that it is possible to </w:t>
      </w:r>
      <w:r w:rsidR="0004636F">
        <w:rPr>
          <w:rFonts w:ascii="Times New Roman" w:hAnsi="Times New Roman"/>
          <w:bCs/>
          <w:lang w:val="en-GB"/>
        </w:rPr>
        <w:t>authorise creative reuse on the condition of remuneration through platform monetization.</w:t>
      </w:r>
      <w:r w:rsidR="00836164">
        <w:rPr>
          <w:rFonts w:ascii="Times New Roman" w:hAnsi="Times New Roman"/>
          <w:bCs/>
          <w:lang w:val="en-GB"/>
        </w:rPr>
        <w:t xml:space="preserve"> In part B, </w:t>
      </w:r>
      <w:r w:rsidR="00FE55D4">
        <w:rPr>
          <w:rFonts w:ascii="Times New Roman" w:hAnsi="Times New Roman"/>
          <w:bCs/>
          <w:lang w:val="en-GB"/>
        </w:rPr>
        <w:t>the article considers whether creativity is better safeguarded online</w:t>
      </w:r>
      <w:r w:rsidR="008F4FCF">
        <w:rPr>
          <w:rFonts w:ascii="Times New Roman" w:hAnsi="Times New Roman"/>
          <w:bCs/>
          <w:lang w:val="en-GB"/>
        </w:rPr>
        <w:t xml:space="preserve"> through </w:t>
      </w:r>
      <w:r w:rsidR="00267A5C">
        <w:rPr>
          <w:rFonts w:ascii="Times New Roman" w:hAnsi="Times New Roman"/>
          <w:bCs/>
          <w:lang w:val="en-GB"/>
        </w:rPr>
        <w:t>the horizontal application of fundamental rights outside of the EU copyright system. Lastly, the article considers the extent to which recent legislative requirements reflect these approaches.</w:t>
      </w:r>
    </w:p>
    <w:p w14:paraId="5A966AAE" w14:textId="1EFA4DAD" w:rsidR="00B82E27" w:rsidRDefault="0031176E" w:rsidP="001E3C9A">
      <w:pPr>
        <w:pStyle w:val="Heading1"/>
        <w:jc w:val="both"/>
        <w:rPr>
          <w:lang w:val="en-GB"/>
        </w:rPr>
      </w:pPr>
      <w:bookmarkStart w:id="1" w:name="_Toc157606428"/>
      <w:r>
        <w:rPr>
          <w:lang w:val="en-GB"/>
        </w:rPr>
        <w:t>C</w:t>
      </w:r>
      <w:r w:rsidR="008369A8">
        <w:rPr>
          <w:lang w:val="en-GB"/>
        </w:rPr>
        <w:t>onsent</w:t>
      </w:r>
      <w:r w:rsidR="006C0F51">
        <w:rPr>
          <w:lang w:val="en-GB"/>
        </w:rPr>
        <w:t xml:space="preserve"> to reuse and recreate</w:t>
      </w:r>
      <w:r w:rsidR="00902103">
        <w:rPr>
          <w:lang w:val="en-GB"/>
        </w:rPr>
        <w:t xml:space="preserve"> on platforms</w:t>
      </w:r>
      <w:r w:rsidR="00D4413A">
        <w:rPr>
          <w:lang w:val="en-GB"/>
        </w:rPr>
        <w:t xml:space="preserve"> within the EU copyright </w:t>
      </w:r>
      <w:proofErr w:type="gramStart"/>
      <w:r w:rsidR="00D4413A">
        <w:rPr>
          <w:lang w:val="en-GB"/>
        </w:rPr>
        <w:t>system</w:t>
      </w:r>
      <w:bookmarkEnd w:id="1"/>
      <w:proofErr w:type="gramEnd"/>
    </w:p>
    <w:p w14:paraId="2505581A" w14:textId="28AAC2AC" w:rsidR="009D2C32" w:rsidRDefault="0085629F" w:rsidP="00006B51">
      <w:pPr>
        <w:ind w:firstLine="227"/>
        <w:jc w:val="both"/>
        <w:rPr>
          <w:rFonts w:ascii="Times New Roman" w:hAnsi="Times New Roman"/>
          <w:bCs/>
          <w:lang w:val="en-GB"/>
        </w:rPr>
      </w:pPr>
      <w:r>
        <w:rPr>
          <w:rFonts w:ascii="Times New Roman" w:hAnsi="Times New Roman"/>
          <w:lang w:val="en-GB"/>
        </w:rPr>
        <w:t>C</w:t>
      </w:r>
      <w:r w:rsidR="009D2C32">
        <w:rPr>
          <w:rFonts w:ascii="Times New Roman" w:hAnsi="Times New Roman"/>
          <w:lang w:val="en-GB"/>
        </w:rPr>
        <w:t>reative autonomy is fundamental to authorship and should centre the discussion of platform liability for copyright infringement. From the creative process through to distribution and consumption of creative content, authorial control over its communication to the public is a fundamental tenant of artistic creation. Self-autonomy requires authors to shape their own life, and alongside it, how they ultimately express themselves and communicate with those around them.</w:t>
      </w:r>
      <w:r w:rsidR="009D2C32">
        <w:rPr>
          <w:rStyle w:val="FootnoteReference"/>
          <w:rFonts w:ascii="Times New Roman" w:hAnsi="Times New Roman"/>
          <w:lang w:val="en-GB"/>
        </w:rPr>
        <w:footnoteReference w:id="9"/>
      </w:r>
      <w:r w:rsidR="009D2C32">
        <w:rPr>
          <w:rFonts w:ascii="Times New Roman" w:hAnsi="Times New Roman"/>
          <w:lang w:val="en-GB"/>
        </w:rPr>
        <w:t xml:space="preserve"> Indeed, tr</w:t>
      </w:r>
      <w:r w:rsidR="009D2C32">
        <w:rPr>
          <w:rFonts w:ascii="Times New Roman" w:hAnsi="Times New Roman"/>
          <w:bCs/>
          <w:lang w:val="en-GB"/>
        </w:rPr>
        <w:t>aditional p</w:t>
      </w:r>
      <w:r w:rsidR="009D2C32" w:rsidRPr="002272A4">
        <w:rPr>
          <w:rFonts w:ascii="Times New Roman" w:hAnsi="Times New Roman"/>
          <w:bCs/>
          <w:lang w:val="en-GB"/>
        </w:rPr>
        <w:t xml:space="preserve">ersonhood theories of copyright law </w:t>
      </w:r>
      <w:r w:rsidR="009D2C32">
        <w:rPr>
          <w:rFonts w:ascii="Times New Roman" w:hAnsi="Times New Roman"/>
          <w:bCs/>
          <w:lang w:val="en-GB"/>
        </w:rPr>
        <w:t>justify protecting creative autonomy by respecting the relationship between an author and their work.</w:t>
      </w:r>
      <w:r w:rsidR="009D2C32">
        <w:rPr>
          <w:rStyle w:val="FootnoteReference"/>
          <w:rFonts w:ascii="Times New Roman" w:hAnsi="Times New Roman"/>
          <w:bCs/>
          <w:lang w:val="en-GB"/>
        </w:rPr>
        <w:footnoteReference w:id="10"/>
      </w:r>
      <w:r w:rsidR="009D2C32">
        <w:rPr>
          <w:rFonts w:ascii="Times New Roman" w:hAnsi="Times New Roman"/>
          <w:bCs/>
          <w:lang w:val="en-GB"/>
        </w:rPr>
        <w:t xml:space="preserve"> While the romantic author has long been challenged,</w:t>
      </w:r>
      <w:r w:rsidR="009D2C32">
        <w:rPr>
          <w:rStyle w:val="FootnoteReference"/>
          <w:rFonts w:ascii="Times New Roman" w:hAnsi="Times New Roman"/>
          <w:bCs/>
          <w:lang w:val="en-GB"/>
        </w:rPr>
        <w:footnoteReference w:id="11"/>
      </w:r>
      <w:r w:rsidR="009D2C32">
        <w:rPr>
          <w:rFonts w:ascii="Times New Roman" w:hAnsi="Times New Roman"/>
          <w:bCs/>
          <w:lang w:val="en-GB"/>
        </w:rPr>
        <w:t xml:space="preserve">  the idea that there is a significant link between creative autonomy and artistic communication is a helpful starting point to assess how obligations placed on platforms</w:t>
      </w:r>
      <w:r w:rsidR="008B54CE">
        <w:rPr>
          <w:rFonts w:ascii="Times New Roman" w:hAnsi="Times New Roman"/>
          <w:bCs/>
          <w:lang w:val="en-GB"/>
        </w:rPr>
        <w:t xml:space="preserve"> to</w:t>
      </w:r>
      <w:r w:rsidR="009D2C32">
        <w:rPr>
          <w:rFonts w:ascii="Times New Roman" w:hAnsi="Times New Roman"/>
          <w:bCs/>
          <w:lang w:val="en-GB"/>
        </w:rPr>
        <w:t xml:space="preserve"> enforce exploitation rights</w:t>
      </w:r>
      <w:r w:rsidR="00CB2D0E">
        <w:rPr>
          <w:rFonts w:ascii="Times New Roman" w:hAnsi="Times New Roman"/>
          <w:bCs/>
          <w:lang w:val="en-GB"/>
        </w:rPr>
        <w:t xml:space="preserve"> should also</w:t>
      </w:r>
      <w:r>
        <w:rPr>
          <w:rFonts w:ascii="Times New Roman" w:hAnsi="Times New Roman"/>
          <w:bCs/>
          <w:lang w:val="en-GB"/>
        </w:rPr>
        <w:t xml:space="preserve"> safeguard creativity.</w:t>
      </w:r>
    </w:p>
    <w:p w14:paraId="4014C79B" w14:textId="2DF8AE61" w:rsidR="00DD12F6" w:rsidRDefault="001913FD" w:rsidP="00755E24">
      <w:pPr>
        <w:ind w:firstLine="227"/>
        <w:jc w:val="both"/>
        <w:rPr>
          <w:rFonts w:ascii="Times New Roman" w:hAnsi="Times New Roman"/>
          <w:bCs/>
          <w:lang w:val="en-GB"/>
        </w:rPr>
      </w:pPr>
      <w:r>
        <w:rPr>
          <w:rFonts w:ascii="Times New Roman" w:hAnsi="Times New Roman"/>
          <w:bCs/>
          <w:lang w:val="en-GB"/>
        </w:rPr>
        <w:t>This article proposes that</w:t>
      </w:r>
      <w:r w:rsidR="00955736">
        <w:rPr>
          <w:rFonts w:ascii="Times New Roman" w:hAnsi="Times New Roman"/>
          <w:bCs/>
          <w:lang w:val="en-GB"/>
        </w:rPr>
        <w:t xml:space="preserve"> the principle of consent can provide guidance for </w:t>
      </w:r>
      <w:r w:rsidR="005172DA">
        <w:rPr>
          <w:rFonts w:ascii="Times New Roman" w:hAnsi="Times New Roman"/>
          <w:bCs/>
          <w:lang w:val="en-GB"/>
        </w:rPr>
        <w:t xml:space="preserve">these obligations in a manner that balances authors, users, </w:t>
      </w:r>
      <w:r w:rsidR="00DD12F6">
        <w:rPr>
          <w:rFonts w:ascii="Times New Roman" w:hAnsi="Times New Roman"/>
          <w:bCs/>
          <w:lang w:val="en-GB"/>
        </w:rPr>
        <w:t>exploiters,</w:t>
      </w:r>
      <w:r w:rsidR="005172DA">
        <w:rPr>
          <w:rFonts w:ascii="Times New Roman" w:hAnsi="Times New Roman"/>
          <w:bCs/>
          <w:lang w:val="en-GB"/>
        </w:rPr>
        <w:t xml:space="preserve"> and platforms’ interests </w:t>
      </w:r>
      <w:r w:rsidR="00755E24">
        <w:rPr>
          <w:rFonts w:ascii="Times New Roman" w:hAnsi="Times New Roman"/>
          <w:bCs/>
          <w:lang w:val="en-GB"/>
        </w:rPr>
        <w:t>while simultaneously providing an essential online space for creativity. Generally, a</w:t>
      </w:r>
      <w:r w:rsidR="00F579ED" w:rsidRPr="004A6707">
        <w:rPr>
          <w:rFonts w:ascii="Times New Roman" w:hAnsi="Times New Roman"/>
          <w:bCs/>
          <w:lang w:val="en-GB"/>
        </w:rPr>
        <w:t>s</w:t>
      </w:r>
      <w:r w:rsidR="004D13F1">
        <w:rPr>
          <w:rFonts w:ascii="Times New Roman" w:hAnsi="Times New Roman"/>
          <w:bCs/>
          <w:lang w:val="en-GB"/>
        </w:rPr>
        <w:t xml:space="preserve"> a</w:t>
      </w:r>
      <w:r w:rsidR="00F579ED" w:rsidRPr="004A6707">
        <w:rPr>
          <w:rFonts w:ascii="Times New Roman" w:hAnsi="Times New Roman"/>
          <w:bCs/>
          <w:lang w:val="en-GB"/>
        </w:rPr>
        <w:t xml:space="preserve"> </w:t>
      </w:r>
      <w:r w:rsidR="009934D9" w:rsidRPr="004A6707">
        <w:rPr>
          <w:rFonts w:ascii="Times New Roman" w:hAnsi="Times New Roman"/>
          <w:bCs/>
          <w:lang w:val="en-GB"/>
        </w:rPr>
        <w:t xml:space="preserve">gatekeeper </w:t>
      </w:r>
      <w:r w:rsidR="0002650E" w:rsidRPr="004A6707">
        <w:rPr>
          <w:rFonts w:ascii="Times New Roman" w:hAnsi="Times New Roman"/>
          <w:bCs/>
          <w:lang w:val="en-GB"/>
        </w:rPr>
        <w:t>of</w:t>
      </w:r>
      <w:r w:rsidR="009934D9" w:rsidRPr="004A6707">
        <w:rPr>
          <w:rFonts w:ascii="Times New Roman" w:hAnsi="Times New Roman"/>
          <w:bCs/>
          <w:lang w:val="en-GB"/>
        </w:rPr>
        <w:t xml:space="preserve"> </w:t>
      </w:r>
      <w:r w:rsidR="00755E24">
        <w:rPr>
          <w:rFonts w:ascii="Times New Roman" w:hAnsi="Times New Roman"/>
          <w:bCs/>
          <w:lang w:val="en-GB"/>
        </w:rPr>
        <w:t>copyright,</w:t>
      </w:r>
      <w:r w:rsidR="00F579ED" w:rsidRPr="004A6707">
        <w:rPr>
          <w:rFonts w:ascii="Times New Roman" w:hAnsi="Times New Roman"/>
          <w:bCs/>
          <w:lang w:val="en-GB"/>
        </w:rPr>
        <w:t xml:space="preserve"> it has the capacity to reshape the boundaries of the</w:t>
      </w:r>
      <w:r w:rsidR="00DC08F1">
        <w:rPr>
          <w:rFonts w:ascii="Times New Roman" w:hAnsi="Times New Roman"/>
          <w:bCs/>
          <w:lang w:val="en-GB"/>
        </w:rPr>
        <w:t xml:space="preserve"> </w:t>
      </w:r>
      <w:r w:rsidR="00DD12F6">
        <w:rPr>
          <w:rFonts w:ascii="Times New Roman" w:hAnsi="Times New Roman"/>
          <w:bCs/>
          <w:lang w:val="en-GB"/>
        </w:rPr>
        <w:t>copyright</w:t>
      </w:r>
      <w:r w:rsidR="00DC08F1">
        <w:rPr>
          <w:rFonts w:ascii="Times New Roman" w:hAnsi="Times New Roman"/>
          <w:bCs/>
          <w:lang w:val="en-GB"/>
        </w:rPr>
        <w:t xml:space="preserve"> system</w:t>
      </w:r>
      <w:r w:rsidR="00DD12F6">
        <w:rPr>
          <w:rFonts w:ascii="Times New Roman" w:hAnsi="Times New Roman"/>
          <w:bCs/>
          <w:lang w:val="en-GB"/>
        </w:rPr>
        <w:t xml:space="preserve"> to reflect creative practices</w:t>
      </w:r>
      <w:r w:rsidR="00F579ED" w:rsidRPr="004A6707">
        <w:rPr>
          <w:rFonts w:ascii="Times New Roman" w:hAnsi="Times New Roman"/>
          <w:bCs/>
          <w:lang w:val="en-GB"/>
        </w:rPr>
        <w:t xml:space="preserve">. </w:t>
      </w:r>
      <w:r w:rsidR="004A6707">
        <w:rPr>
          <w:rFonts w:ascii="Times New Roman" w:hAnsi="Times New Roman"/>
          <w:bCs/>
          <w:lang w:val="en-GB"/>
        </w:rPr>
        <w:t>While</w:t>
      </w:r>
      <w:r w:rsidR="0036097B" w:rsidRPr="004A6707">
        <w:rPr>
          <w:rFonts w:ascii="Times New Roman" w:hAnsi="Times New Roman"/>
          <w:bCs/>
          <w:lang w:val="en-GB"/>
        </w:rPr>
        <w:t xml:space="preserve"> often viewed as an explicit act </w:t>
      </w:r>
      <w:r w:rsidR="00DD12F6">
        <w:rPr>
          <w:rFonts w:ascii="Times New Roman" w:hAnsi="Times New Roman"/>
          <w:bCs/>
          <w:lang w:val="en-GB"/>
        </w:rPr>
        <w:t>of authorisation,</w:t>
      </w:r>
      <w:r w:rsidR="0036097B" w:rsidRPr="004A6707">
        <w:rPr>
          <w:rFonts w:ascii="Times New Roman" w:hAnsi="Times New Roman"/>
          <w:bCs/>
          <w:lang w:val="en-GB"/>
        </w:rPr>
        <w:t xml:space="preserve"> the</w:t>
      </w:r>
      <w:r w:rsidR="00DC08F1">
        <w:rPr>
          <w:rFonts w:ascii="Times New Roman" w:hAnsi="Times New Roman"/>
          <w:bCs/>
          <w:lang w:val="en-GB"/>
        </w:rPr>
        <w:t xml:space="preserve"> copyright</w:t>
      </w:r>
      <w:r w:rsidR="0036097B" w:rsidRPr="004A6707">
        <w:rPr>
          <w:rFonts w:ascii="Times New Roman" w:hAnsi="Times New Roman"/>
          <w:bCs/>
          <w:lang w:val="en-GB"/>
        </w:rPr>
        <w:t xml:space="preserve"> system itself also provides ‘free spaces’</w:t>
      </w:r>
      <w:r w:rsidR="004A6707">
        <w:rPr>
          <w:rFonts w:ascii="Times New Roman" w:hAnsi="Times New Roman"/>
          <w:bCs/>
          <w:lang w:val="en-GB"/>
        </w:rPr>
        <w:t xml:space="preserve"> where acts are authorised by law</w:t>
      </w:r>
      <w:r w:rsidR="0036097B" w:rsidRPr="004A6707">
        <w:rPr>
          <w:rFonts w:ascii="Times New Roman" w:hAnsi="Times New Roman"/>
          <w:bCs/>
          <w:lang w:val="en-GB"/>
        </w:rPr>
        <w:t xml:space="preserve">, residing outside the boundaries of enforcement. These are evident in the patchwork of principles within the national and CJEU jurisprudence, statutory </w:t>
      </w:r>
      <w:proofErr w:type="gramStart"/>
      <w:r w:rsidR="0036097B" w:rsidRPr="004A6707">
        <w:rPr>
          <w:rFonts w:ascii="Times New Roman" w:hAnsi="Times New Roman"/>
          <w:bCs/>
          <w:lang w:val="en-GB"/>
        </w:rPr>
        <w:t>exceptions</w:t>
      </w:r>
      <w:proofErr w:type="gramEnd"/>
      <w:r w:rsidR="0036097B" w:rsidRPr="004A6707">
        <w:rPr>
          <w:rFonts w:ascii="Times New Roman" w:hAnsi="Times New Roman"/>
          <w:bCs/>
          <w:lang w:val="en-GB"/>
        </w:rPr>
        <w:t xml:space="preserve"> and limitations, and more recently the influence of fundament</w:t>
      </w:r>
      <w:r w:rsidR="00CC521D">
        <w:rPr>
          <w:rFonts w:ascii="Times New Roman" w:hAnsi="Times New Roman"/>
          <w:bCs/>
          <w:lang w:val="en-GB"/>
        </w:rPr>
        <w:t>al</w:t>
      </w:r>
      <w:r w:rsidR="0036097B" w:rsidRPr="004A6707">
        <w:rPr>
          <w:rFonts w:ascii="Times New Roman" w:hAnsi="Times New Roman"/>
          <w:bCs/>
          <w:lang w:val="en-GB"/>
        </w:rPr>
        <w:t xml:space="preserve"> rights, specifically freedom of expression and art. </w:t>
      </w:r>
    </w:p>
    <w:p w14:paraId="58A05610" w14:textId="27BE06A0" w:rsidR="00C2584E" w:rsidRDefault="004A6707" w:rsidP="00006B51">
      <w:pPr>
        <w:ind w:firstLine="227"/>
        <w:jc w:val="both"/>
        <w:rPr>
          <w:rFonts w:ascii="Times New Roman" w:hAnsi="Times New Roman"/>
          <w:bCs/>
          <w:lang w:val="en-GB"/>
        </w:rPr>
      </w:pPr>
      <w:r>
        <w:rPr>
          <w:rFonts w:ascii="Times New Roman" w:hAnsi="Times New Roman"/>
          <w:bCs/>
          <w:lang w:val="en-GB"/>
        </w:rPr>
        <w:t>Traditionally, t</w:t>
      </w:r>
      <w:r w:rsidR="0036097B" w:rsidRPr="004A6707">
        <w:rPr>
          <w:rFonts w:ascii="Times New Roman" w:hAnsi="Times New Roman"/>
          <w:bCs/>
          <w:lang w:val="en-GB"/>
        </w:rPr>
        <w:t xml:space="preserve">hese spaces were </w:t>
      </w:r>
      <w:r>
        <w:rPr>
          <w:rFonts w:ascii="Times New Roman" w:hAnsi="Times New Roman"/>
          <w:bCs/>
          <w:lang w:val="en-GB"/>
        </w:rPr>
        <w:t>i</w:t>
      </w:r>
      <w:r w:rsidR="0036097B" w:rsidRPr="004A6707">
        <w:rPr>
          <w:rFonts w:ascii="Times New Roman" w:hAnsi="Times New Roman"/>
          <w:bCs/>
          <w:lang w:val="en-GB"/>
        </w:rPr>
        <w:t>nterpreted restrictively</w:t>
      </w:r>
      <w:r>
        <w:rPr>
          <w:rFonts w:ascii="Times New Roman" w:hAnsi="Times New Roman"/>
          <w:bCs/>
          <w:lang w:val="en-GB"/>
        </w:rPr>
        <w:t xml:space="preserve"> by CJEU case law</w:t>
      </w:r>
      <w:r w:rsidR="0036097B" w:rsidRPr="004A6707">
        <w:rPr>
          <w:rFonts w:ascii="Times New Roman" w:hAnsi="Times New Roman"/>
          <w:bCs/>
          <w:lang w:val="en-GB"/>
        </w:rPr>
        <w:t xml:space="preserve"> due to the standard enshrined within the Information Society Directive that IP rights should receive strong protection.</w:t>
      </w:r>
      <w:r w:rsidR="00DC1EBE">
        <w:rPr>
          <w:rFonts w:ascii="Times New Roman" w:hAnsi="Times New Roman"/>
          <w:bCs/>
          <w:lang w:val="en-GB"/>
        </w:rPr>
        <w:t xml:space="preserve"> </w:t>
      </w:r>
      <w:r w:rsidR="00F54251">
        <w:rPr>
          <w:rFonts w:ascii="Times New Roman" w:hAnsi="Times New Roman"/>
          <w:bCs/>
          <w:lang w:val="en-GB"/>
        </w:rPr>
        <w:t xml:space="preserve">Though some of this interpretive footing began to shift when the fair balance between copyright interests </w:t>
      </w:r>
      <w:r w:rsidR="00F54251">
        <w:rPr>
          <w:rFonts w:ascii="Times New Roman" w:hAnsi="Times New Roman"/>
          <w:bCs/>
          <w:lang w:val="en-GB"/>
        </w:rPr>
        <w:lastRenderedPageBreak/>
        <w:t>began to be emphasized,</w:t>
      </w:r>
      <w:r w:rsidR="00F54251" w:rsidRPr="00F54251">
        <w:rPr>
          <w:rFonts w:ascii="Times New Roman" w:hAnsi="Times New Roman"/>
          <w:bCs/>
          <w:vertAlign w:val="superscript"/>
        </w:rPr>
        <w:footnoteReference w:id="12"/>
      </w:r>
      <w:r w:rsidR="00F54251" w:rsidRPr="00F54251">
        <w:rPr>
          <w:rFonts w:ascii="Times New Roman" w:hAnsi="Times New Roman"/>
          <w:bCs/>
          <w:vertAlign w:val="superscript"/>
          <w:lang w:val="en-GB"/>
        </w:rPr>
        <w:t xml:space="preserve"> </w:t>
      </w:r>
      <w:r w:rsidR="00294C42" w:rsidRPr="00F54251">
        <w:rPr>
          <w:rFonts w:ascii="Times New Roman" w:hAnsi="Times New Roman"/>
          <w:bCs/>
          <w:lang w:val="en-GB"/>
        </w:rPr>
        <w:t>r</w:t>
      </w:r>
      <w:r w:rsidR="0017022D" w:rsidRPr="00F54251">
        <w:rPr>
          <w:rFonts w:ascii="Times New Roman" w:hAnsi="Times New Roman"/>
          <w:bCs/>
          <w:lang w:val="en-GB"/>
        </w:rPr>
        <w:t>ecent CJEU jurisprudence severely limit</w:t>
      </w:r>
      <w:r w:rsidR="00F54251">
        <w:rPr>
          <w:rFonts w:ascii="Times New Roman" w:hAnsi="Times New Roman"/>
          <w:bCs/>
          <w:lang w:val="en-GB"/>
        </w:rPr>
        <w:t>s</w:t>
      </w:r>
      <w:r w:rsidR="0017022D" w:rsidRPr="00F54251">
        <w:rPr>
          <w:rFonts w:ascii="Times New Roman" w:hAnsi="Times New Roman"/>
          <w:bCs/>
          <w:lang w:val="en-GB"/>
        </w:rPr>
        <w:t xml:space="preserve"> the external application of fundamental rights to copyright limitations and exceptions.</w:t>
      </w:r>
      <w:r w:rsidR="00EF25AA" w:rsidRPr="00F54251">
        <w:rPr>
          <w:rFonts w:ascii="Times New Roman" w:hAnsi="Times New Roman"/>
          <w:bCs/>
          <w:lang w:val="en-GB"/>
        </w:rPr>
        <w:t xml:space="preserve"> </w:t>
      </w:r>
      <w:r w:rsidR="00F11D37" w:rsidRPr="00F54251">
        <w:rPr>
          <w:rFonts w:ascii="Times New Roman" w:hAnsi="Times New Roman"/>
          <w:bCs/>
          <w:lang w:val="en-GB"/>
        </w:rPr>
        <w:t>Now the emphasis is on whether the provision’s construction already considers the balance of fundamental rights</w:t>
      </w:r>
      <w:r w:rsidR="008C44B3" w:rsidRPr="00F54251">
        <w:rPr>
          <w:rFonts w:ascii="Times New Roman" w:hAnsi="Times New Roman"/>
          <w:bCs/>
          <w:lang w:val="en-GB"/>
        </w:rPr>
        <w:t>. An example is the parody exception, which as an autonomous concept of EU law,</w:t>
      </w:r>
      <w:r w:rsidR="00AC73AC" w:rsidRPr="00F54251">
        <w:rPr>
          <w:rFonts w:ascii="Times New Roman" w:hAnsi="Times New Roman"/>
          <w:bCs/>
          <w:vertAlign w:val="superscript"/>
        </w:rPr>
        <w:footnoteReference w:id="13"/>
      </w:r>
      <w:r w:rsidR="008C44B3" w:rsidRPr="00F54251">
        <w:rPr>
          <w:rFonts w:ascii="Times New Roman" w:hAnsi="Times New Roman"/>
          <w:bCs/>
          <w:lang w:val="en-GB"/>
        </w:rPr>
        <w:t xml:space="preserve"> denies the consideration of fundamental rights </w:t>
      </w:r>
      <w:r w:rsidR="00AC73AC" w:rsidRPr="00F54251">
        <w:rPr>
          <w:rFonts w:ascii="Times New Roman" w:hAnsi="Times New Roman"/>
          <w:bCs/>
          <w:lang w:val="en-GB"/>
        </w:rPr>
        <w:t>when construing its application.</w:t>
      </w:r>
      <w:r w:rsidR="00F54251">
        <w:rPr>
          <w:rStyle w:val="FootnoteReference"/>
          <w:rFonts w:ascii="Times New Roman" w:hAnsi="Times New Roman"/>
          <w:bCs/>
          <w:lang w:val="en-GB"/>
        </w:rPr>
        <w:footnoteReference w:id="14"/>
      </w:r>
      <w:r w:rsidR="00AC73AC" w:rsidRPr="00F54251">
        <w:rPr>
          <w:rFonts w:ascii="Times New Roman" w:hAnsi="Times New Roman"/>
          <w:bCs/>
          <w:lang w:val="en-GB"/>
        </w:rPr>
        <w:t xml:space="preserve"> This leaves only situations where the provision </w:t>
      </w:r>
      <w:r w:rsidR="00C2584E" w:rsidRPr="00F54251">
        <w:rPr>
          <w:rFonts w:ascii="Times New Roman" w:hAnsi="Times New Roman"/>
          <w:bCs/>
          <w:lang w:val="en-GB"/>
        </w:rPr>
        <w:t>is not entirely determined by EU law</w:t>
      </w:r>
      <w:r w:rsidR="00AC73AC" w:rsidRPr="00F54251">
        <w:rPr>
          <w:rFonts w:ascii="Times New Roman" w:hAnsi="Times New Roman"/>
          <w:bCs/>
          <w:lang w:val="en-GB"/>
        </w:rPr>
        <w:t xml:space="preserve"> open for </w:t>
      </w:r>
      <w:r w:rsidR="00C2584E" w:rsidRPr="00F54251">
        <w:rPr>
          <w:rFonts w:ascii="Times New Roman" w:hAnsi="Times New Roman"/>
          <w:bCs/>
          <w:lang w:val="en-GB"/>
        </w:rPr>
        <w:t>fundamental rights</w:t>
      </w:r>
      <w:r w:rsidR="003B2F5E" w:rsidRPr="00F54251">
        <w:rPr>
          <w:rFonts w:ascii="Times New Roman" w:hAnsi="Times New Roman"/>
          <w:bCs/>
          <w:lang w:val="en-GB"/>
        </w:rPr>
        <w:t xml:space="preserve"> considerations during construction. </w:t>
      </w:r>
      <w:r w:rsidR="004D78D8" w:rsidRPr="00F54251">
        <w:rPr>
          <w:rFonts w:ascii="Times New Roman" w:hAnsi="Times New Roman"/>
          <w:bCs/>
          <w:lang w:val="en-GB"/>
        </w:rPr>
        <w:t>The discretion of national courts then appears to be on a case-by-case basis specific to the wording of the limitation or exception.</w:t>
      </w:r>
    </w:p>
    <w:p w14:paraId="56257572" w14:textId="033F0B2F" w:rsidR="00294C42" w:rsidRPr="00B6412F" w:rsidRDefault="00FE4820" w:rsidP="00006B51">
      <w:pPr>
        <w:ind w:firstLine="227"/>
        <w:jc w:val="both"/>
        <w:rPr>
          <w:rFonts w:ascii="Times New Roman" w:hAnsi="Times New Roman"/>
          <w:bCs/>
          <w:lang w:val="en-GB"/>
        </w:rPr>
      </w:pPr>
      <w:r>
        <w:rPr>
          <w:rFonts w:ascii="Times New Roman" w:hAnsi="Times New Roman"/>
          <w:bCs/>
          <w:lang w:val="en-GB"/>
        </w:rPr>
        <w:t xml:space="preserve">Despite this setback, </w:t>
      </w:r>
      <w:r w:rsidR="00677834">
        <w:rPr>
          <w:rFonts w:ascii="Times New Roman" w:hAnsi="Times New Roman"/>
          <w:bCs/>
          <w:lang w:val="en-GB"/>
        </w:rPr>
        <w:t xml:space="preserve">this section offers a more </w:t>
      </w:r>
      <w:r w:rsidR="00970A9F">
        <w:rPr>
          <w:rFonts w:ascii="Times New Roman" w:hAnsi="Times New Roman"/>
          <w:bCs/>
          <w:lang w:val="en-GB"/>
        </w:rPr>
        <w:t>w</w:t>
      </w:r>
      <w:r w:rsidR="00677834">
        <w:rPr>
          <w:rFonts w:ascii="Times New Roman" w:hAnsi="Times New Roman"/>
          <w:bCs/>
          <w:lang w:val="en-GB"/>
        </w:rPr>
        <w:t>holistic analysis of t</w:t>
      </w:r>
      <w:r w:rsidR="003E70B7">
        <w:rPr>
          <w:rFonts w:ascii="Times New Roman" w:hAnsi="Times New Roman"/>
          <w:bCs/>
          <w:lang w:val="en-GB"/>
        </w:rPr>
        <w:t xml:space="preserve">he principle of consent within the EU copyright system. It maintains that the principle </w:t>
      </w:r>
      <w:r w:rsidR="00B6412F" w:rsidRPr="00B6412F">
        <w:rPr>
          <w:rFonts w:ascii="Times New Roman" w:hAnsi="Times New Roman"/>
          <w:lang w:val="en-GB"/>
        </w:rPr>
        <w:t xml:space="preserve">comprises a flexible nature suitable for building a creativity-based escape mechanism which would resolve the </w:t>
      </w:r>
      <w:r w:rsidR="00EB7250" w:rsidRPr="00B6412F">
        <w:rPr>
          <w:rFonts w:ascii="Times New Roman" w:hAnsi="Times New Roman"/>
          <w:lang w:val="en-GB"/>
        </w:rPr>
        <w:t xml:space="preserve">tension between the </w:t>
      </w:r>
      <w:r w:rsidR="008B6F65" w:rsidRPr="00B6412F">
        <w:rPr>
          <w:rFonts w:ascii="Times New Roman" w:hAnsi="Times New Roman"/>
          <w:lang w:val="en-GB"/>
        </w:rPr>
        <w:t>copyright</w:t>
      </w:r>
      <w:r w:rsidR="00B6412F">
        <w:rPr>
          <w:rFonts w:ascii="Times New Roman" w:hAnsi="Times New Roman"/>
          <w:lang w:val="en-GB"/>
        </w:rPr>
        <w:t xml:space="preserve"> system</w:t>
      </w:r>
      <w:r w:rsidR="008B6F65" w:rsidRPr="00B6412F">
        <w:rPr>
          <w:rFonts w:ascii="Times New Roman" w:hAnsi="Times New Roman"/>
          <w:lang w:val="en-GB"/>
        </w:rPr>
        <w:t xml:space="preserve"> and artistic system</w:t>
      </w:r>
      <w:r w:rsidR="000E56EA" w:rsidRPr="00B6412F">
        <w:rPr>
          <w:rFonts w:ascii="Times New Roman" w:hAnsi="Times New Roman"/>
          <w:lang w:val="en-GB"/>
        </w:rPr>
        <w:t xml:space="preserve">. </w:t>
      </w:r>
      <w:r w:rsidR="00CE3347" w:rsidRPr="00B6412F">
        <w:rPr>
          <w:rFonts w:ascii="Times New Roman" w:hAnsi="Times New Roman"/>
          <w:lang w:val="en-GB"/>
        </w:rPr>
        <w:t xml:space="preserve">This calls for reflection on </w:t>
      </w:r>
      <w:r w:rsidR="00EB12D9" w:rsidRPr="00B6412F">
        <w:rPr>
          <w:rFonts w:ascii="Times New Roman" w:hAnsi="Times New Roman"/>
          <w:lang w:val="en-GB"/>
        </w:rPr>
        <w:t xml:space="preserve">its structural framework, particularly on </w:t>
      </w:r>
      <w:r w:rsidR="00821D90" w:rsidRPr="00B6412F">
        <w:rPr>
          <w:rFonts w:ascii="Times New Roman" w:hAnsi="Times New Roman"/>
          <w:lang w:val="en-GB"/>
        </w:rPr>
        <w:t xml:space="preserve">the foundational role of consent to </w:t>
      </w:r>
      <w:r w:rsidR="00DB4633" w:rsidRPr="00B6412F">
        <w:rPr>
          <w:rFonts w:ascii="Times New Roman" w:hAnsi="Times New Roman"/>
          <w:lang w:val="en-GB"/>
        </w:rPr>
        <w:t>shape the boundaries of the copyright syste</w:t>
      </w:r>
      <w:r w:rsidR="00E711CD" w:rsidRPr="00B6412F">
        <w:rPr>
          <w:rFonts w:ascii="Times New Roman" w:hAnsi="Times New Roman"/>
          <w:lang w:val="en-GB"/>
        </w:rPr>
        <w:t>m specific to creative reuse.</w:t>
      </w:r>
      <w:r w:rsidR="00D96D17" w:rsidRPr="00B6412F">
        <w:rPr>
          <w:rFonts w:ascii="Times New Roman" w:hAnsi="Times New Roman"/>
          <w:lang w:val="en-GB"/>
        </w:rPr>
        <w:t xml:space="preserve"> Drawing from the notion of creative autonomy, this </w:t>
      </w:r>
      <w:r w:rsidR="0031176E" w:rsidRPr="00B6412F">
        <w:rPr>
          <w:rFonts w:ascii="Times New Roman" w:hAnsi="Times New Roman"/>
          <w:lang w:val="en-GB"/>
        </w:rPr>
        <w:t>section</w:t>
      </w:r>
      <w:r w:rsidR="00D96D17" w:rsidRPr="00B6412F">
        <w:rPr>
          <w:rFonts w:ascii="Times New Roman" w:hAnsi="Times New Roman"/>
          <w:lang w:val="en-GB"/>
        </w:rPr>
        <w:t xml:space="preserve"> proposes that authorial consent should serve as the </w:t>
      </w:r>
      <w:r w:rsidR="00E24E15" w:rsidRPr="00B6412F">
        <w:rPr>
          <w:rFonts w:ascii="Times New Roman" w:hAnsi="Times New Roman"/>
          <w:lang w:val="en-GB"/>
        </w:rPr>
        <w:t xml:space="preserve">criterion for </w:t>
      </w:r>
      <w:r w:rsidR="00900F6F" w:rsidRPr="00B6412F">
        <w:rPr>
          <w:rFonts w:ascii="Times New Roman" w:hAnsi="Times New Roman"/>
          <w:lang w:val="en-GB"/>
        </w:rPr>
        <w:t xml:space="preserve">a licensing framework </w:t>
      </w:r>
      <w:r w:rsidR="00237D2E">
        <w:rPr>
          <w:rFonts w:ascii="Times New Roman" w:hAnsi="Times New Roman"/>
          <w:lang w:val="en-GB"/>
        </w:rPr>
        <w:t>that allows</w:t>
      </w:r>
      <w:r w:rsidR="00E24E15" w:rsidRPr="00B6412F">
        <w:rPr>
          <w:rFonts w:ascii="Times New Roman" w:hAnsi="Times New Roman"/>
          <w:lang w:val="en-GB"/>
        </w:rPr>
        <w:t xml:space="preserve"> creative reuse</w:t>
      </w:r>
      <w:r w:rsidR="00B6412F">
        <w:rPr>
          <w:rFonts w:ascii="Times New Roman" w:hAnsi="Times New Roman"/>
          <w:lang w:val="en-GB"/>
        </w:rPr>
        <w:t xml:space="preserve"> on the condition of authorial remuneration by platforms.</w:t>
      </w:r>
    </w:p>
    <w:p w14:paraId="62B5043D" w14:textId="7AD2DB5D" w:rsidR="0031176E" w:rsidRDefault="005654D8" w:rsidP="0031176E">
      <w:pPr>
        <w:pStyle w:val="Heading2"/>
        <w:jc w:val="both"/>
        <w:rPr>
          <w:lang w:val="en-GB"/>
        </w:rPr>
      </w:pPr>
      <w:bookmarkStart w:id="2" w:name="_Toc157606429"/>
      <w:r>
        <w:rPr>
          <w:lang w:val="en-GB"/>
        </w:rPr>
        <w:t>The limits of authorial consent</w:t>
      </w:r>
      <w:bookmarkEnd w:id="2"/>
    </w:p>
    <w:p w14:paraId="43EF0482" w14:textId="10FAA63A" w:rsidR="004916CE" w:rsidRDefault="00890697" w:rsidP="00006B51">
      <w:pPr>
        <w:pStyle w:val="TextBeitragab2Absatz"/>
        <w:jc w:val="both"/>
        <w:rPr>
          <w:lang w:val="en-GB"/>
        </w:rPr>
      </w:pPr>
      <w:r>
        <w:rPr>
          <w:lang w:val="en-GB"/>
        </w:rPr>
        <w:t>Consent</w:t>
      </w:r>
      <w:r w:rsidR="005B03BA">
        <w:rPr>
          <w:lang w:val="en-GB"/>
        </w:rPr>
        <w:t xml:space="preserve"> is often applied within the EU copyright system as a norm-balancing exercise. </w:t>
      </w:r>
      <w:r w:rsidR="000D36B7">
        <w:rPr>
          <w:lang w:val="en-GB"/>
        </w:rPr>
        <w:t xml:space="preserve">The doctrine of exhaustion is one such example. Linked to notions of access and use of IP-protected </w:t>
      </w:r>
      <w:r w:rsidR="00BD01B6">
        <w:rPr>
          <w:lang w:val="en-GB"/>
        </w:rPr>
        <w:t>goods</w:t>
      </w:r>
      <w:r w:rsidR="000D36B7">
        <w:rPr>
          <w:lang w:val="en-GB"/>
        </w:rPr>
        <w:t>,</w:t>
      </w:r>
      <w:r w:rsidR="005C0CD5">
        <w:rPr>
          <w:lang w:val="en-GB"/>
        </w:rPr>
        <w:t xml:space="preserve"> </w:t>
      </w:r>
      <w:r w:rsidR="00266826">
        <w:rPr>
          <w:lang w:val="en-GB"/>
        </w:rPr>
        <w:t>Community-wide exhaustion was introduced to balance the free movement of goods against national IP rights</w:t>
      </w:r>
      <w:r w:rsidR="000F70E5">
        <w:rPr>
          <w:lang w:val="en-GB"/>
        </w:rPr>
        <w:t xml:space="preserve">. </w:t>
      </w:r>
      <w:r w:rsidR="00BD01B6">
        <w:rPr>
          <w:lang w:val="en-GB"/>
        </w:rPr>
        <w:t xml:space="preserve">The reliance on consent provided structural flexibility which meant that </w:t>
      </w:r>
      <w:r w:rsidR="00737D33">
        <w:rPr>
          <w:lang w:val="en-GB"/>
        </w:rPr>
        <w:t xml:space="preserve">following </w:t>
      </w:r>
      <w:r w:rsidR="003C7203">
        <w:rPr>
          <w:lang w:val="en-GB"/>
        </w:rPr>
        <w:t>consent to put a good on the market, the copyright holder’s ability to control further distribution</w:t>
      </w:r>
      <w:r w:rsidR="00BD01B6">
        <w:rPr>
          <w:lang w:val="en-GB"/>
        </w:rPr>
        <w:t xml:space="preserve"> of that specific product disappeared</w:t>
      </w:r>
      <w:r w:rsidR="003C7203">
        <w:rPr>
          <w:lang w:val="en-GB"/>
        </w:rPr>
        <w:t>.</w:t>
      </w:r>
      <w:r w:rsidR="004916CE">
        <w:rPr>
          <w:lang w:val="en-GB"/>
        </w:rPr>
        <w:t xml:space="preserve"> While one </w:t>
      </w:r>
      <w:r w:rsidR="00BD01B6">
        <w:rPr>
          <w:lang w:val="en-GB"/>
        </w:rPr>
        <w:t>c</w:t>
      </w:r>
      <w:r w:rsidR="004916CE">
        <w:rPr>
          <w:lang w:val="en-GB"/>
        </w:rPr>
        <w:t xml:space="preserve">ould </w:t>
      </w:r>
      <w:r w:rsidR="00AC73F7">
        <w:rPr>
          <w:lang w:val="en-GB"/>
        </w:rPr>
        <w:t>expect</w:t>
      </w:r>
      <w:r w:rsidR="004916CE">
        <w:rPr>
          <w:lang w:val="en-GB"/>
        </w:rPr>
        <w:t xml:space="preserve"> that only explicit authorisation would give rise to exhaustion, internal market case law </w:t>
      </w:r>
      <w:r w:rsidR="00BD01B6">
        <w:rPr>
          <w:lang w:val="en-GB"/>
        </w:rPr>
        <w:t>demonstrates</w:t>
      </w:r>
      <w:r w:rsidR="004916CE">
        <w:rPr>
          <w:lang w:val="en-GB"/>
        </w:rPr>
        <w:t xml:space="preserve"> that </w:t>
      </w:r>
      <w:r w:rsidR="00250900">
        <w:rPr>
          <w:lang w:val="en-GB"/>
        </w:rPr>
        <w:t>consent</w:t>
      </w:r>
      <w:r w:rsidR="004916CE">
        <w:rPr>
          <w:lang w:val="en-GB"/>
        </w:rPr>
        <w:t xml:space="preserve"> is slightly broader</w:t>
      </w:r>
      <w:r w:rsidR="000479B6">
        <w:rPr>
          <w:lang w:val="en-GB"/>
        </w:rPr>
        <w:t xml:space="preserve"> as the CJEU has generally viewed consent as </w:t>
      </w:r>
      <w:r w:rsidR="00250900">
        <w:rPr>
          <w:lang w:val="en-GB"/>
        </w:rPr>
        <w:t>a question of control over the initial distribution.</w:t>
      </w:r>
      <w:r w:rsidR="00D2444F">
        <w:rPr>
          <w:rStyle w:val="FootnoteReference"/>
          <w:lang w:val="en-GB"/>
        </w:rPr>
        <w:footnoteReference w:id="15"/>
      </w:r>
    </w:p>
    <w:p w14:paraId="5571D9D3" w14:textId="3BF45C54" w:rsidR="00FF2F4C" w:rsidRPr="003D6BF6" w:rsidRDefault="001811DB" w:rsidP="00006B51">
      <w:pPr>
        <w:pStyle w:val="TextBeitragab2Absatz"/>
        <w:jc w:val="both"/>
        <w:rPr>
          <w:lang w:val="en-GB"/>
        </w:rPr>
      </w:pPr>
      <w:r>
        <w:rPr>
          <w:lang w:val="en-GB"/>
        </w:rPr>
        <w:t xml:space="preserve">Eventually this approach to balancing free movement against IP rights was confirmed in relation to copyright in </w:t>
      </w:r>
      <w:r w:rsidR="00A040AB">
        <w:rPr>
          <w:i/>
          <w:iCs/>
          <w:lang w:val="en-GB"/>
        </w:rPr>
        <w:t xml:space="preserve">Musik </w:t>
      </w:r>
      <w:proofErr w:type="spellStart"/>
      <w:r w:rsidR="00A040AB">
        <w:rPr>
          <w:i/>
          <w:iCs/>
          <w:lang w:val="en-GB"/>
        </w:rPr>
        <w:t>Vertrieb</w:t>
      </w:r>
      <w:proofErr w:type="spellEnd"/>
      <w:r w:rsidR="00A040AB">
        <w:rPr>
          <w:lang w:val="en-GB"/>
        </w:rPr>
        <w:t xml:space="preserve"> where the CJEU was asked whether national copyright legislation can prevent importation despite first sale, for the purposes of remuneration.</w:t>
      </w:r>
      <w:r w:rsidR="00A040AB">
        <w:rPr>
          <w:rStyle w:val="FootnoteReference"/>
          <w:lang w:val="en-GB"/>
        </w:rPr>
        <w:footnoteReference w:id="16"/>
      </w:r>
      <w:r w:rsidR="00C60031">
        <w:rPr>
          <w:lang w:val="en-GB"/>
        </w:rPr>
        <w:t xml:space="preserve"> The CJEU held that while it was </w:t>
      </w:r>
      <w:r w:rsidR="002B7285">
        <w:rPr>
          <w:lang w:val="en-GB"/>
        </w:rPr>
        <w:t xml:space="preserve">virtuous for GEMA to claim that </w:t>
      </w:r>
      <w:r w:rsidR="0051251C">
        <w:rPr>
          <w:lang w:val="en-GB"/>
        </w:rPr>
        <w:t xml:space="preserve">economic rights should not </w:t>
      </w:r>
      <w:r w:rsidR="007028D4">
        <w:rPr>
          <w:lang w:val="en-GB"/>
        </w:rPr>
        <w:t xml:space="preserve">be </w:t>
      </w:r>
      <w:r w:rsidR="0051251C">
        <w:rPr>
          <w:lang w:val="en-GB"/>
        </w:rPr>
        <w:t>exhausted to ensure payment of royalties</w:t>
      </w:r>
      <w:r w:rsidR="002B7285">
        <w:rPr>
          <w:lang w:val="en-GB"/>
        </w:rPr>
        <w:t xml:space="preserve"> for sound recordings, such an approach would partition the internal market</w:t>
      </w:r>
      <w:r w:rsidR="0051251C">
        <w:rPr>
          <w:lang w:val="en-GB"/>
        </w:rPr>
        <w:t>.</w:t>
      </w:r>
      <w:r w:rsidR="0051251C">
        <w:rPr>
          <w:rStyle w:val="FootnoteReference"/>
          <w:lang w:val="en-GB"/>
        </w:rPr>
        <w:footnoteReference w:id="17"/>
      </w:r>
      <w:r w:rsidR="0051251C">
        <w:rPr>
          <w:lang w:val="en-GB"/>
        </w:rPr>
        <w:t xml:space="preserve"> The court emphasized the consent of the copyright owner and reflected that they had chosen to first put those products on the market in that member state</w:t>
      </w:r>
      <w:r w:rsidR="004356E9">
        <w:rPr>
          <w:lang w:val="en-GB"/>
        </w:rPr>
        <w:t>,</w:t>
      </w:r>
      <w:r w:rsidR="0051251C">
        <w:rPr>
          <w:lang w:val="en-GB"/>
        </w:rPr>
        <w:t xml:space="preserve"> a key feature of the internal market.</w:t>
      </w:r>
      <w:r w:rsidR="00FF2F4C">
        <w:rPr>
          <w:rStyle w:val="FootnoteReference"/>
          <w:lang w:val="en-GB"/>
        </w:rPr>
        <w:footnoteReference w:id="18"/>
      </w:r>
      <w:r w:rsidR="000D3048">
        <w:rPr>
          <w:lang w:val="en-GB"/>
        </w:rPr>
        <w:t xml:space="preserve"> Later cases would continue to expand upon the meaning of consent through the lens of control</w:t>
      </w:r>
      <w:r w:rsidR="003D6BF6">
        <w:rPr>
          <w:lang w:val="en-GB"/>
        </w:rPr>
        <w:t xml:space="preserve"> with the </w:t>
      </w:r>
      <w:proofErr w:type="spellStart"/>
      <w:r w:rsidR="003D6BF6">
        <w:rPr>
          <w:i/>
          <w:iCs/>
          <w:lang w:val="en-GB"/>
        </w:rPr>
        <w:t>Coditel</w:t>
      </w:r>
      <w:proofErr w:type="spellEnd"/>
      <w:r w:rsidR="003D6BF6">
        <w:rPr>
          <w:i/>
          <w:iCs/>
          <w:lang w:val="en-GB"/>
        </w:rPr>
        <w:t xml:space="preserve"> </w:t>
      </w:r>
      <w:r w:rsidR="003D6BF6">
        <w:rPr>
          <w:lang w:val="en-GB"/>
        </w:rPr>
        <w:t>cases confirming its use as a</w:t>
      </w:r>
      <w:r w:rsidR="00745658">
        <w:rPr>
          <w:lang w:val="en-GB"/>
        </w:rPr>
        <w:t xml:space="preserve"> </w:t>
      </w:r>
      <w:r w:rsidR="00CA0441">
        <w:rPr>
          <w:lang w:val="en-GB"/>
        </w:rPr>
        <w:t>proportional</w:t>
      </w:r>
      <w:r w:rsidR="003D6BF6">
        <w:rPr>
          <w:lang w:val="en-GB"/>
        </w:rPr>
        <w:t xml:space="preserve"> balancing tool for conflicting norms</w:t>
      </w:r>
      <w:r w:rsidR="00FB75A1">
        <w:rPr>
          <w:lang w:val="en-GB"/>
        </w:rPr>
        <w:t xml:space="preserve"> relating to services</w:t>
      </w:r>
      <w:r w:rsidR="003D6BF6">
        <w:rPr>
          <w:lang w:val="en-GB"/>
        </w:rPr>
        <w:t>.</w:t>
      </w:r>
      <w:r w:rsidR="003D6BF6">
        <w:rPr>
          <w:rStyle w:val="FootnoteReference"/>
          <w:lang w:val="en-GB"/>
        </w:rPr>
        <w:footnoteReference w:id="19"/>
      </w:r>
      <w:r w:rsidR="003D6BF6">
        <w:rPr>
          <w:lang w:val="en-GB"/>
        </w:rPr>
        <w:t xml:space="preserve"> </w:t>
      </w:r>
    </w:p>
    <w:p w14:paraId="73C23AEA" w14:textId="010CE29A" w:rsidR="00617D12" w:rsidRDefault="005F4C6C" w:rsidP="00006B51">
      <w:pPr>
        <w:pStyle w:val="TextBeitragab2Absatz"/>
        <w:jc w:val="both"/>
        <w:rPr>
          <w:lang w:val="en-GB"/>
        </w:rPr>
      </w:pPr>
      <w:r>
        <w:rPr>
          <w:lang w:val="en-GB"/>
        </w:rPr>
        <w:lastRenderedPageBreak/>
        <w:t>The development of c</w:t>
      </w:r>
      <w:r w:rsidR="00F9796A">
        <w:rPr>
          <w:lang w:val="en-GB"/>
        </w:rPr>
        <w:t>onsent</w:t>
      </w:r>
      <w:r>
        <w:rPr>
          <w:lang w:val="en-GB"/>
        </w:rPr>
        <w:t xml:space="preserve"> within internal market case law </w:t>
      </w:r>
      <w:r w:rsidR="00D17D1C">
        <w:rPr>
          <w:lang w:val="en-GB"/>
        </w:rPr>
        <w:t>illustrates its potential as</w:t>
      </w:r>
      <w:r w:rsidR="00F9796A">
        <w:rPr>
          <w:lang w:val="en-GB"/>
        </w:rPr>
        <w:t xml:space="preserve"> a meta exception within the EU copyright system</w:t>
      </w:r>
      <w:r w:rsidR="00A6067B">
        <w:rPr>
          <w:lang w:val="en-GB"/>
        </w:rPr>
        <w:t xml:space="preserve"> providing a creativity-based </w:t>
      </w:r>
      <w:r w:rsidR="003C6114">
        <w:rPr>
          <w:lang w:val="en-GB"/>
        </w:rPr>
        <w:t>departure point</w:t>
      </w:r>
      <w:r w:rsidR="00D17D1C">
        <w:rPr>
          <w:lang w:val="en-GB"/>
        </w:rPr>
        <w:t>.</w:t>
      </w:r>
      <w:r w:rsidR="009F18A3">
        <w:rPr>
          <w:lang w:val="en-GB"/>
        </w:rPr>
        <w:t xml:space="preserve"> </w:t>
      </w:r>
      <w:r w:rsidR="009152CE">
        <w:rPr>
          <w:lang w:val="en-GB"/>
        </w:rPr>
        <w:t>The emphasis on contextual factors</w:t>
      </w:r>
      <w:r w:rsidR="00CA0441">
        <w:rPr>
          <w:lang w:val="en-GB"/>
        </w:rPr>
        <w:t xml:space="preserve"> of the initial distribution or dissemination of the work</w:t>
      </w:r>
      <w:r w:rsidR="00592421">
        <w:rPr>
          <w:lang w:val="en-GB"/>
        </w:rPr>
        <w:t xml:space="preserve"> help ground the assessment of consent </w:t>
      </w:r>
      <w:r w:rsidR="00A719CC">
        <w:rPr>
          <w:lang w:val="en-GB"/>
        </w:rPr>
        <w:t>as a flexible and proportional balancing test</w:t>
      </w:r>
      <w:r w:rsidR="00F9146B">
        <w:rPr>
          <w:lang w:val="en-GB"/>
        </w:rPr>
        <w:t>.</w:t>
      </w:r>
      <w:r w:rsidR="003C6114">
        <w:rPr>
          <w:lang w:val="en-GB"/>
        </w:rPr>
        <w:t xml:space="preserve"> Connected </w:t>
      </w:r>
      <w:r w:rsidR="00740D31">
        <w:rPr>
          <w:lang w:val="en-GB"/>
        </w:rPr>
        <w:t>to the notion of creative autonomy</w:t>
      </w:r>
      <w:r w:rsidR="0046130A">
        <w:rPr>
          <w:lang w:val="en-GB"/>
        </w:rPr>
        <w:t xml:space="preserve"> and artistic communication</w:t>
      </w:r>
      <w:r w:rsidR="003C6114">
        <w:rPr>
          <w:lang w:val="en-GB"/>
        </w:rPr>
        <w:t xml:space="preserve">, artistic reputational harm refers to </w:t>
      </w:r>
      <w:r w:rsidR="0046130A">
        <w:rPr>
          <w:lang w:val="en-GB"/>
        </w:rPr>
        <w:t xml:space="preserve">the extent to which </w:t>
      </w:r>
      <w:r w:rsidR="003C6114">
        <w:rPr>
          <w:lang w:val="en-GB"/>
        </w:rPr>
        <w:t xml:space="preserve">a </w:t>
      </w:r>
      <w:r w:rsidR="0046130A">
        <w:rPr>
          <w:lang w:val="en-GB"/>
        </w:rPr>
        <w:t>creative reuse impacts the</w:t>
      </w:r>
      <w:r w:rsidR="003C6114">
        <w:rPr>
          <w:lang w:val="en-GB"/>
        </w:rPr>
        <w:t xml:space="preserve"> author’s </w:t>
      </w:r>
      <w:r w:rsidR="0046130A">
        <w:rPr>
          <w:lang w:val="en-GB"/>
        </w:rPr>
        <w:t xml:space="preserve">reputation and/or the creative work itself. </w:t>
      </w:r>
      <w:r w:rsidR="0072438A">
        <w:rPr>
          <w:lang w:val="en-GB"/>
        </w:rPr>
        <w:t xml:space="preserve">These contextual factors could form the basis to ‘exhaust’ authorial consent honouring the balance </w:t>
      </w:r>
      <w:r w:rsidR="00617D12">
        <w:rPr>
          <w:lang w:val="en-GB"/>
        </w:rPr>
        <w:t>struck between the initial author and creative reuse’s artistic communication.</w:t>
      </w:r>
      <w:r w:rsidR="00E92A49">
        <w:rPr>
          <w:lang w:val="en-GB"/>
        </w:rPr>
        <w:t xml:space="preserve"> </w:t>
      </w:r>
      <w:r w:rsidR="0072438A">
        <w:rPr>
          <w:lang w:val="en-GB"/>
        </w:rPr>
        <w:t>However,</w:t>
      </w:r>
      <w:r w:rsidR="00617D12">
        <w:rPr>
          <w:lang w:val="en-GB"/>
        </w:rPr>
        <w:t xml:space="preserve"> </w:t>
      </w:r>
      <w:r w:rsidR="00D21E65">
        <w:rPr>
          <w:lang w:val="en-GB"/>
        </w:rPr>
        <w:t>this comes at a cost</w:t>
      </w:r>
      <w:r w:rsidR="009662D2">
        <w:rPr>
          <w:lang w:val="en-GB"/>
        </w:rPr>
        <w:t xml:space="preserve">. The question is simple: </w:t>
      </w:r>
      <w:r w:rsidR="00583671">
        <w:rPr>
          <w:lang w:val="en-GB"/>
        </w:rPr>
        <w:t>can authorial consent be implied when the creative reuse is offensive or harmful? Should authors be allowed to withdraw consent for future exploitation</w:t>
      </w:r>
      <w:r w:rsidR="006D4035">
        <w:rPr>
          <w:lang w:val="en-GB"/>
        </w:rPr>
        <w:t>, regardless of its artistic intention?</w:t>
      </w:r>
      <w:r w:rsidR="00D21E65">
        <w:rPr>
          <w:lang w:val="en-GB"/>
        </w:rPr>
        <w:t xml:space="preserve"> </w:t>
      </w:r>
    </w:p>
    <w:p w14:paraId="506006F8" w14:textId="576B2C18" w:rsidR="00ED7B30" w:rsidRDefault="00ED7B30" w:rsidP="00006B51">
      <w:pPr>
        <w:pStyle w:val="TextBeitragab2Absatz"/>
        <w:jc w:val="both"/>
        <w:rPr>
          <w:lang w:val="en-GB"/>
        </w:rPr>
      </w:pPr>
      <w:r>
        <w:rPr>
          <w:lang w:val="en-GB"/>
        </w:rPr>
        <w:t xml:space="preserve">CJEU jurisprudence has considered this issue to an extent. In </w:t>
      </w:r>
      <w:proofErr w:type="spellStart"/>
      <w:r w:rsidR="00B163FD">
        <w:rPr>
          <w:i/>
          <w:iCs/>
          <w:lang w:val="en-GB"/>
        </w:rPr>
        <w:t>Spedidam</w:t>
      </w:r>
      <w:proofErr w:type="spellEnd"/>
      <w:r w:rsidR="00B163FD">
        <w:rPr>
          <w:lang w:val="en-GB"/>
        </w:rPr>
        <w:t xml:space="preserve">, the CJEU considered the implication of consent relating to performers’ rights. Here, </w:t>
      </w:r>
      <w:r w:rsidR="00CE1CA0">
        <w:rPr>
          <w:lang w:val="en-GB"/>
        </w:rPr>
        <w:t>a French institute for conserving and promoting national audio-visual heritage, INA, marketed online video recordings and phonograms of a late mu</w:t>
      </w:r>
      <w:r w:rsidR="00876FC3">
        <w:rPr>
          <w:lang w:val="en-GB"/>
        </w:rPr>
        <w:t xml:space="preserve">sician without authorisation from their </w:t>
      </w:r>
      <w:r w:rsidR="00EC4BD4">
        <w:rPr>
          <w:lang w:val="en-GB"/>
        </w:rPr>
        <w:t>successors</w:t>
      </w:r>
      <w:r w:rsidR="00876FC3">
        <w:rPr>
          <w:lang w:val="en-GB"/>
        </w:rPr>
        <w:t xml:space="preserve"> in title. While the court affirmed that previous </w:t>
      </w:r>
      <w:r w:rsidR="00093DA5">
        <w:rPr>
          <w:lang w:val="en-GB"/>
        </w:rPr>
        <w:t xml:space="preserve">case law requires authors and performers a high level of protection, consent can be </w:t>
      </w:r>
      <w:r w:rsidR="00EC4BD4">
        <w:rPr>
          <w:lang w:val="en-GB"/>
        </w:rPr>
        <w:t>implied when they perform in the audio-visual work for the purposes of broadcast</w:t>
      </w:r>
      <w:r w:rsidR="009F5247">
        <w:rPr>
          <w:lang w:val="en-GB"/>
        </w:rPr>
        <w:t xml:space="preserve"> and are aware of the envisage</w:t>
      </w:r>
      <w:r w:rsidR="009D4F07">
        <w:rPr>
          <w:lang w:val="en-GB"/>
        </w:rPr>
        <w:t>d</w:t>
      </w:r>
      <w:r w:rsidR="009F5247">
        <w:rPr>
          <w:lang w:val="en-GB"/>
        </w:rPr>
        <w:t xml:space="preserve"> use of the performance.</w:t>
      </w:r>
      <w:r w:rsidR="009F5247">
        <w:rPr>
          <w:rStyle w:val="FootnoteReference"/>
          <w:lang w:val="en-GB"/>
        </w:rPr>
        <w:footnoteReference w:id="20"/>
      </w:r>
      <w:r w:rsidR="0008079F">
        <w:rPr>
          <w:lang w:val="en-GB"/>
        </w:rPr>
        <w:t xml:space="preserve"> These contextual factors authorise the fixation and use of the performance</w:t>
      </w:r>
      <w:r w:rsidR="008F258D">
        <w:rPr>
          <w:lang w:val="en-GB"/>
        </w:rPr>
        <w:t>. The court also note</w:t>
      </w:r>
      <w:r w:rsidR="002454DB">
        <w:rPr>
          <w:lang w:val="en-GB"/>
        </w:rPr>
        <w:t>d</w:t>
      </w:r>
      <w:r w:rsidR="008F258D">
        <w:rPr>
          <w:lang w:val="en-GB"/>
        </w:rPr>
        <w:t xml:space="preserve"> tha</w:t>
      </w:r>
      <w:r w:rsidR="00D8115E">
        <w:rPr>
          <w:lang w:val="en-GB"/>
        </w:rPr>
        <w:t xml:space="preserve">t if consent is not implied for INA’s archives, it would be impossible to exploit the collection, detrimentally impacting </w:t>
      </w:r>
      <w:r w:rsidR="001F7982">
        <w:rPr>
          <w:lang w:val="en-GB"/>
        </w:rPr>
        <w:t>other copyright interests</w:t>
      </w:r>
      <w:r w:rsidR="0041478F">
        <w:rPr>
          <w:lang w:val="en-GB"/>
        </w:rPr>
        <w:t>, specifically their freedom of expression.</w:t>
      </w:r>
    </w:p>
    <w:p w14:paraId="3961F259" w14:textId="0118044C" w:rsidR="001F7982" w:rsidRDefault="001F7982" w:rsidP="00006B51">
      <w:pPr>
        <w:pStyle w:val="TextBeitragab2Absatz"/>
        <w:jc w:val="both"/>
        <w:rPr>
          <w:lang w:val="en-GB"/>
        </w:rPr>
      </w:pPr>
      <w:proofErr w:type="spellStart"/>
      <w:r>
        <w:rPr>
          <w:i/>
          <w:iCs/>
          <w:lang w:val="en-GB"/>
        </w:rPr>
        <w:t>Spedidam</w:t>
      </w:r>
      <w:proofErr w:type="spellEnd"/>
      <w:r>
        <w:rPr>
          <w:i/>
          <w:iCs/>
          <w:lang w:val="en-GB"/>
        </w:rPr>
        <w:t xml:space="preserve"> </w:t>
      </w:r>
      <w:r>
        <w:rPr>
          <w:lang w:val="en-GB"/>
        </w:rPr>
        <w:t>appears to have opened the door to a more practical assessment of authorial consent regarding creative reuse</w:t>
      </w:r>
      <w:r w:rsidR="00BB6C4B">
        <w:rPr>
          <w:lang w:val="en-GB"/>
        </w:rPr>
        <w:t xml:space="preserve"> and artistic communication.</w:t>
      </w:r>
      <w:r w:rsidR="00870BF7">
        <w:rPr>
          <w:lang w:val="en-GB"/>
        </w:rPr>
        <w:t xml:space="preserve"> This article suggests that </w:t>
      </w:r>
      <w:r w:rsidR="00AD3749">
        <w:rPr>
          <w:lang w:val="en-GB"/>
        </w:rPr>
        <w:t xml:space="preserve">the </w:t>
      </w:r>
      <w:proofErr w:type="spellStart"/>
      <w:r w:rsidR="00AD3749">
        <w:rPr>
          <w:i/>
          <w:iCs/>
          <w:lang w:val="en-GB"/>
        </w:rPr>
        <w:t>Spedidam</w:t>
      </w:r>
      <w:proofErr w:type="spellEnd"/>
      <w:r w:rsidR="00AD3749">
        <w:rPr>
          <w:i/>
          <w:iCs/>
          <w:lang w:val="en-GB"/>
        </w:rPr>
        <w:t xml:space="preserve"> </w:t>
      </w:r>
      <w:r w:rsidR="00AD3749">
        <w:rPr>
          <w:lang w:val="en-GB"/>
        </w:rPr>
        <w:t xml:space="preserve">approach is useful when considering the </w:t>
      </w:r>
      <w:r w:rsidR="00C248A2">
        <w:rPr>
          <w:lang w:val="en-GB"/>
        </w:rPr>
        <w:t xml:space="preserve">extent to which an author could object to creative reuse </w:t>
      </w:r>
      <w:r w:rsidR="002D4088">
        <w:rPr>
          <w:lang w:val="en-GB"/>
        </w:rPr>
        <w:t>based on</w:t>
      </w:r>
      <w:r w:rsidR="00C248A2">
        <w:rPr>
          <w:lang w:val="en-GB"/>
        </w:rPr>
        <w:t xml:space="preserve"> </w:t>
      </w:r>
      <w:r w:rsidR="00B9658A">
        <w:rPr>
          <w:lang w:val="en-GB"/>
        </w:rPr>
        <w:t>personality rights and unfair competition.</w:t>
      </w:r>
      <w:r w:rsidR="002D4088">
        <w:rPr>
          <w:lang w:val="en-GB"/>
        </w:rPr>
        <w:t xml:space="preserve"> </w:t>
      </w:r>
      <w:proofErr w:type="spellStart"/>
      <w:r w:rsidR="004370BA">
        <w:rPr>
          <w:i/>
          <w:iCs/>
          <w:lang w:val="en-GB"/>
        </w:rPr>
        <w:t>Deckmyn</w:t>
      </w:r>
      <w:proofErr w:type="spellEnd"/>
      <w:r w:rsidR="004370BA">
        <w:rPr>
          <w:i/>
          <w:iCs/>
          <w:lang w:val="en-GB"/>
        </w:rPr>
        <w:t xml:space="preserve"> </w:t>
      </w:r>
      <w:r w:rsidR="004370BA">
        <w:rPr>
          <w:lang w:val="en-GB"/>
        </w:rPr>
        <w:t>provides some guidance as it considers the scope of artistic reputational harm from the lens of parody in copyright law.</w:t>
      </w:r>
      <w:r w:rsidR="00284FD3">
        <w:rPr>
          <w:lang w:val="en-GB"/>
        </w:rPr>
        <w:t xml:space="preserve"> The CJEU </w:t>
      </w:r>
      <w:r w:rsidR="009D4F07">
        <w:rPr>
          <w:lang w:val="en-GB"/>
        </w:rPr>
        <w:t>contemplated</w:t>
      </w:r>
      <w:r w:rsidR="009F6DDD">
        <w:rPr>
          <w:lang w:val="en-GB"/>
        </w:rPr>
        <w:t xml:space="preserve"> whether a calendar in the style of a famous comic book</w:t>
      </w:r>
      <w:r w:rsidR="00C762F1">
        <w:rPr>
          <w:lang w:val="en-GB"/>
        </w:rPr>
        <w:t xml:space="preserve"> which displayed original characters as wearing veils and being persons of colour</w:t>
      </w:r>
      <w:r w:rsidR="00F13AE2">
        <w:rPr>
          <w:lang w:val="en-GB"/>
        </w:rPr>
        <w:t xml:space="preserve"> was discriminator</w:t>
      </w:r>
      <w:r w:rsidR="009D4F07">
        <w:rPr>
          <w:lang w:val="en-GB"/>
        </w:rPr>
        <w:t>y. If so,</w:t>
      </w:r>
      <w:r w:rsidR="00F13AE2">
        <w:rPr>
          <w:lang w:val="en-GB"/>
        </w:rPr>
        <w:t xml:space="preserve"> the parody exception would be unavailable. The </w:t>
      </w:r>
      <w:r w:rsidR="00683A70">
        <w:rPr>
          <w:lang w:val="en-GB"/>
        </w:rPr>
        <w:t xml:space="preserve">court held that as freedom of expression provides the foundation for the exception, national courts must strike a fair balance between fundamental rights which </w:t>
      </w:r>
      <w:r w:rsidR="00891ED2">
        <w:rPr>
          <w:lang w:val="en-GB"/>
        </w:rPr>
        <w:t>includes the legitimate interest of a copyright holder to ensure that a work is not associated with a harmful message.</w:t>
      </w:r>
    </w:p>
    <w:p w14:paraId="625A10D3" w14:textId="14CA6193" w:rsidR="00F541FA" w:rsidRDefault="00F541FA" w:rsidP="00006B51">
      <w:pPr>
        <w:pStyle w:val="TextBeitragab2Absatz"/>
        <w:jc w:val="both"/>
        <w:rPr>
          <w:lang w:val="en-GB"/>
        </w:rPr>
      </w:pPr>
      <w:r>
        <w:rPr>
          <w:lang w:val="en-GB"/>
        </w:rPr>
        <w:t xml:space="preserve">This proportionality test is helpful in structuring the scope of artistic reputational harm to block </w:t>
      </w:r>
      <w:r w:rsidR="00105DF9">
        <w:rPr>
          <w:lang w:val="en-GB"/>
        </w:rPr>
        <w:t>implied authorial consent. Indeed</w:t>
      </w:r>
      <w:r w:rsidR="002C3031">
        <w:rPr>
          <w:lang w:val="en-GB"/>
        </w:rPr>
        <w:t>,</w:t>
      </w:r>
      <w:r w:rsidR="00105DF9">
        <w:rPr>
          <w:lang w:val="en-GB"/>
        </w:rPr>
        <w:t xml:space="preserve"> subsequent national case law such as </w:t>
      </w:r>
      <w:r w:rsidR="00105DF9">
        <w:rPr>
          <w:i/>
          <w:iCs/>
          <w:lang w:val="en-GB"/>
        </w:rPr>
        <w:t xml:space="preserve">Le Point </w:t>
      </w:r>
      <w:r w:rsidR="00105DF9">
        <w:rPr>
          <w:lang w:val="en-GB"/>
        </w:rPr>
        <w:t xml:space="preserve">and </w:t>
      </w:r>
      <w:r w:rsidR="00105DF9">
        <w:rPr>
          <w:i/>
          <w:iCs/>
          <w:lang w:val="en-GB"/>
        </w:rPr>
        <w:t>Fat-Cropped</w:t>
      </w:r>
      <w:r w:rsidR="00105DF9">
        <w:rPr>
          <w:lang w:val="en-GB"/>
        </w:rPr>
        <w:t xml:space="preserve"> evidence </w:t>
      </w:r>
      <w:r w:rsidR="003A0DF4">
        <w:rPr>
          <w:lang w:val="en-GB"/>
        </w:rPr>
        <w:t xml:space="preserve">courts attempting to impose limits </w:t>
      </w:r>
      <w:r w:rsidR="00C74BF2">
        <w:rPr>
          <w:lang w:val="en-GB"/>
        </w:rPr>
        <w:t xml:space="preserve">on the possible detrimental impact on </w:t>
      </w:r>
      <w:r w:rsidR="003A0DF4">
        <w:rPr>
          <w:lang w:val="en-GB"/>
        </w:rPr>
        <w:t>a legitimate interest</w:t>
      </w:r>
      <w:r w:rsidR="002C3031">
        <w:rPr>
          <w:lang w:val="en-GB"/>
        </w:rPr>
        <w:t xml:space="preserve"> in line with bolstering freedom of expression outlined in </w:t>
      </w:r>
      <w:proofErr w:type="spellStart"/>
      <w:r w:rsidR="002C3031">
        <w:rPr>
          <w:i/>
          <w:iCs/>
          <w:lang w:val="en-GB"/>
        </w:rPr>
        <w:t>Spedidam</w:t>
      </w:r>
      <w:proofErr w:type="spellEnd"/>
      <w:r w:rsidR="002C3031">
        <w:rPr>
          <w:lang w:val="en-GB"/>
        </w:rPr>
        <w:t>.</w:t>
      </w:r>
      <w:r w:rsidR="00105CA3">
        <w:rPr>
          <w:rStyle w:val="FootnoteReference"/>
          <w:lang w:val="en-GB"/>
        </w:rPr>
        <w:footnoteReference w:id="21"/>
      </w:r>
      <w:r w:rsidR="00C812CA">
        <w:rPr>
          <w:lang w:val="en-GB"/>
        </w:rPr>
        <w:t xml:space="preserve"> While most </w:t>
      </w:r>
      <w:r w:rsidR="003567C7">
        <w:rPr>
          <w:lang w:val="en-GB"/>
        </w:rPr>
        <w:t xml:space="preserve">national </w:t>
      </w:r>
      <w:r w:rsidR="00C812CA">
        <w:rPr>
          <w:lang w:val="en-GB"/>
        </w:rPr>
        <w:t xml:space="preserve">case law </w:t>
      </w:r>
      <w:r w:rsidR="003567C7">
        <w:rPr>
          <w:lang w:val="en-GB"/>
        </w:rPr>
        <w:t>that balances personality rights against freedom of expression focuses on the presences of the artistic or transformative nature of the creative reuse,</w:t>
      </w:r>
      <w:r w:rsidR="0010061B">
        <w:rPr>
          <w:rStyle w:val="FootnoteReference"/>
          <w:lang w:val="en-GB"/>
        </w:rPr>
        <w:footnoteReference w:id="22"/>
      </w:r>
      <w:r w:rsidR="003567C7">
        <w:rPr>
          <w:lang w:val="en-GB"/>
        </w:rPr>
        <w:t xml:space="preserve"> a </w:t>
      </w:r>
      <w:r w:rsidR="00391AB3">
        <w:rPr>
          <w:lang w:val="en-GB"/>
        </w:rPr>
        <w:t>German Higher Regional Court</w:t>
      </w:r>
      <w:r w:rsidR="0010061B">
        <w:rPr>
          <w:lang w:val="en-GB"/>
        </w:rPr>
        <w:t xml:space="preserve"> decision</w:t>
      </w:r>
      <w:r w:rsidR="00391AB3">
        <w:rPr>
          <w:lang w:val="en-GB"/>
        </w:rPr>
        <w:t xml:space="preserve"> in Jena</w:t>
      </w:r>
      <w:r w:rsidR="0010061B">
        <w:rPr>
          <w:lang w:val="en-GB"/>
        </w:rPr>
        <w:t xml:space="preserve">, </w:t>
      </w:r>
      <w:r w:rsidR="0010061B">
        <w:rPr>
          <w:i/>
          <w:iCs/>
          <w:lang w:val="en-GB"/>
        </w:rPr>
        <w:t xml:space="preserve">Helene </w:t>
      </w:r>
      <w:r w:rsidR="0010061B">
        <w:rPr>
          <w:i/>
          <w:iCs/>
          <w:lang w:val="en-GB"/>
        </w:rPr>
        <w:lastRenderedPageBreak/>
        <w:t>Fischer</w:t>
      </w:r>
      <w:r w:rsidR="0010061B">
        <w:rPr>
          <w:lang w:val="en-GB"/>
        </w:rPr>
        <w:t>,</w:t>
      </w:r>
      <w:r w:rsidR="00822D89">
        <w:rPr>
          <w:rStyle w:val="FootnoteReference"/>
          <w:lang w:val="en-GB"/>
        </w:rPr>
        <w:footnoteReference w:id="23"/>
      </w:r>
      <w:r w:rsidR="0010061B">
        <w:rPr>
          <w:lang w:val="en-GB"/>
        </w:rPr>
        <w:t xml:space="preserve"> </w:t>
      </w:r>
      <w:r w:rsidR="00760C09">
        <w:rPr>
          <w:lang w:val="en-GB"/>
        </w:rPr>
        <w:t xml:space="preserve">focuses on the nature of the artistic </w:t>
      </w:r>
      <w:r w:rsidR="001170E9">
        <w:rPr>
          <w:lang w:val="en-GB"/>
        </w:rPr>
        <w:t>harm from the performers’ perspective and assesses it through the eyes of the</w:t>
      </w:r>
      <w:r w:rsidR="004B5034">
        <w:rPr>
          <w:lang w:val="en-GB"/>
        </w:rPr>
        <w:t xml:space="preserve"> “unbiased average consumer”.</w:t>
      </w:r>
      <w:r w:rsidR="004B5034">
        <w:rPr>
          <w:rStyle w:val="FootnoteReference"/>
          <w:lang w:val="en-GB"/>
        </w:rPr>
        <w:footnoteReference w:id="24"/>
      </w:r>
      <w:r w:rsidR="004B5034">
        <w:rPr>
          <w:lang w:val="en-GB"/>
        </w:rPr>
        <w:t xml:space="preserve"> A </w:t>
      </w:r>
      <w:r w:rsidR="00045816">
        <w:rPr>
          <w:lang w:val="en-GB"/>
        </w:rPr>
        <w:t>use is deemed harmful if the average consumer cannot exclude the possibility that there is a connection between the political party and the artist.</w:t>
      </w:r>
      <w:r w:rsidR="00045816">
        <w:rPr>
          <w:rStyle w:val="FootnoteReference"/>
          <w:lang w:val="en-GB"/>
        </w:rPr>
        <w:footnoteReference w:id="25"/>
      </w:r>
    </w:p>
    <w:p w14:paraId="26DE9C6A" w14:textId="13857EC9" w:rsidR="00A849BD" w:rsidRDefault="00377493" w:rsidP="00006B51">
      <w:pPr>
        <w:pStyle w:val="TextBeitragab2Absatz"/>
        <w:jc w:val="both"/>
        <w:rPr>
          <w:lang w:val="en-GB"/>
        </w:rPr>
      </w:pPr>
      <w:r>
        <w:rPr>
          <w:lang w:val="en-GB"/>
        </w:rPr>
        <w:t xml:space="preserve">Such an approach is reminiscent of </w:t>
      </w:r>
      <w:r w:rsidR="00125C70">
        <w:rPr>
          <w:lang w:val="en-GB"/>
        </w:rPr>
        <w:t>unfair competition law concepts</w:t>
      </w:r>
      <w:r w:rsidR="0057145D">
        <w:rPr>
          <w:lang w:val="en-GB"/>
        </w:rPr>
        <w:t xml:space="preserve"> in </w:t>
      </w:r>
      <w:proofErr w:type="gramStart"/>
      <w:r w:rsidR="0057145D">
        <w:rPr>
          <w:lang w:val="en-GB"/>
        </w:rPr>
        <w:t>trade mark</w:t>
      </w:r>
      <w:proofErr w:type="gramEnd"/>
      <w:r w:rsidR="0057145D">
        <w:rPr>
          <w:lang w:val="en-GB"/>
        </w:rPr>
        <w:t xml:space="preserve"> law</w:t>
      </w:r>
      <w:r w:rsidR="00125C70">
        <w:rPr>
          <w:lang w:val="en-GB"/>
        </w:rPr>
        <w:t>, particularly</w:t>
      </w:r>
      <w:r w:rsidR="00A948E7">
        <w:rPr>
          <w:lang w:val="en-GB"/>
        </w:rPr>
        <w:t xml:space="preserve"> </w:t>
      </w:r>
      <w:proofErr w:type="spellStart"/>
      <w:r w:rsidR="00A948E7">
        <w:rPr>
          <w:lang w:val="en-GB"/>
        </w:rPr>
        <w:t>tarnishment</w:t>
      </w:r>
      <w:proofErr w:type="spellEnd"/>
      <w:r w:rsidR="00A948E7">
        <w:rPr>
          <w:lang w:val="en-GB"/>
        </w:rPr>
        <w:t xml:space="preserve"> and</w:t>
      </w:r>
      <w:r w:rsidR="00AA68F9">
        <w:rPr>
          <w:lang w:val="en-GB"/>
        </w:rPr>
        <w:t xml:space="preserve"> unfair advantage.</w:t>
      </w:r>
      <w:r w:rsidR="00A948E7">
        <w:rPr>
          <w:lang w:val="en-GB"/>
        </w:rPr>
        <w:t xml:space="preserve"> Both types of harm are based on an unauthorised </w:t>
      </w:r>
      <w:proofErr w:type="gramStart"/>
      <w:r w:rsidR="00A948E7">
        <w:rPr>
          <w:lang w:val="en-GB"/>
        </w:rPr>
        <w:t>trade mark</w:t>
      </w:r>
      <w:proofErr w:type="gramEnd"/>
      <w:r w:rsidR="00A948E7">
        <w:rPr>
          <w:lang w:val="en-GB"/>
        </w:rPr>
        <w:t xml:space="preserve"> use that causes harm to </w:t>
      </w:r>
      <w:r w:rsidR="002B6C1B">
        <w:rPr>
          <w:lang w:val="en-GB"/>
        </w:rPr>
        <w:t xml:space="preserve">the repute of the mark. </w:t>
      </w:r>
      <w:r w:rsidR="00756DC1">
        <w:rPr>
          <w:lang w:val="en-GB"/>
        </w:rPr>
        <w:t xml:space="preserve">The former arises when the use </w:t>
      </w:r>
      <w:r w:rsidR="00A44600">
        <w:rPr>
          <w:lang w:val="en-GB"/>
        </w:rPr>
        <w:t>involves goods or services that possess a characteristic or quality which are likely to have a negative impact on the image of the mark.</w:t>
      </w:r>
      <w:r w:rsidR="00A44600">
        <w:rPr>
          <w:rStyle w:val="FootnoteReference"/>
          <w:lang w:val="en-GB"/>
        </w:rPr>
        <w:footnoteReference w:id="26"/>
      </w:r>
      <w:r w:rsidR="001D3EBB">
        <w:rPr>
          <w:lang w:val="en-GB"/>
        </w:rPr>
        <w:t xml:space="preserve"> Often referred to as a negative image transfer, </w:t>
      </w:r>
      <w:proofErr w:type="spellStart"/>
      <w:r w:rsidR="001D3EBB">
        <w:rPr>
          <w:lang w:val="en-GB"/>
        </w:rPr>
        <w:t>tarnishment</w:t>
      </w:r>
      <w:proofErr w:type="spellEnd"/>
      <w:r w:rsidR="001D3EBB">
        <w:rPr>
          <w:lang w:val="en-GB"/>
        </w:rPr>
        <w:t xml:space="preserve"> </w:t>
      </w:r>
      <w:r w:rsidR="00473257">
        <w:rPr>
          <w:lang w:val="en-GB"/>
        </w:rPr>
        <w:t>causes consumers to think differently about a plaintiff’s mark</w:t>
      </w:r>
      <w:r w:rsidR="00D34CC4">
        <w:rPr>
          <w:lang w:val="en-GB"/>
        </w:rPr>
        <w:t xml:space="preserve"> with adverse consequences</w:t>
      </w:r>
      <w:r w:rsidR="00473257">
        <w:rPr>
          <w:lang w:val="en-GB"/>
        </w:rPr>
        <w:t>.</w:t>
      </w:r>
      <w:r w:rsidR="00473257">
        <w:rPr>
          <w:rStyle w:val="FootnoteReference"/>
          <w:lang w:val="en-GB"/>
        </w:rPr>
        <w:footnoteReference w:id="27"/>
      </w:r>
      <w:r w:rsidR="00E8194F">
        <w:rPr>
          <w:lang w:val="en-GB"/>
        </w:rPr>
        <w:t xml:space="preserve"> </w:t>
      </w:r>
      <w:r w:rsidR="00A849BD">
        <w:rPr>
          <w:lang w:val="en-GB"/>
        </w:rPr>
        <w:t xml:space="preserve">Unfair advantage </w:t>
      </w:r>
      <w:r w:rsidR="00E8194F">
        <w:rPr>
          <w:lang w:val="en-GB"/>
        </w:rPr>
        <w:t>is a wider category of harm and refers to use which benefits from</w:t>
      </w:r>
      <w:r w:rsidR="009D4F07">
        <w:rPr>
          <w:lang w:val="en-GB"/>
        </w:rPr>
        <w:t xml:space="preserve"> an</w:t>
      </w:r>
      <w:r w:rsidR="00E8194F">
        <w:rPr>
          <w:lang w:val="en-GB"/>
        </w:rPr>
        <w:t xml:space="preserve"> earlier mark’s </w:t>
      </w:r>
      <w:r w:rsidR="001C5F0F">
        <w:rPr>
          <w:lang w:val="en-GB"/>
        </w:rPr>
        <w:t xml:space="preserve">reputation and prestige without compensation. </w:t>
      </w:r>
      <w:r w:rsidR="00A849BD">
        <w:rPr>
          <w:lang w:val="en-GB"/>
        </w:rPr>
        <w:t>It</w:t>
      </w:r>
      <w:r w:rsidR="001C5F0F">
        <w:rPr>
          <w:lang w:val="en-GB"/>
        </w:rPr>
        <w:t xml:space="preserve"> can even be invoked where there is no threat to the origin function of the mark</w:t>
      </w:r>
      <w:r w:rsidR="003C7CCB">
        <w:rPr>
          <w:lang w:val="en-GB"/>
        </w:rPr>
        <w:t xml:space="preserve"> and there is no consumer confusion.</w:t>
      </w:r>
      <w:r w:rsidR="003C7CCB">
        <w:rPr>
          <w:rStyle w:val="FootnoteReference"/>
          <w:lang w:val="en-GB"/>
        </w:rPr>
        <w:footnoteReference w:id="28"/>
      </w:r>
      <w:r w:rsidR="00A849BD">
        <w:rPr>
          <w:lang w:val="en-GB"/>
        </w:rPr>
        <w:t xml:space="preserve"> </w:t>
      </w:r>
      <w:r w:rsidR="005264C2">
        <w:rPr>
          <w:lang w:val="en-GB"/>
        </w:rPr>
        <w:t xml:space="preserve">Both types of harm </w:t>
      </w:r>
      <w:r w:rsidR="00C026A0">
        <w:rPr>
          <w:lang w:val="en-GB"/>
        </w:rPr>
        <w:t xml:space="preserve">have a great deal of ambiguity regarding their scope, and so the requirement that the relevant public must establish a link between the </w:t>
      </w:r>
      <w:proofErr w:type="gramStart"/>
      <w:r w:rsidR="00C026A0">
        <w:rPr>
          <w:lang w:val="en-GB"/>
        </w:rPr>
        <w:t>trade mark</w:t>
      </w:r>
      <w:proofErr w:type="gramEnd"/>
      <w:r w:rsidR="00C026A0">
        <w:rPr>
          <w:lang w:val="en-GB"/>
        </w:rPr>
        <w:t xml:space="preserve"> and infringing use is paramount.</w:t>
      </w:r>
      <w:r w:rsidR="00F41E05">
        <w:rPr>
          <w:lang w:val="en-GB"/>
        </w:rPr>
        <w:t xml:space="preserve"> </w:t>
      </w:r>
    </w:p>
    <w:p w14:paraId="2EB46AD7" w14:textId="338031E7" w:rsidR="00C70182" w:rsidRDefault="00133D6F" w:rsidP="00006B51">
      <w:pPr>
        <w:pStyle w:val="TextBeitragab2Absatz"/>
        <w:jc w:val="both"/>
        <w:rPr>
          <w:lang w:val="en-GB"/>
        </w:rPr>
      </w:pPr>
      <w:r>
        <w:rPr>
          <w:lang w:val="en-GB"/>
        </w:rPr>
        <w:t xml:space="preserve">The significance of a link between the unauthorised use and the </w:t>
      </w:r>
      <w:r w:rsidR="00933FDB">
        <w:rPr>
          <w:lang w:val="en-GB"/>
        </w:rPr>
        <w:t xml:space="preserve">initial copyright works is also clear in </w:t>
      </w:r>
      <w:r w:rsidR="00F41E05">
        <w:rPr>
          <w:i/>
          <w:iCs/>
          <w:lang w:val="en-GB"/>
        </w:rPr>
        <w:t>Helene Fischer</w:t>
      </w:r>
      <w:r w:rsidR="00933FDB">
        <w:rPr>
          <w:lang w:val="en-GB"/>
        </w:rPr>
        <w:t>. Here,</w:t>
      </w:r>
      <w:r w:rsidR="00F41E05">
        <w:rPr>
          <w:lang w:val="en-GB"/>
        </w:rPr>
        <w:t xml:space="preserve"> </w:t>
      </w:r>
      <w:r w:rsidR="00C317DB">
        <w:rPr>
          <w:lang w:val="en-GB"/>
        </w:rPr>
        <w:t xml:space="preserve">the court established a link between </w:t>
      </w:r>
      <w:r w:rsidR="009A21C2">
        <w:rPr>
          <w:lang w:val="en-GB"/>
        </w:rPr>
        <w:t xml:space="preserve">the NPD and Helene Fischer because the </w:t>
      </w:r>
      <w:r w:rsidR="00933FDB">
        <w:rPr>
          <w:lang w:val="en-GB"/>
        </w:rPr>
        <w:t>far-right national party</w:t>
      </w:r>
      <w:r w:rsidR="009A21C2">
        <w:rPr>
          <w:lang w:val="en-GB"/>
        </w:rPr>
        <w:t xml:space="preserve"> played the latter’s song during a campaign event</w:t>
      </w:r>
      <w:r w:rsidR="00933FDB">
        <w:rPr>
          <w:lang w:val="en-GB"/>
        </w:rPr>
        <w:t xml:space="preserve">, causing </w:t>
      </w:r>
      <w:r w:rsidR="006E256F">
        <w:rPr>
          <w:lang w:val="en-GB"/>
        </w:rPr>
        <w:t>the public to assume some type of connection between the two.</w:t>
      </w:r>
      <w:r w:rsidR="00DA27B5">
        <w:rPr>
          <w:lang w:val="en-GB"/>
        </w:rPr>
        <w:t xml:space="preserve"> </w:t>
      </w:r>
      <w:r w:rsidR="0025482D">
        <w:rPr>
          <w:lang w:val="en-GB"/>
        </w:rPr>
        <w:t xml:space="preserve">The court then engaged in balancing regarding the level of harm by considering </w:t>
      </w:r>
      <w:r w:rsidR="009C3D10">
        <w:rPr>
          <w:lang w:val="en-GB"/>
        </w:rPr>
        <w:t xml:space="preserve">contextual factors including the relevant interests, the intensity and impact of the mutilation, the economic </w:t>
      </w:r>
      <w:r w:rsidR="00B47D19">
        <w:rPr>
          <w:lang w:val="en-GB"/>
        </w:rPr>
        <w:t>interests,</w:t>
      </w:r>
      <w:r w:rsidR="009C3D10">
        <w:rPr>
          <w:lang w:val="en-GB"/>
        </w:rPr>
        <w:t xml:space="preserve"> and the level of creativity.</w:t>
      </w:r>
      <w:r w:rsidR="0025482D">
        <w:rPr>
          <w:lang w:val="en-GB"/>
        </w:rPr>
        <w:t xml:space="preserve"> </w:t>
      </w:r>
      <w:r w:rsidR="006E256F">
        <w:rPr>
          <w:lang w:val="en-GB"/>
        </w:rPr>
        <w:t>While t</w:t>
      </w:r>
      <w:r w:rsidR="009A43BE">
        <w:rPr>
          <w:lang w:val="en-GB"/>
        </w:rPr>
        <w:t>he</w:t>
      </w:r>
      <w:r w:rsidR="00B47D19">
        <w:rPr>
          <w:lang w:val="en-GB"/>
        </w:rPr>
        <w:t>se</w:t>
      </w:r>
      <w:r w:rsidR="009A43BE">
        <w:rPr>
          <w:lang w:val="en-GB"/>
        </w:rPr>
        <w:t xml:space="preserve"> para</w:t>
      </w:r>
      <w:r w:rsidR="001000FD">
        <w:rPr>
          <w:lang w:val="en-GB"/>
        </w:rPr>
        <w:t xml:space="preserve">llels between </w:t>
      </w:r>
      <w:r w:rsidR="001000FD">
        <w:rPr>
          <w:i/>
          <w:iCs/>
          <w:lang w:val="en-GB"/>
        </w:rPr>
        <w:t>Helene Fisc</w:t>
      </w:r>
      <w:r w:rsidR="009D4F07">
        <w:rPr>
          <w:i/>
          <w:iCs/>
          <w:lang w:val="en-GB"/>
        </w:rPr>
        <w:t>h</w:t>
      </w:r>
      <w:r w:rsidR="001000FD">
        <w:rPr>
          <w:i/>
          <w:iCs/>
          <w:lang w:val="en-GB"/>
        </w:rPr>
        <w:t xml:space="preserve">er </w:t>
      </w:r>
      <w:r w:rsidR="001000FD">
        <w:rPr>
          <w:lang w:val="en-GB"/>
        </w:rPr>
        <w:t xml:space="preserve">and reputational-based </w:t>
      </w:r>
      <w:proofErr w:type="gramStart"/>
      <w:r w:rsidR="001000FD">
        <w:rPr>
          <w:lang w:val="en-GB"/>
        </w:rPr>
        <w:t>trade mark</w:t>
      </w:r>
      <w:proofErr w:type="gramEnd"/>
      <w:r w:rsidR="001000FD">
        <w:rPr>
          <w:lang w:val="en-GB"/>
        </w:rPr>
        <w:t xml:space="preserve"> infringement</w:t>
      </w:r>
      <w:r w:rsidR="00786F82">
        <w:rPr>
          <w:lang w:val="en-GB"/>
        </w:rPr>
        <w:t xml:space="preserve"> </w:t>
      </w:r>
      <w:r w:rsidR="006E256F">
        <w:rPr>
          <w:lang w:val="en-GB"/>
        </w:rPr>
        <w:t xml:space="preserve">are helpful in structing a claim for artistic reputational harm, the use </w:t>
      </w:r>
      <w:r w:rsidR="00C70182">
        <w:rPr>
          <w:lang w:val="en-GB"/>
        </w:rPr>
        <w:t xml:space="preserve">did not relate to a creative reuse. This means it is </w:t>
      </w:r>
      <w:r w:rsidR="00EB0FCA">
        <w:rPr>
          <w:lang w:val="en-GB"/>
        </w:rPr>
        <w:t xml:space="preserve">difficult to determine </w:t>
      </w:r>
      <w:r w:rsidR="00A9320B">
        <w:rPr>
          <w:lang w:val="en-GB"/>
        </w:rPr>
        <w:t>when</w:t>
      </w:r>
      <w:r w:rsidR="00A60400">
        <w:rPr>
          <w:lang w:val="en-GB"/>
        </w:rPr>
        <w:t xml:space="preserve"> mere association for example would prevent exhausting authorial consent.</w:t>
      </w:r>
      <w:r w:rsidR="008210DB">
        <w:rPr>
          <w:lang w:val="en-GB"/>
        </w:rPr>
        <w:t xml:space="preserve"> </w:t>
      </w:r>
    </w:p>
    <w:p w14:paraId="74EC1E5D" w14:textId="580727AF" w:rsidR="001B3BA0" w:rsidRDefault="00D70B5E" w:rsidP="00006B51">
      <w:pPr>
        <w:pStyle w:val="TextBeitragab2Absatz"/>
        <w:jc w:val="both"/>
        <w:rPr>
          <w:lang w:val="en-GB"/>
        </w:rPr>
      </w:pPr>
      <w:r>
        <w:rPr>
          <w:lang w:val="en-GB"/>
        </w:rPr>
        <w:t xml:space="preserve">Returning to the significant link concept in </w:t>
      </w:r>
      <w:proofErr w:type="gramStart"/>
      <w:r>
        <w:rPr>
          <w:lang w:val="en-GB"/>
        </w:rPr>
        <w:t>trade mark</w:t>
      </w:r>
      <w:proofErr w:type="gramEnd"/>
      <w:r>
        <w:rPr>
          <w:lang w:val="en-GB"/>
        </w:rPr>
        <w:t xml:space="preserve"> law, in </w:t>
      </w:r>
      <w:r>
        <w:rPr>
          <w:i/>
          <w:iCs/>
          <w:lang w:val="en-GB"/>
        </w:rPr>
        <w:t>Rich Prada</w:t>
      </w:r>
      <w:r>
        <w:rPr>
          <w:lang w:val="en-GB"/>
        </w:rPr>
        <w:t>,</w:t>
      </w:r>
      <w:r w:rsidR="00D73704">
        <w:rPr>
          <w:rStyle w:val="FootnoteReference"/>
          <w:lang w:val="en-GB"/>
        </w:rPr>
        <w:footnoteReference w:id="29"/>
      </w:r>
      <w:r>
        <w:rPr>
          <w:lang w:val="en-GB"/>
        </w:rPr>
        <w:t xml:space="preserve"> the EU General Court held that the well-known fashion house, Prada, failed to prov</w:t>
      </w:r>
      <w:r w:rsidR="00EE5EC6">
        <w:rPr>
          <w:lang w:val="en-GB"/>
        </w:rPr>
        <w:t xml:space="preserve">e the link between itself and a Balinese four-star hotel named Rich Prada. Prada argued that they should have a possibility of brand extension as the public is accustomed to </w:t>
      </w:r>
      <w:r w:rsidR="00291691">
        <w:rPr>
          <w:lang w:val="en-GB"/>
        </w:rPr>
        <w:t xml:space="preserve">luxury brands in diverse sectors. However, </w:t>
      </w:r>
      <w:r w:rsidR="006E14D9">
        <w:rPr>
          <w:lang w:val="en-GB"/>
        </w:rPr>
        <w:t>the General Court was not convinced</w:t>
      </w:r>
      <w:r w:rsidR="009D4F07">
        <w:rPr>
          <w:lang w:val="en-GB"/>
        </w:rPr>
        <w:t>,</w:t>
      </w:r>
      <w:r w:rsidR="006E14D9">
        <w:rPr>
          <w:lang w:val="en-GB"/>
        </w:rPr>
        <w:t xml:space="preserve"> determining that brand extension is insufficient to prove the transfer of image from one mar</w:t>
      </w:r>
      <w:r w:rsidR="00D73704">
        <w:rPr>
          <w:lang w:val="en-GB"/>
        </w:rPr>
        <w:t>k to the alleged use.</w:t>
      </w:r>
      <w:r w:rsidR="001B3BA0">
        <w:rPr>
          <w:rStyle w:val="FootnoteReference"/>
          <w:lang w:val="en-GB"/>
        </w:rPr>
        <w:footnoteReference w:id="30"/>
      </w:r>
      <w:r w:rsidR="00BA29F1">
        <w:rPr>
          <w:lang w:val="en-GB"/>
        </w:rPr>
        <w:t xml:space="preserve"> </w:t>
      </w:r>
      <w:r w:rsidR="007C65F9">
        <w:rPr>
          <w:lang w:val="en-GB"/>
        </w:rPr>
        <w:t>A comparable argument c</w:t>
      </w:r>
      <w:r w:rsidR="00BA29F1">
        <w:rPr>
          <w:lang w:val="en-GB"/>
        </w:rPr>
        <w:t>ould</w:t>
      </w:r>
      <w:r w:rsidR="007C65F9">
        <w:rPr>
          <w:lang w:val="en-GB"/>
        </w:rPr>
        <w:t xml:space="preserve"> be made in relation to copyright and creative reuse as some would suggest that it has become the norm for artists to work creatively together.</w:t>
      </w:r>
    </w:p>
    <w:p w14:paraId="1FC037C9" w14:textId="720C9641" w:rsidR="0062572A" w:rsidRPr="00EF2C11" w:rsidRDefault="0062572A" w:rsidP="00006B51">
      <w:pPr>
        <w:pStyle w:val="TextBeitragab2Absatz"/>
        <w:jc w:val="both"/>
        <w:rPr>
          <w:color w:val="FF0000"/>
          <w:lang w:val="en-GB"/>
        </w:rPr>
      </w:pPr>
      <w:r>
        <w:rPr>
          <w:lang w:val="en-GB"/>
        </w:rPr>
        <w:t xml:space="preserve">It </w:t>
      </w:r>
      <w:r w:rsidR="00886099">
        <w:rPr>
          <w:lang w:val="en-GB"/>
        </w:rPr>
        <w:t>appears that</w:t>
      </w:r>
      <w:r>
        <w:rPr>
          <w:lang w:val="en-GB"/>
        </w:rPr>
        <w:t xml:space="preserve"> </w:t>
      </w:r>
      <w:r w:rsidR="00994C71">
        <w:rPr>
          <w:lang w:val="en-GB"/>
        </w:rPr>
        <w:t xml:space="preserve">there is doctrinal space to imply authorial consent specific to creative </w:t>
      </w:r>
      <w:r w:rsidR="00301FDD">
        <w:rPr>
          <w:lang w:val="en-GB"/>
        </w:rPr>
        <w:t>re</w:t>
      </w:r>
      <w:r w:rsidR="00994C71">
        <w:rPr>
          <w:lang w:val="en-GB"/>
        </w:rPr>
        <w:t>use</w:t>
      </w:r>
      <w:r w:rsidR="00B7148B">
        <w:rPr>
          <w:lang w:val="en-GB"/>
        </w:rPr>
        <w:t xml:space="preserve">. When consent is viewed as a meta exception, drawn from early free movement case law and Community-wide exhaustion, </w:t>
      </w:r>
      <w:r w:rsidR="00AA1FCA">
        <w:rPr>
          <w:lang w:val="en-GB"/>
        </w:rPr>
        <w:t>not only is it clear that consent is a norm-balancing exercise, but it is truly a question of control</w:t>
      </w:r>
      <w:r w:rsidR="00867BBA">
        <w:rPr>
          <w:lang w:val="en-GB"/>
        </w:rPr>
        <w:t xml:space="preserve"> built from a proportional and balanced assessment of contextual factors.</w:t>
      </w:r>
      <w:r w:rsidR="007B62CF">
        <w:rPr>
          <w:lang w:val="en-GB"/>
        </w:rPr>
        <w:t xml:space="preserve"> The more difficult </w:t>
      </w:r>
      <w:r w:rsidR="007B62CF">
        <w:rPr>
          <w:lang w:val="en-GB"/>
        </w:rPr>
        <w:lastRenderedPageBreak/>
        <w:t>question to answer is how to strike a balance between the initial author and the creative reuse</w:t>
      </w:r>
      <w:r w:rsidR="00EE187B">
        <w:rPr>
          <w:lang w:val="en-GB"/>
        </w:rPr>
        <w:t>. T</w:t>
      </w:r>
      <w:r w:rsidR="00E12CE5">
        <w:rPr>
          <w:lang w:val="en-GB"/>
        </w:rPr>
        <w:t>o which this article replies that t</w:t>
      </w:r>
      <w:r w:rsidR="00EE187B">
        <w:rPr>
          <w:lang w:val="en-GB"/>
        </w:rPr>
        <w:t xml:space="preserve">he reconciliation of personality rights and </w:t>
      </w:r>
      <w:r w:rsidR="00413339">
        <w:rPr>
          <w:lang w:val="en-GB"/>
        </w:rPr>
        <w:t xml:space="preserve">unfair competition law concepts in </w:t>
      </w:r>
      <w:proofErr w:type="gramStart"/>
      <w:r w:rsidR="00413339">
        <w:rPr>
          <w:lang w:val="en-GB"/>
        </w:rPr>
        <w:t>trade mark</w:t>
      </w:r>
      <w:proofErr w:type="gramEnd"/>
      <w:r w:rsidR="00413339">
        <w:rPr>
          <w:lang w:val="en-GB"/>
        </w:rPr>
        <w:t xml:space="preserve"> law</w:t>
      </w:r>
      <w:r w:rsidR="00301FDD">
        <w:rPr>
          <w:lang w:val="en-GB"/>
        </w:rPr>
        <w:t xml:space="preserve"> provide</w:t>
      </w:r>
      <w:r w:rsidR="00E12CE5">
        <w:rPr>
          <w:lang w:val="en-GB"/>
        </w:rPr>
        <w:t>s</w:t>
      </w:r>
      <w:r w:rsidR="00301FDD">
        <w:rPr>
          <w:lang w:val="en-GB"/>
        </w:rPr>
        <w:t xml:space="preserve"> a helpful starting point</w:t>
      </w:r>
      <w:r w:rsidR="00B857E1">
        <w:rPr>
          <w:lang w:val="en-GB"/>
        </w:rPr>
        <w:t xml:space="preserve"> to apply the social contract provided within the concept of creative autonomy.</w:t>
      </w:r>
    </w:p>
    <w:p w14:paraId="75F9DB08" w14:textId="44DB6868" w:rsidR="005A1D58" w:rsidRPr="00F40F8F" w:rsidRDefault="000D43A2" w:rsidP="001E3C9A">
      <w:pPr>
        <w:pStyle w:val="Heading2"/>
        <w:jc w:val="both"/>
        <w:rPr>
          <w:lang w:val="en-GB"/>
        </w:rPr>
      </w:pPr>
      <w:bookmarkStart w:id="3" w:name="_Toc157606430"/>
      <w:r>
        <w:rPr>
          <w:lang w:val="en-GB"/>
        </w:rPr>
        <w:t>R</w:t>
      </w:r>
      <w:r w:rsidR="005A1D58" w:rsidRPr="005A1D58">
        <w:rPr>
          <w:lang w:val="en-GB"/>
        </w:rPr>
        <w:t>emunerati</w:t>
      </w:r>
      <w:r>
        <w:rPr>
          <w:lang w:val="en-GB"/>
        </w:rPr>
        <w:t>ng authors</w:t>
      </w:r>
      <w:r w:rsidR="00A96521">
        <w:rPr>
          <w:lang w:val="en-GB"/>
        </w:rPr>
        <w:t xml:space="preserve"> </w:t>
      </w:r>
      <w:r w:rsidR="00D669D2">
        <w:rPr>
          <w:lang w:val="en-GB"/>
        </w:rPr>
        <w:t>for creative reuse on platforms</w:t>
      </w:r>
      <w:bookmarkEnd w:id="3"/>
    </w:p>
    <w:p w14:paraId="3A532447" w14:textId="05F96229" w:rsidR="00B47268" w:rsidRDefault="005654D8" w:rsidP="00A2525D">
      <w:pPr>
        <w:pStyle w:val="TextBeitragab2Absatz"/>
        <w:jc w:val="both"/>
        <w:rPr>
          <w:lang w:val="en-GB"/>
        </w:rPr>
      </w:pPr>
      <w:r>
        <w:rPr>
          <w:lang w:val="en-GB"/>
        </w:rPr>
        <w:t xml:space="preserve">Alongside the requirement for authorial consent for creative reuse, the EU copyright system has long required that </w:t>
      </w:r>
      <w:r w:rsidR="001B0443">
        <w:rPr>
          <w:lang w:val="en-GB"/>
        </w:rPr>
        <w:t xml:space="preserve">the high level of protection afforded works allows them </w:t>
      </w:r>
      <w:r w:rsidR="00C2584E" w:rsidRPr="00F40F8F">
        <w:rPr>
          <w:lang w:val="en-GB"/>
        </w:rPr>
        <w:t>“to obtain an appropriate reward for the use of their work”</w:t>
      </w:r>
      <w:r w:rsidR="00C2584E" w:rsidRPr="001B0443">
        <w:rPr>
          <w:vertAlign w:val="superscript"/>
          <w:lang w:val="en-GB"/>
        </w:rPr>
        <w:footnoteReference w:id="31"/>
      </w:r>
      <w:r w:rsidR="00C2584E" w:rsidRPr="00F40F8F">
        <w:rPr>
          <w:lang w:val="en-GB"/>
        </w:rPr>
        <w:t>.</w:t>
      </w:r>
      <w:r w:rsidR="002B02FD">
        <w:rPr>
          <w:lang w:val="en-GB"/>
        </w:rPr>
        <w:t xml:space="preserve"> </w:t>
      </w:r>
      <w:r w:rsidR="00A2525D">
        <w:rPr>
          <w:lang w:val="en-GB"/>
        </w:rPr>
        <w:t>However, this criterion applies to all rightsholders, meaning that beyond authors</w:t>
      </w:r>
      <w:r w:rsidR="00B47268">
        <w:rPr>
          <w:lang w:val="en-GB"/>
        </w:rPr>
        <w:t xml:space="preserve">, exploiters must be </w:t>
      </w:r>
      <w:r w:rsidR="00A2525D">
        <w:rPr>
          <w:lang w:val="en-GB"/>
        </w:rPr>
        <w:t>compensate</w:t>
      </w:r>
      <w:r w:rsidR="00B47268">
        <w:rPr>
          <w:lang w:val="en-GB"/>
        </w:rPr>
        <w:t>d</w:t>
      </w:r>
      <w:r w:rsidR="00A2525D">
        <w:rPr>
          <w:lang w:val="en-GB"/>
        </w:rPr>
        <w:t xml:space="preserve">. This article </w:t>
      </w:r>
      <w:r w:rsidR="00B47268">
        <w:rPr>
          <w:lang w:val="en-GB"/>
        </w:rPr>
        <w:t>however proposes that c</w:t>
      </w:r>
      <w:r w:rsidR="00A2525D">
        <w:rPr>
          <w:lang w:val="en-GB"/>
        </w:rPr>
        <w:t xml:space="preserve">reative autonomy </w:t>
      </w:r>
      <w:r w:rsidR="00B47268">
        <w:rPr>
          <w:lang w:val="en-GB"/>
        </w:rPr>
        <w:t>limits remuneration for creative reuse to authors.</w:t>
      </w:r>
    </w:p>
    <w:p w14:paraId="7428A656" w14:textId="137FB33C" w:rsidR="00C2584E" w:rsidRPr="00F40F8F" w:rsidRDefault="00B47268" w:rsidP="004070DB">
      <w:pPr>
        <w:pStyle w:val="TextBeitragab2Absatz"/>
        <w:jc w:val="both"/>
        <w:rPr>
          <w:lang w:val="en-GB"/>
        </w:rPr>
      </w:pPr>
      <w:r>
        <w:rPr>
          <w:lang w:val="en-GB"/>
        </w:rPr>
        <w:t>Firstly, i</w:t>
      </w:r>
      <w:r w:rsidR="006066F8">
        <w:rPr>
          <w:lang w:val="en-GB"/>
        </w:rPr>
        <w:t xml:space="preserve">f one considers the CJEU’s interpretation of an “appropriate reward” </w:t>
      </w:r>
      <w:r w:rsidR="003E7004">
        <w:rPr>
          <w:lang w:val="en-GB"/>
        </w:rPr>
        <w:t>it is evident that it is defined in relation</w:t>
      </w:r>
      <w:r w:rsidR="009D4F07">
        <w:rPr>
          <w:lang w:val="en-GB"/>
        </w:rPr>
        <w:t xml:space="preserve"> to</w:t>
      </w:r>
      <w:r w:rsidR="003E7004">
        <w:rPr>
          <w:lang w:val="en-GB"/>
        </w:rPr>
        <w:t xml:space="preserve"> </w:t>
      </w:r>
      <w:r w:rsidR="006D2ACA">
        <w:rPr>
          <w:lang w:val="en-GB"/>
        </w:rPr>
        <w:t>its reasonable economic exploitation.</w:t>
      </w:r>
      <w:r w:rsidR="006D2ACA">
        <w:rPr>
          <w:rStyle w:val="FootnoteReference"/>
          <w:lang w:val="en-GB"/>
        </w:rPr>
        <w:footnoteReference w:id="32"/>
      </w:r>
      <w:r w:rsidR="00A2525D">
        <w:rPr>
          <w:lang w:val="en-GB"/>
        </w:rPr>
        <w:t xml:space="preserve"> </w:t>
      </w:r>
      <w:r w:rsidR="00B8531D">
        <w:rPr>
          <w:lang w:val="en-GB"/>
        </w:rPr>
        <w:t xml:space="preserve">For example in </w:t>
      </w:r>
      <w:proofErr w:type="spellStart"/>
      <w:r w:rsidR="00B8531D">
        <w:rPr>
          <w:i/>
          <w:iCs/>
          <w:lang w:val="en-GB"/>
        </w:rPr>
        <w:t>UsedSoft</w:t>
      </w:r>
      <w:proofErr w:type="spellEnd"/>
      <w:r w:rsidR="00B8531D">
        <w:rPr>
          <w:lang w:val="en-GB"/>
        </w:rPr>
        <w:t>, the CJEU explained that the structure of the ‘licence’ w</w:t>
      </w:r>
      <w:r w:rsidR="00260C4E">
        <w:rPr>
          <w:lang w:val="en-GB"/>
        </w:rPr>
        <w:t>ent</w:t>
      </w:r>
      <w:r w:rsidR="00B8531D">
        <w:rPr>
          <w:lang w:val="en-GB"/>
        </w:rPr>
        <w:t xml:space="preserve"> beyond </w:t>
      </w:r>
      <w:r w:rsidR="004070DB">
        <w:rPr>
          <w:lang w:val="en-GB"/>
        </w:rPr>
        <w:t xml:space="preserve">what is necessary to safeguard the work as it allowed the copyright holder to control the resale of copies </w:t>
      </w:r>
      <w:r w:rsidR="00C2584E" w:rsidRPr="00F40F8F">
        <w:rPr>
          <w:lang w:val="en-GB"/>
        </w:rPr>
        <w:t xml:space="preserve">downloaded from the internet and to demand further remuneration on the occasion of each new sale, even though the first sale of the copy had already enabled the </w:t>
      </w:r>
      <w:proofErr w:type="spellStart"/>
      <w:r w:rsidR="00C2584E" w:rsidRPr="00F40F8F">
        <w:rPr>
          <w:lang w:val="en-GB"/>
        </w:rPr>
        <w:t>rightholder</w:t>
      </w:r>
      <w:proofErr w:type="spellEnd"/>
      <w:r w:rsidR="00C2584E" w:rsidRPr="00F40F8F">
        <w:rPr>
          <w:lang w:val="en-GB"/>
        </w:rPr>
        <w:t xml:space="preserve"> to obtain an appropriate remuneration</w:t>
      </w:r>
      <w:r w:rsidR="002F47B0">
        <w:rPr>
          <w:lang w:val="en-GB"/>
        </w:rPr>
        <w:t>.</w:t>
      </w:r>
      <w:r w:rsidR="00C2584E" w:rsidRPr="004070DB">
        <w:rPr>
          <w:vertAlign w:val="superscript"/>
          <w:lang w:val="en-GB"/>
        </w:rPr>
        <w:footnoteReference w:id="33"/>
      </w:r>
      <w:r w:rsidR="00C2584E" w:rsidRPr="00F40F8F">
        <w:rPr>
          <w:lang w:val="en-GB"/>
        </w:rPr>
        <w:t xml:space="preserve"> </w:t>
      </w:r>
      <w:r w:rsidR="002B482F">
        <w:rPr>
          <w:lang w:val="en-GB"/>
        </w:rPr>
        <w:t>The question becomes, what is reasonable in the context of creative reuse for non-author rightsholders?</w:t>
      </w:r>
    </w:p>
    <w:p w14:paraId="30FFFEAA" w14:textId="3DB346EB" w:rsidR="00A818A0" w:rsidRDefault="000F092E" w:rsidP="00AD607B">
      <w:pPr>
        <w:pStyle w:val="TextBeitragab2Absatz"/>
        <w:jc w:val="both"/>
        <w:rPr>
          <w:lang w:val="en-GB"/>
        </w:rPr>
      </w:pPr>
      <w:r>
        <w:rPr>
          <w:lang w:val="en-GB"/>
        </w:rPr>
        <w:t xml:space="preserve">One way to frame </w:t>
      </w:r>
      <w:r w:rsidR="00AD607B">
        <w:rPr>
          <w:lang w:val="en-GB"/>
        </w:rPr>
        <w:t xml:space="preserve">a reasonable economic exploitation is through </w:t>
      </w:r>
      <w:r>
        <w:rPr>
          <w:lang w:val="en-GB"/>
        </w:rPr>
        <w:t>a theory of substitution</w:t>
      </w:r>
      <w:r w:rsidR="004B37DC">
        <w:rPr>
          <w:lang w:val="en-GB"/>
        </w:rPr>
        <w:t xml:space="preserve"> – does the reuse act as a copy,</w:t>
      </w:r>
      <w:r w:rsidR="00C2584E" w:rsidRPr="00F40F8F">
        <w:rPr>
          <w:lang w:val="en-GB"/>
        </w:rPr>
        <w:t xml:space="preserve"> competing with the original work</w:t>
      </w:r>
      <w:r w:rsidR="004B37DC">
        <w:rPr>
          <w:lang w:val="en-GB"/>
        </w:rPr>
        <w:t>?</w:t>
      </w:r>
      <w:r w:rsidR="007D3CFA">
        <w:rPr>
          <w:lang w:val="en-GB"/>
        </w:rPr>
        <w:t xml:space="preserve"> The assessment should be structured to consider whether </w:t>
      </w:r>
      <w:r w:rsidR="00A06B31">
        <w:rPr>
          <w:lang w:val="en-GB"/>
        </w:rPr>
        <w:t xml:space="preserve">exploitation rights can prevent creative reuse </w:t>
      </w:r>
      <w:r w:rsidR="00A818A0">
        <w:rPr>
          <w:lang w:val="en-GB"/>
        </w:rPr>
        <w:t>based on actual harm suffered</w:t>
      </w:r>
      <w:r w:rsidR="009A13E4">
        <w:rPr>
          <w:lang w:val="en-GB"/>
        </w:rPr>
        <w:t>.</w:t>
      </w:r>
      <w:r w:rsidR="00A818A0">
        <w:rPr>
          <w:lang w:val="en-GB"/>
        </w:rPr>
        <w:t xml:space="preserve"> Case law affirms this perspective</w:t>
      </w:r>
      <w:r w:rsidR="00D86486">
        <w:rPr>
          <w:lang w:val="en-GB"/>
        </w:rPr>
        <w:t xml:space="preserve"> as in </w:t>
      </w:r>
      <w:proofErr w:type="spellStart"/>
      <w:r w:rsidR="00D86486">
        <w:rPr>
          <w:i/>
          <w:iCs/>
          <w:lang w:val="en-GB"/>
        </w:rPr>
        <w:t>Reprobel</w:t>
      </w:r>
      <w:proofErr w:type="spellEnd"/>
      <w:r w:rsidR="00D86486">
        <w:rPr>
          <w:i/>
          <w:iCs/>
          <w:lang w:val="en-GB"/>
        </w:rPr>
        <w:t xml:space="preserve"> </w:t>
      </w:r>
      <w:r w:rsidR="00D86486">
        <w:rPr>
          <w:lang w:val="en-GB"/>
        </w:rPr>
        <w:t>the CJEU found that</w:t>
      </w:r>
      <w:r w:rsidR="00DC2B1C">
        <w:rPr>
          <w:lang w:val="en-GB"/>
        </w:rPr>
        <w:t>:</w:t>
      </w:r>
      <w:r w:rsidR="008D5F6E">
        <w:rPr>
          <w:lang w:val="en-GB"/>
        </w:rPr>
        <w:t xml:space="preserve"> </w:t>
      </w:r>
    </w:p>
    <w:p w14:paraId="669B8DAA" w14:textId="5A2324D9" w:rsidR="00D86486" w:rsidRPr="00917AAA" w:rsidRDefault="00D86486" w:rsidP="00917AAA">
      <w:pPr>
        <w:pStyle w:val="TextBeitragab2Absatz"/>
        <w:ind w:left="227"/>
        <w:jc w:val="both"/>
        <w:rPr>
          <w:sz w:val="20"/>
          <w:szCs w:val="18"/>
        </w:rPr>
      </w:pPr>
      <w:r w:rsidRPr="00917AAA">
        <w:rPr>
          <w:sz w:val="20"/>
          <w:szCs w:val="18"/>
        </w:rPr>
        <w:t>“</w:t>
      </w:r>
      <w:r w:rsidR="001A7589" w:rsidRPr="00917AAA">
        <w:rPr>
          <w:sz w:val="20"/>
          <w:szCs w:val="18"/>
        </w:rPr>
        <w:t>[T]</w:t>
      </w:r>
      <w:r w:rsidRPr="00917AAA">
        <w:rPr>
          <w:sz w:val="20"/>
          <w:szCs w:val="18"/>
        </w:rPr>
        <w:t xml:space="preserve">he </w:t>
      </w:r>
      <w:r w:rsidR="001A7589" w:rsidRPr="00917AAA">
        <w:rPr>
          <w:sz w:val="20"/>
          <w:szCs w:val="18"/>
        </w:rPr>
        <w:t xml:space="preserve">notion and level of fair compensation </w:t>
      </w:r>
      <w:r w:rsidR="00050C12" w:rsidRPr="00917AAA">
        <w:rPr>
          <w:sz w:val="20"/>
          <w:szCs w:val="18"/>
        </w:rPr>
        <w:t>is</w:t>
      </w:r>
      <w:r w:rsidR="001A7589" w:rsidRPr="00917AAA">
        <w:rPr>
          <w:sz w:val="20"/>
          <w:szCs w:val="18"/>
        </w:rPr>
        <w:t xml:space="preserve"> linked to the </w:t>
      </w:r>
      <w:r w:rsidRPr="00917AAA">
        <w:rPr>
          <w:sz w:val="20"/>
          <w:szCs w:val="18"/>
        </w:rPr>
        <w:t>harm</w:t>
      </w:r>
      <w:r w:rsidR="001C3472" w:rsidRPr="00917AAA">
        <w:rPr>
          <w:sz w:val="20"/>
          <w:szCs w:val="18"/>
        </w:rPr>
        <w:t xml:space="preserve"> resulting for the author from the reproduction of his protected work </w:t>
      </w:r>
      <w:r w:rsidR="001A7589" w:rsidRPr="00917AAA">
        <w:rPr>
          <w:sz w:val="20"/>
          <w:szCs w:val="18"/>
        </w:rPr>
        <w:t xml:space="preserve">without </w:t>
      </w:r>
      <w:r w:rsidR="006C540E" w:rsidRPr="00917AAA">
        <w:rPr>
          <w:sz w:val="20"/>
          <w:szCs w:val="18"/>
        </w:rPr>
        <w:t>h</w:t>
      </w:r>
      <w:r w:rsidR="001A7589" w:rsidRPr="00917AAA">
        <w:rPr>
          <w:sz w:val="20"/>
          <w:szCs w:val="18"/>
        </w:rPr>
        <w:t>is compensation. From that perspective, fair compensation must be rewarded as recompense for the harm suffered by that author”.</w:t>
      </w:r>
      <w:r w:rsidR="001A7589" w:rsidRPr="00917AAA">
        <w:rPr>
          <w:sz w:val="20"/>
          <w:szCs w:val="18"/>
          <w:vertAlign w:val="superscript"/>
        </w:rPr>
        <w:footnoteReference w:id="34"/>
      </w:r>
    </w:p>
    <w:p w14:paraId="6B18075C" w14:textId="1899D906" w:rsidR="00DA64E4" w:rsidRDefault="00F30408" w:rsidP="00311689">
      <w:pPr>
        <w:pStyle w:val="TextBeitragab2Absatz"/>
        <w:jc w:val="both"/>
        <w:rPr>
          <w:lang w:val="en-GB"/>
        </w:rPr>
      </w:pPr>
      <w:r>
        <w:rPr>
          <w:lang w:val="en-GB"/>
        </w:rPr>
        <w:t>Though</w:t>
      </w:r>
      <w:r w:rsidR="00D91AF8">
        <w:rPr>
          <w:lang w:val="en-GB"/>
        </w:rPr>
        <w:t xml:space="preserve"> the court identified that the author experienced harm from the sale of </w:t>
      </w:r>
      <w:r w:rsidR="00A32826">
        <w:rPr>
          <w:lang w:val="en-GB"/>
        </w:rPr>
        <w:t>printer</w:t>
      </w:r>
      <w:r w:rsidR="0020098E">
        <w:rPr>
          <w:lang w:val="en-GB"/>
        </w:rPr>
        <w:t xml:space="preserve">s, publishers were not </w:t>
      </w:r>
      <w:r w:rsidR="00CD5D07">
        <w:rPr>
          <w:lang w:val="en-GB"/>
        </w:rPr>
        <w:t>remunerated as</w:t>
      </w:r>
      <w:r w:rsidR="0020098E">
        <w:rPr>
          <w:lang w:val="en-GB"/>
        </w:rPr>
        <w:t xml:space="preserve"> they </w:t>
      </w:r>
      <w:r w:rsidR="00CD5D07">
        <w:rPr>
          <w:lang w:val="en-GB"/>
        </w:rPr>
        <w:t xml:space="preserve">were </w:t>
      </w:r>
      <w:r w:rsidR="0020098E">
        <w:rPr>
          <w:lang w:val="en-GB"/>
        </w:rPr>
        <w:t>not subject to any harm for the purpose of copyright exceptions.</w:t>
      </w:r>
      <w:r w:rsidR="00457FD0" w:rsidRPr="00CD5D07">
        <w:rPr>
          <w:vertAlign w:val="superscript"/>
          <w:lang w:val="en-GB"/>
        </w:rPr>
        <w:t xml:space="preserve"> </w:t>
      </w:r>
      <w:r w:rsidR="000F302B">
        <w:rPr>
          <w:lang w:val="en-GB"/>
        </w:rPr>
        <w:t>If expanded upon further, c</w:t>
      </w:r>
      <w:r w:rsidR="00457FD0">
        <w:rPr>
          <w:lang w:val="en-GB"/>
        </w:rPr>
        <w:t>ombining actual harm with the s</w:t>
      </w:r>
      <w:r w:rsidR="00D47DB5">
        <w:rPr>
          <w:lang w:val="en-GB"/>
        </w:rPr>
        <w:t xml:space="preserve">ubstitution theory </w:t>
      </w:r>
      <w:r w:rsidR="008C77A6">
        <w:rPr>
          <w:lang w:val="en-GB"/>
        </w:rPr>
        <w:t>supports the notion of creative autonomy</w:t>
      </w:r>
      <w:r w:rsidR="00DE33EB">
        <w:rPr>
          <w:lang w:val="en-GB"/>
        </w:rPr>
        <w:t xml:space="preserve">. While there is inherent space for the communication of artistic reuse, </w:t>
      </w:r>
      <w:r w:rsidR="00DD4D2D">
        <w:rPr>
          <w:lang w:val="en-GB"/>
        </w:rPr>
        <w:t xml:space="preserve">potential harm is balanced through compensation, meaning that </w:t>
      </w:r>
      <w:r w:rsidR="00DE33EB">
        <w:rPr>
          <w:lang w:val="en-GB"/>
        </w:rPr>
        <w:t>a</w:t>
      </w:r>
      <w:r w:rsidR="00C2584E" w:rsidRPr="00F40F8F">
        <w:rPr>
          <w:lang w:val="en-GB"/>
        </w:rPr>
        <w:t>uthors</w:t>
      </w:r>
      <w:r w:rsidR="003E3129">
        <w:rPr>
          <w:lang w:val="en-GB"/>
        </w:rPr>
        <w:t xml:space="preserve"> </w:t>
      </w:r>
      <w:r w:rsidR="00C2584E" w:rsidRPr="00F40F8F">
        <w:rPr>
          <w:lang w:val="en-GB"/>
        </w:rPr>
        <w:t xml:space="preserve">remain the only relevant copyright interest with a claim to be appropriately remunerated for </w:t>
      </w:r>
      <w:r w:rsidR="003E3129">
        <w:rPr>
          <w:lang w:val="en-GB"/>
        </w:rPr>
        <w:t>creative reuse</w:t>
      </w:r>
      <w:r w:rsidR="00C2584E" w:rsidRPr="00F40F8F">
        <w:rPr>
          <w:lang w:val="en-GB"/>
        </w:rPr>
        <w:t xml:space="preserve">. </w:t>
      </w:r>
      <w:r w:rsidR="002227B5">
        <w:rPr>
          <w:lang w:val="en-GB"/>
        </w:rPr>
        <w:t xml:space="preserve">Additionally, if the creative reuse is capable of substituting the original work, </w:t>
      </w:r>
      <w:proofErr w:type="gramStart"/>
      <w:r w:rsidR="002227B5">
        <w:rPr>
          <w:lang w:val="en-GB"/>
        </w:rPr>
        <w:t>this</w:t>
      </w:r>
      <w:r w:rsidR="00A36FFB">
        <w:rPr>
          <w:lang w:val="en-GB"/>
        </w:rPr>
        <w:t xml:space="preserve"> </w:t>
      </w:r>
      <w:r w:rsidR="00D20F17">
        <w:rPr>
          <w:lang w:val="en-GB"/>
        </w:rPr>
        <w:t>harms</w:t>
      </w:r>
      <w:proofErr w:type="gramEnd"/>
      <w:r w:rsidR="00D20F17">
        <w:rPr>
          <w:lang w:val="en-GB"/>
        </w:rPr>
        <w:t xml:space="preserve"> both authors, and exploiters </w:t>
      </w:r>
      <w:r w:rsidR="001163CB">
        <w:rPr>
          <w:lang w:val="en-GB"/>
        </w:rPr>
        <w:t>as it impacts their investment.</w:t>
      </w:r>
    </w:p>
    <w:p w14:paraId="5790C38C" w14:textId="2A0ABD60" w:rsidR="00C2584E" w:rsidRPr="00F40F8F" w:rsidRDefault="00D20F17" w:rsidP="00B12E69">
      <w:pPr>
        <w:pStyle w:val="TextBeitragab2Absatz"/>
        <w:jc w:val="both"/>
        <w:rPr>
          <w:lang w:val="en-GB"/>
        </w:rPr>
      </w:pPr>
      <w:r>
        <w:rPr>
          <w:lang w:val="en-GB"/>
        </w:rPr>
        <w:t>T</w:t>
      </w:r>
      <w:r w:rsidR="008776CA">
        <w:rPr>
          <w:lang w:val="en-GB"/>
        </w:rPr>
        <w:t>he question of harm has</w:t>
      </w:r>
      <w:r>
        <w:rPr>
          <w:lang w:val="en-GB"/>
        </w:rPr>
        <w:t xml:space="preserve"> somewhat</w:t>
      </w:r>
      <w:r w:rsidR="008776CA">
        <w:rPr>
          <w:lang w:val="en-GB"/>
        </w:rPr>
        <w:t xml:space="preserve"> been </w:t>
      </w:r>
      <w:r w:rsidR="00E6477A">
        <w:rPr>
          <w:lang w:val="en-GB"/>
        </w:rPr>
        <w:t>addressed in</w:t>
      </w:r>
      <w:r w:rsidR="00B12E69">
        <w:rPr>
          <w:lang w:val="en-GB"/>
        </w:rPr>
        <w:t xml:space="preserve"> relation to both EU Commission Guidance on art. 17 DSM Directive and </w:t>
      </w:r>
      <w:r w:rsidR="00C2584E" w:rsidRPr="00F40F8F">
        <w:rPr>
          <w:lang w:val="en-GB"/>
        </w:rPr>
        <w:t xml:space="preserve">Advocate General Saugmandsgaard </w:t>
      </w:r>
      <w:proofErr w:type="spellStart"/>
      <w:r w:rsidR="00C2584E" w:rsidRPr="00F40F8F">
        <w:rPr>
          <w:lang w:val="en-GB"/>
        </w:rPr>
        <w:t>Øe’s</w:t>
      </w:r>
      <w:proofErr w:type="spellEnd"/>
      <w:r w:rsidR="00C2584E" w:rsidRPr="00F40F8F">
        <w:rPr>
          <w:lang w:val="en-GB"/>
        </w:rPr>
        <w:t xml:space="preserve"> opinion in </w:t>
      </w:r>
      <w:r w:rsidR="00C2584E" w:rsidRPr="00E6477A">
        <w:rPr>
          <w:i/>
          <w:iCs/>
          <w:lang w:val="en-GB"/>
        </w:rPr>
        <w:t>Poland</w:t>
      </w:r>
      <w:r w:rsidR="00B12E69">
        <w:rPr>
          <w:lang w:val="en-GB"/>
        </w:rPr>
        <w:t>.</w:t>
      </w:r>
      <w:r>
        <w:rPr>
          <w:rStyle w:val="FootnoteReference"/>
          <w:lang w:val="en-GB"/>
        </w:rPr>
        <w:footnoteReference w:id="35"/>
      </w:r>
      <w:r w:rsidR="00B12E69">
        <w:rPr>
          <w:lang w:val="en-GB"/>
        </w:rPr>
        <w:t xml:space="preserve"> Both reference</w:t>
      </w:r>
      <w:r w:rsidR="00DE2C70">
        <w:rPr>
          <w:lang w:val="en-GB"/>
        </w:rPr>
        <w:t xml:space="preserve"> </w:t>
      </w:r>
      <w:r w:rsidR="00C2584E" w:rsidRPr="00F40F8F">
        <w:rPr>
          <w:lang w:val="en-GB"/>
        </w:rPr>
        <w:t xml:space="preserve">the need to prevent non-manifestly infringing uses “staying down” during the complaint and redress mechanism. It is also indirectly supported by the CJEU in </w:t>
      </w:r>
      <w:r w:rsidR="00C2584E" w:rsidRPr="00E6477A">
        <w:rPr>
          <w:i/>
          <w:iCs/>
          <w:lang w:val="en-GB"/>
        </w:rPr>
        <w:t>Poland</w:t>
      </w:r>
      <w:r w:rsidR="00C2584E" w:rsidRPr="00F40F8F">
        <w:rPr>
          <w:lang w:val="en-GB"/>
        </w:rPr>
        <w:t xml:space="preserve"> requiring member states to transpose </w:t>
      </w:r>
      <w:r w:rsidR="00C2584E" w:rsidRPr="00F40F8F">
        <w:rPr>
          <w:lang w:val="en-GB"/>
        </w:rPr>
        <w:lastRenderedPageBreak/>
        <w:t>arts. 17(7) and 17(9) effectively, to protect the essence of freedom of expression and information that the user safeguards shield.</w:t>
      </w:r>
      <w:r>
        <w:rPr>
          <w:rStyle w:val="FootnoteReference"/>
          <w:lang w:val="en-GB"/>
        </w:rPr>
        <w:footnoteReference w:id="36"/>
      </w:r>
    </w:p>
    <w:p w14:paraId="7A37AEC4" w14:textId="3516ABD5" w:rsidR="00495142" w:rsidRDefault="00DE085D" w:rsidP="003E259B">
      <w:pPr>
        <w:pStyle w:val="TextBeitragab2Absatz"/>
        <w:jc w:val="both"/>
        <w:rPr>
          <w:lang w:val="en-GB"/>
        </w:rPr>
      </w:pPr>
      <w:r>
        <w:rPr>
          <w:lang w:val="en-GB"/>
        </w:rPr>
        <w:t xml:space="preserve">Though mandatory exceptions, namely parody, </w:t>
      </w:r>
      <w:proofErr w:type="gramStart"/>
      <w:r>
        <w:rPr>
          <w:lang w:val="en-GB"/>
        </w:rPr>
        <w:t>pastiche</w:t>
      </w:r>
      <w:proofErr w:type="gramEnd"/>
      <w:r>
        <w:rPr>
          <w:lang w:val="en-GB"/>
        </w:rPr>
        <w:t xml:space="preserve"> and caricature, provide some guidance on what types of creative reuse should not be filtered by platforms,</w:t>
      </w:r>
      <w:r w:rsidRPr="00DE2C70">
        <w:rPr>
          <w:vertAlign w:val="superscript"/>
          <w:lang w:val="en-GB"/>
        </w:rPr>
        <w:footnoteReference w:id="37"/>
      </w:r>
      <w:r>
        <w:rPr>
          <w:lang w:val="en-GB"/>
        </w:rPr>
        <w:t xml:space="preserve"> this article suggests that the theory of substitution is more effective. The concept </w:t>
      </w:r>
      <w:r w:rsidR="002619D4">
        <w:rPr>
          <w:lang w:val="en-GB"/>
        </w:rPr>
        <w:t>conforms with the relationship between ‘harm’ and remuneration rights within the EU copyright system,</w:t>
      </w:r>
      <w:r w:rsidR="009E3C83" w:rsidRPr="004C2228">
        <w:rPr>
          <w:vertAlign w:val="superscript"/>
          <w:lang w:val="en-GB"/>
        </w:rPr>
        <w:footnoteReference w:id="38"/>
      </w:r>
      <w:r w:rsidR="002619D4">
        <w:rPr>
          <w:lang w:val="en-GB"/>
        </w:rPr>
        <w:t xml:space="preserve"> and most significantly, </w:t>
      </w:r>
      <w:r w:rsidR="009E3C83">
        <w:rPr>
          <w:lang w:val="en-GB"/>
        </w:rPr>
        <w:t>does not restrict uses based on whether they are ‘creative’ enough.</w:t>
      </w:r>
      <w:r w:rsidR="00495142">
        <w:rPr>
          <w:lang w:val="en-GB"/>
        </w:rPr>
        <w:t xml:space="preserve"> Such a broad approach is also supported by commentary that advocates </w:t>
      </w:r>
      <w:r w:rsidR="003E259B">
        <w:rPr>
          <w:lang w:val="en-GB"/>
        </w:rPr>
        <w:t>a “permitted-but-paid”</w:t>
      </w:r>
      <w:r w:rsidR="003E259B" w:rsidRPr="003E259B">
        <w:rPr>
          <w:vertAlign w:val="superscript"/>
          <w:lang w:val="en-GB"/>
        </w:rPr>
        <w:t xml:space="preserve"> </w:t>
      </w:r>
      <w:r w:rsidR="003E259B" w:rsidRPr="004C2228">
        <w:rPr>
          <w:vertAlign w:val="superscript"/>
          <w:lang w:val="en-GB"/>
        </w:rPr>
        <w:footnoteReference w:id="39"/>
      </w:r>
      <w:r w:rsidR="003E259B" w:rsidRPr="00F40F8F">
        <w:rPr>
          <w:lang w:val="en-GB"/>
        </w:rPr>
        <w:t xml:space="preserve"> </w:t>
      </w:r>
      <w:r w:rsidR="003E259B">
        <w:rPr>
          <w:lang w:val="en-GB"/>
        </w:rPr>
        <w:t xml:space="preserve"> approach through </w:t>
      </w:r>
      <w:r w:rsidR="00C2584E" w:rsidRPr="00F40F8F">
        <w:rPr>
          <w:lang w:val="en-GB"/>
        </w:rPr>
        <w:t>“limitation-based remuneration rights”</w:t>
      </w:r>
      <w:r w:rsidR="00C2584E" w:rsidRPr="004C2228">
        <w:rPr>
          <w:vertAlign w:val="superscript"/>
          <w:lang w:val="en-GB"/>
        </w:rPr>
        <w:footnoteReference w:id="40"/>
      </w:r>
      <w:r w:rsidR="00C2584E" w:rsidRPr="00F40F8F">
        <w:rPr>
          <w:lang w:val="en-GB"/>
        </w:rPr>
        <w:t>. Th</w:t>
      </w:r>
      <w:r w:rsidR="003E259B">
        <w:rPr>
          <w:lang w:val="en-GB"/>
        </w:rPr>
        <w:t xml:space="preserve">is ensures </w:t>
      </w:r>
      <w:r w:rsidR="00C2584E" w:rsidRPr="00F40F8F">
        <w:rPr>
          <w:lang w:val="en-GB"/>
        </w:rPr>
        <w:t>“relatively inexpensive dissemination in furtherance of socially worthy goals”</w:t>
      </w:r>
      <w:r w:rsidR="003E259B">
        <w:rPr>
          <w:lang w:val="en-GB"/>
        </w:rPr>
        <w:t>,</w:t>
      </w:r>
      <w:r w:rsidR="00C2584E" w:rsidRPr="004C2228">
        <w:rPr>
          <w:vertAlign w:val="superscript"/>
          <w:lang w:val="en-GB"/>
        </w:rPr>
        <w:footnoteReference w:id="41"/>
      </w:r>
      <w:r w:rsidR="003E259B">
        <w:rPr>
          <w:lang w:val="en-GB"/>
        </w:rPr>
        <w:t xml:space="preserve"> such as creativity online.</w:t>
      </w:r>
      <w:r w:rsidR="00C2584E" w:rsidRPr="00F40F8F">
        <w:rPr>
          <w:lang w:val="en-GB"/>
        </w:rPr>
        <w:t xml:space="preserve"> </w:t>
      </w:r>
    </w:p>
    <w:p w14:paraId="7F6782FA" w14:textId="5F94FEEE" w:rsidR="00C2584E" w:rsidRPr="00F40F8F" w:rsidRDefault="00C2584E" w:rsidP="001E3C9A">
      <w:pPr>
        <w:pStyle w:val="TextBeitragab2Absatz"/>
        <w:jc w:val="both"/>
        <w:rPr>
          <w:lang w:val="en-GB"/>
        </w:rPr>
      </w:pPr>
      <w:r w:rsidRPr="00F40F8F">
        <w:rPr>
          <w:lang w:val="en-GB"/>
        </w:rPr>
        <w:t xml:space="preserve">It follows, that </w:t>
      </w:r>
      <w:r w:rsidR="00405C88">
        <w:rPr>
          <w:lang w:val="en-GB"/>
        </w:rPr>
        <w:t xml:space="preserve">authorial consent and remuneration </w:t>
      </w:r>
      <w:r w:rsidRPr="00F40F8F">
        <w:rPr>
          <w:lang w:val="en-GB"/>
        </w:rPr>
        <w:t xml:space="preserve">serve as mutually inclusive points of departure from the </w:t>
      </w:r>
      <w:r w:rsidR="0028230B">
        <w:rPr>
          <w:lang w:val="en-GB"/>
        </w:rPr>
        <w:t>EU</w:t>
      </w:r>
      <w:r w:rsidRPr="00F40F8F">
        <w:rPr>
          <w:lang w:val="en-GB"/>
        </w:rPr>
        <w:t xml:space="preserve"> copyright system</w:t>
      </w:r>
      <w:r w:rsidR="0028230B">
        <w:rPr>
          <w:lang w:val="en-GB"/>
        </w:rPr>
        <w:t xml:space="preserve">. </w:t>
      </w:r>
      <w:r w:rsidR="00171337">
        <w:rPr>
          <w:lang w:val="en-GB"/>
        </w:rPr>
        <w:t xml:space="preserve">Indeed, </w:t>
      </w:r>
      <w:r w:rsidR="00171337" w:rsidRPr="00F40F8F">
        <w:rPr>
          <w:lang w:val="en-GB"/>
        </w:rPr>
        <w:t>a</w:t>
      </w:r>
      <w:r w:rsidRPr="00F40F8F">
        <w:rPr>
          <w:lang w:val="en-GB"/>
        </w:rPr>
        <w:t xml:space="preserve"> wider approach to creativity ensures that:</w:t>
      </w:r>
    </w:p>
    <w:p w14:paraId="41189D64" w14:textId="60104AB3" w:rsidR="00C2584E" w:rsidRPr="00917AAA" w:rsidRDefault="00C2584E" w:rsidP="00917AAA">
      <w:pPr>
        <w:pStyle w:val="TextBeitragab2Absatz"/>
        <w:ind w:left="227"/>
        <w:jc w:val="both"/>
        <w:rPr>
          <w:sz w:val="20"/>
          <w:szCs w:val="18"/>
        </w:rPr>
      </w:pPr>
      <w:r w:rsidRPr="00917AAA">
        <w:rPr>
          <w:sz w:val="20"/>
          <w:szCs w:val="18"/>
        </w:rPr>
        <w:t>“</w:t>
      </w:r>
      <w:r w:rsidR="0028230B" w:rsidRPr="00917AAA">
        <w:rPr>
          <w:sz w:val="20"/>
          <w:szCs w:val="18"/>
        </w:rPr>
        <w:t>[E]</w:t>
      </w:r>
      <w:r w:rsidRPr="00917AAA">
        <w:rPr>
          <w:sz w:val="20"/>
          <w:szCs w:val="18"/>
        </w:rPr>
        <w:t>veryone – not just political, economic or cultural elites – has a fair chance to participate in the production of culture, and in the development of the ideas and meanings that constitute them and [in] the communities and subcommunities that they belong.”</w:t>
      </w:r>
      <w:r w:rsidRPr="00917AAA">
        <w:rPr>
          <w:sz w:val="20"/>
          <w:szCs w:val="18"/>
          <w:vertAlign w:val="superscript"/>
        </w:rPr>
        <w:footnoteReference w:id="42"/>
      </w:r>
    </w:p>
    <w:p w14:paraId="0255791B" w14:textId="76948876" w:rsidR="00C2584E" w:rsidRPr="00F40F8F" w:rsidRDefault="0028230B" w:rsidP="0028230B">
      <w:pPr>
        <w:pStyle w:val="TextBeitragab2Absatz"/>
        <w:ind w:firstLine="0"/>
        <w:jc w:val="both"/>
        <w:rPr>
          <w:lang w:val="en-GB"/>
        </w:rPr>
      </w:pPr>
      <w:r>
        <w:rPr>
          <w:lang w:val="en-GB"/>
        </w:rPr>
        <w:t>Additionally, i</w:t>
      </w:r>
      <w:r w:rsidR="00C2584E" w:rsidRPr="00F40F8F">
        <w:rPr>
          <w:lang w:val="en-GB"/>
        </w:rPr>
        <w:t xml:space="preserve">t reflects the fundamental relationship between self-determination and freedom of expression </w:t>
      </w:r>
      <w:r>
        <w:rPr>
          <w:lang w:val="en-GB"/>
        </w:rPr>
        <w:t>integral to creative autonomy</w:t>
      </w:r>
      <w:r w:rsidR="00C2584E" w:rsidRPr="00F40F8F">
        <w:rPr>
          <w:lang w:val="en-GB"/>
        </w:rPr>
        <w:t>,</w:t>
      </w:r>
      <w:r>
        <w:rPr>
          <w:lang w:val="en-GB"/>
        </w:rPr>
        <w:t xml:space="preserve"> and</w:t>
      </w:r>
      <w:r w:rsidR="00C2584E" w:rsidRPr="00F40F8F">
        <w:rPr>
          <w:lang w:val="en-GB"/>
        </w:rPr>
        <w:t xml:space="preserve"> a broader approach to authorship</w:t>
      </w:r>
      <w:r w:rsidR="005C1D35">
        <w:rPr>
          <w:lang w:val="en-GB"/>
        </w:rPr>
        <w:t xml:space="preserve"> which is </w:t>
      </w:r>
      <w:r w:rsidR="00C2584E" w:rsidRPr="00F40F8F">
        <w:rPr>
          <w:lang w:val="en-GB"/>
        </w:rPr>
        <w:t>inclusive of users and community-based creativity and interaction online.</w:t>
      </w:r>
      <w:r>
        <w:rPr>
          <w:lang w:val="en-GB"/>
        </w:rPr>
        <w:t xml:space="preserve"> </w:t>
      </w:r>
      <w:r w:rsidR="00C2584E" w:rsidRPr="00F40F8F">
        <w:rPr>
          <w:lang w:val="en-GB"/>
        </w:rPr>
        <w:t xml:space="preserve">When these elements are viewed wholistically they arguably reflect a more practical understanding of how cultural works are </w:t>
      </w:r>
      <w:r w:rsidR="00AD5E29" w:rsidRPr="00F40F8F">
        <w:rPr>
          <w:lang w:val="en-GB"/>
        </w:rPr>
        <w:t>created</w:t>
      </w:r>
      <w:r w:rsidR="00AD5E29">
        <w:rPr>
          <w:lang w:val="en-GB"/>
        </w:rPr>
        <w:t>,</w:t>
      </w:r>
      <w:r w:rsidR="00AD5E29" w:rsidRPr="00F40F8F">
        <w:rPr>
          <w:lang w:val="en-GB"/>
        </w:rPr>
        <w:t xml:space="preserve"> shared</w:t>
      </w:r>
      <w:r w:rsidR="00AD5E29">
        <w:rPr>
          <w:lang w:val="en-GB"/>
        </w:rPr>
        <w:t xml:space="preserve">, </w:t>
      </w:r>
      <w:r w:rsidR="00CF02C9">
        <w:rPr>
          <w:lang w:val="en-GB"/>
        </w:rPr>
        <w:t>enjoyed,</w:t>
      </w:r>
      <w:r w:rsidR="00AD5E29">
        <w:rPr>
          <w:lang w:val="en-GB"/>
        </w:rPr>
        <w:t xml:space="preserve"> and inspire future creativity. It explicitly</w:t>
      </w:r>
      <w:r w:rsidR="00C2584E" w:rsidRPr="00F40F8F">
        <w:rPr>
          <w:lang w:val="en-GB"/>
        </w:rPr>
        <w:t xml:space="preserve"> recognizes:</w:t>
      </w:r>
    </w:p>
    <w:p w14:paraId="2413B57C" w14:textId="555DB2CE" w:rsidR="00C2584E" w:rsidRPr="00917AAA" w:rsidRDefault="00C2584E" w:rsidP="001E3C9A">
      <w:pPr>
        <w:pStyle w:val="TextBeitragab2Absatz"/>
        <w:jc w:val="both"/>
        <w:rPr>
          <w:sz w:val="20"/>
          <w:szCs w:val="18"/>
        </w:rPr>
      </w:pPr>
      <w:r w:rsidRPr="00917AAA">
        <w:rPr>
          <w:sz w:val="20"/>
          <w:szCs w:val="18"/>
        </w:rPr>
        <w:t>“</w:t>
      </w:r>
      <w:r w:rsidR="00AD5E29" w:rsidRPr="00917AAA">
        <w:rPr>
          <w:sz w:val="20"/>
          <w:szCs w:val="18"/>
        </w:rPr>
        <w:t>[T]</w:t>
      </w:r>
      <w:r w:rsidRPr="00917AAA">
        <w:rPr>
          <w:sz w:val="20"/>
          <w:szCs w:val="18"/>
        </w:rPr>
        <w:t>he dynamic, interactive, and diffused nature of creative processes…[by] shift[ing] the locus of creative processes from a single act of authoring ‘from thin air’ to an ongoing process with multiple participants”.</w:t>
      </w:r>
      <w:r w:rsidRPr="00917AAA">
        <w:rPr>
          <w:sz w:val="20"/>
          <w:szCs w:val="18"/>
          <w:vertAlign w:val="superscript"/>
        </w:rPr>
        <w:footnoteReference w:id="43"/>
      </w:r>
    </w:p>
    <w:p w14:paraId="23262420" w14:textId="6A1B8F57" w:rsidR="00C2584E" w:rsidRDefault="00C2584E" w:rsidP="001E3C9A">
      <w:pPr>
        <w:pStyle w:val="TextBeitragab2Absatz"/>
        <w:jc w:val="both"/>
        <w:rPr>
          <w:lang w:val="en-GB"/>
        </w:rPr>
      </w:pPr>
      <w:r w:rsidRPr="00F40F8F">
        <w:rPr>
          <w:lang w:val="en-GB"/>
        </w:rPr>
        <w:t xml:space="preserve">The question of subsequent creativity is no longer one of whether it falls into an acceptable category, but whether authorial consent is exhausted, facilitating and supporting future creativity online. In this </w:t>
      </w:r>
      <w:r w:rsidRPr="00F40F8F">
        <w:rPr>
          <w:lang w:val="en-GB"/>
        </w:rPr>
        <w:lastRenderedPageBreak/>
        <w:t xml:space="preserve">way, </w:t>
      </w:r>
      <w:r w:rsidR="002B2650">
        <w:rPr>
          <w:lang w:val="en-GB"/>
        </w:rPr>
        <w:t>creative autonomy</w:t>
      </w:r>
      <w:r w:rsidRPr="00F40F8F">
        <w:rPr>
          <w:lang w:val="en-GB"/>
        </w:rPr>
        <w:t xml:space="preserve"> </w:t>
      </w:r>
      <w:r w:rsidR="002B2650">
        <w:rPr>
          <w:lang w:val="en-GB"/>
        </w:rPr>
        <w:t>is</w:t>
      </w:r>
      <w:r w:rsidRPr="00F40F8F">
        <w:rPr>
          <w:lang w:val="en-GB"/>
        </w:rPr>
        <w:t xml:space="preserve"> a point of departure grounded in </w:t>
      </w:r>
      <w:r w:rsidR="00D763AA">
        <w:rPr>
          <w:lang w:val="en-GB"/>
        </w:rPr>
        <w:t>a systems theory approach which utilises the</w:t>
      </w:r>
      <w:r w:rsidRPr="00F40F8F">
        <w:rPr>
          <w:lang w:val="en-GB"/>
        </w:rPr>
        <w:t xml:space="preserve"> inherent balancing mechanism of the European copyright system</w:t>
      </w:r>
      <w:r w:rsidR="00D763AA">
        <w:rPr>
          <w:lang w:val="en-GB"/>
        </w:rPr>
        <w:t>, consent</w:t>
      </w:r>
      <w:r w:rsidR="002B2650">
        <w:rPr>
          <w:lang w:val="en-GB"/>
        </w:rPr>
        <w:t xml:space="preserve"> dependent on remuneration.</w:t>
      </w:r>
      <w:r w:rsidR="00417EE8">
        <w:rPr>
          <w:lang w:val="en-GB"/>
        </w:rPr>
        <w:t xml:space="preserve"> </w:t>
      </w:r>
    </w:p>
    <w:p w14:paraId="39AE22A8" w14:textId="7E7F120D" w:rsidR="00236E7E" w:rsidRPr="00F40F8F" w:rsidRDefault="00236E7E" w:rsidP="00236E7E">
      <w:pPr>
        <w:pStyle w:val="Heading2"/>
        <w:jc w:val="both"/>
        <w:rPr>
          <w:lang w:val="en-GB"/>
        </w:rPr>
      </w:pPr>
      <w:bookmarkStart w:id="4" w:name="_Toc157606431"/>
      <w:r>
        <w:rPr>
          <w:lang w:val="en-GB"/>
        </w:rPr>
        <w:t>Conclusion</w:t>
      </w:r>
      <w:bookmarkEnd w:id="4"/>
    </w:p>
    <w:p w14:paraId="2623778D" w14:textId="0CCD7BB9" w:rsidR="00236E7E" w:rsidRDefault="005371E2" w:rsidP="00236E7E">
      <w:pPr>
        <w:pStyle w:val="TextBeitragab2Absatz"/>
        <w:jc w:val="both"/>
        <w:rPr>
          <w:lang w:val="en-GB"/>
        </w:rPr>
      </w:pPr>
      <w:r>
        <w:rPr>
          <w:lang w:val="en-GB"/>
        </w:rPr>
        <w:t>Part A</w:t>
      </w:r>
      <w:r w:rsidR="00630358">
        <w:rPr>
          <w:lang w:val="en-GB"/>
        </w:rPr>
        <w:t xml:space="preserve"> has proposed that platform obligations to safeguard creativity online should be guided by the principle of consent</w:t>
      </w:r>
      <w:r w:rsidR="00847F0C">
        <w:rPr>
          <w:lang w:val="en-GB"/>
        </w:rPr>
        <w:t>.</w:t>
      </w:r>
      <w:r w:rsidR="00F12B7E">
        <w:rPr>
          <w:lang w:val="en-GB"/>
        </w:rPr>
        <w:t xml:space="preserve"> </w:t>
      </w:r>
      <w:r w:rsidR="00822DBF">
        <w:rPr>
          <w:lang w:val="en-GB"/>
        </w:rPr>
        <w:t xml:space="preserve">Using the doctrine of exhaustion as an example of norm-balancing within the EU copyright system, this article proposes that </w:t>
      </w:r>
      <w:r w:rsidR="000A2830">
        <w:rPr>
          <w:lang w:val="en-GB"/>
        </w:rPr>
        <w:t>there is scope to authorise creative reuse</w:t>
      </w:r>
      <w:r w:rsidR="00CC14DF">
        <w:rPr>
          <w:lang w:val="en-GB"/>
        </w:rPr>
        <w:t xml:space="preserve"> online, including its subsequent communication. Drawing from the concept of creative autonomy, this section suggests that authorial control of communication is central to creativity, </w:t>
      </w:r>
      <w:r w:rsidR="001D0F2D">
        <w:rPr>
          <w:lang w:val="en-GB"/>
        </w:rPr>
        <w:t>for both author and user.</w:t>
      </w:r>
      <w:r w:rsidR="00772AE8">
        <w:rPr>
          <w:lang w:val="en-GB"/>
        </w:rPr>
        <w:t xml:space="preserve"> </w:t>
      </w:r>
      <w:r w:rsidR="00FB0380">
        <w:rPr>
          <w:lang w:val="en-GB"/>
        </w:rPr>
        <w:t>Considering</w:t>
      </w:r>
      <w:r w:rsidR="00772AE8">
        <w:rPr>
          <w:lang w:val="en-GB"/>
        </w:rPr>
        <w:t xml:space="preserve"> this cyclical </w:t>
      </w:r>
      <w:r w:rsidR="0099244E">
        <w:rPr>
          <w:lang w:val="en-GB"/>
        </w:rPr>
        <w:t>process of art and inspiration, the article has sought to identify criteria that support the artistic communication of author and user.</w:t>
      </w:r>
      <w:r w:rsidR="008635E0">
        <w:rPr>
          <w:lang w:val="en-GB"/>
        </w:rPr>
        <w:t xml:space="preserve"> Essentially, if the EU copyright system has the capacity to allow creative reuse, what limits should be imposed?</w:t>
      </w:r>
    </w:p>
    <w:p w14:paraId="36DBB854" w14:textId="1EFCB970" w:rsidR="008635E0" w:rsidRPr="00E939B0" w:rsidRDefault="00C62607" w:rsidP="00236E7E">
      <w:pPr>
        <w:pStyle w:val="TextBeitragab2Absatz"/>
        <w:jc w:val="both"/>
        <w:rPr>
          <w:lang w:val="en-GB"/>
        </w:rPr>
      </w:pPr>
      <w:r>
        <w:rPr>
          <w:lang w:val="en-GB"/>
        </w:rPr>
        <w:t xml:space="preserve">It is clear from </w:t>
      </w:r>
      <w:proofErr w:type="spellStart"/>
      <w:r>
        <w:rPr>
          <w:i/>
          <w:iCs/>
          <w:lang w:val="en-GB"/>
        </w:rPr>
        <w:t>Spedidam</w:t>
      </w:r>
      <w:proofErr w:type="spellEnd"/>
      <w:r>
        <w:rPr>
          <w:lang w:val="en-GB"/>
        </w:rPr>
        <w:t xml:space="preserve"> and </w:t>
      </w:r>
      <w:proofErr w:type="spellStart"/>
      <w:r>
        <w:rPr>
          <w:i/>
          <w:iCs/>
          <w:lang w:val="en-GB"/>
        </w:rPr>
        <w:t>Deckmyn</w:t>
      </w:r>
      <w:proofErr w:type="spellEnd"/>
      <w:r>
        <w:rPr>
          <w:i/>
          <w:iCs/>
          <w:lang w:val="en-GB"/>
        </w:rPr>
        <w:t xml:space="preserve"> </w:t>
      </w:r>
      <w:r>
        <w:rPr>
          <w:lang w:val="en-GB"/>
        </w:rPr>
        <w:t xml:space="preserve">that a proportional approach is </w:t>
      </w:r>
      <w:r w:rsidR="0099211B">
        <w:rPr>
          <w:lang w:val="en-GB"/>
        </w:rPr>
        <w:t>required. Building from the need for a</w:t>
      </w:r>
      <w:r w:rsidR="002A3946">
        <w:rPr>
          <w:lang w:val="en-GB"/>
        </w:rPr>
        <w:t xml:space="preserve"> practical assessment of the circumstances, specifically knowledge of the use’s purpose, th</w:t>
      </w:r>
      <w:r w:rsidR="0039626F">
        <w:rPr>
          <w:lang w:val="en-GB"/>
        </w:rPr>
        <w:t>e article proposes that authorial consent is both an inherent element of creativity as well as</w:t>
      </w:r>
      <w:r w:rsidR="004C5A9F">
        <w:rPr>
          <w:lang w:val="en-GB"/>
        </w:rPr>
        <w:t xml:space="preserve"> a doctrine that </w:t>
      </w:r>
      <w:r w:rsidR="0002055F">
        <w:rPr>
          <w:lang w:val="en-GB"/>
        </w:rPr>
        <w:t xml:space="preserve">comprises </w:t>
      </w:r>
      <w:r w:rsidR="00E43424">
        <w:rPr>
          <w:lang w:val="en-GB"/>
        </w:rPr>
        <w:t>scope for lawful creative reus</w:t>
      </w:r>
      <w:r w:rsidR="00B9332D">
        <w:rPr>
          <w:lang w:val="en-GB"/>
        </w:rPr>
        <w:t>e.</w:t>
      </w:r>
      <w:r w:rsidR="00A729CB">
        <w:rPr>
          <w:lang w:val="en-GB"/>
        </w:rPr>
        <w:t xml:space="preserve"> </w:t>
      </w:r>
      <w:r w:rsidR="00547E9F">
        <w:rPr>
          <w:lang w:val="en-GB"/>
        </w:rPr>
        <w:t xml:space="preserve">In response to the subjective nature of creative reuse, the article finds inspiration from </w:t>
      </w:r>
      <w:r w:rsidR="00547E9F">
        <w:rPr>
          <w:i/>
          <w:iCs/>
          <w:lang w:val="en-GB"/>
        </w:rPr>
        <w:t>Helene Fis</w:t>
      </w:r>
      <w:r w:rsidR="00B9332D">
        <w:rPr>
          <w:i/>
          <w:iCs/>
          <w:lang w:val="en-GB"/>
        </w:rPr>
        <w:t>c</w:t>
      </w:r>
      <w:r w:rsidR="00547E9F">
        <w:rPr>
          <w:i/>
          <w:iCs/>
          <w:lang w:val="en-GB"/>
        </w:rPr>
        <w:t xml:space="preserve">her </w:t>
      </w:r>
      <w:r w:rsidR="00547E9F">
        <w:rPr>
          <w:lang w:val="en-GB"/>
        </w:rPr>
        <w:t xml:space="preserve">which adopted an objective test similar to </w:t>
      </w:r>
      <w:proofErr w:type="spellStart"/>
      <w:r w:rsidR="00057759">
        <w:rPr>
          <w:lang w:val="en-GB"/>
        </w:rPr>
        <w:t>tarnishment</w:t>
      </w:r>
      <w:proofErr w:type="spellEnd"/>
      <w:r w:rsidR="00057759">
        <w:rPr>
          <w:lang w:val="en-GB"/>
        </w:rPr>
        <w:t xml:space="preserve"> and unfair advantage concepts in EU </w:t>
      </w:r>
      <w:proofErr w:type="gramStart"/>
      <w:r w:rsidR="00057759">
        <w:rPr>
          <w:lang w:val="en-GB"/>
        </w:rPr>
        <w:t>trade mark</w:t>
      </w:r>
      <w:proofErr w:type="gramEnd"/>
      <w:r w:rsidR="00057759">
        <w:rPr>
          <w:lang w:val="en-GB"/>
        </w:rPr>
        <w:t xml:space="preserve"> law</w:t>
      </w:r>
      <w:r w:rsidR="00553D9E">
        <w:rPr>
          <w:lang w:val="en-GB"/>
        </w:rPr>
        <w:t xml:space="preserve">, focusing </w:t>
      </w:r>
      <w:r w:rsidR="00402806">
        <w:rPr>
          <w:lang w:val="en-GB"/>
        </w:rPr>
        <w:t>the extent to which a link is formed between the author and the use by the “unbiased average consumer”</w:t>
      </w:r>
      <w:r w:rsidR="00E939B0">
        <w:rPr>
          <w:lang w:val="en-GB"/>
        </w:rPr>
        <w:t xml:space="preserve"> alongside a </w:t>
      </w:r>
      <w:proofErr w:type="spellStart"/>
      <w:r w:rsidR="00E939B0">
        <w:rPr>
          <w:i/>
          <w:iCs/>
          <w:lang w:val="en-GB"/>
        </w:rPr>
        <w:t>Deckmyn</w:t>
      </w:r>
      <w:proofErr w:type="spellEnd"/>
      <w:r w:rsidR="00BD1B67">
        <w:rPr>
          <w:i/>
          <w:iCs/>
          <w:lang w:val="en-GB"/>
        </w:rPr>
        <w:t>-</w:t>
      </w:r>
      <w:r w:rsidR="00E939B0">
        <w:rPr>
          <w:lang w:val="en-GB"/>
        </w:rPr>
        <w:t xml:space="preserve">like analysis of harm. </w:t>
      </w:r>
      <w:r w:rsidR="000B4827">
        <w:rPr>
          <w:lang w:val="en-GB"/>
        </w:rPr>
        <w:t xml:space="preserve"> It suggests that the culmination of personality rights and unfair competition law concepts </w:t>
      </w:r>
      <w:r w:rsidR="00085194">
        <w:rPr>
          <w:lang w:val="en-GB"/>
        </w:rPr>
        <w:t xml:space="preserve">provide a suitable foundation for striking a balance between the initial author and the subsequent creative reuse. </w:t>
      </w:r>
      <w:r w:rsidR="00BD1B67">
        <w:rPr>
          <w:lang w:val="en-GB"/>
        </w:rPr>
        <w:t xml:space="preserve">One which </w:t>
      </w:r>
      <w:r w:rsidR="001C55E5">
        <w:rPr>
          <w:lang w:val="en-GB"/>
        </w:rPr>
        <w:t xml:space="preserve">will help assess the effectiveness of current approaches to implementing art. 17 DSM </w:t>
      </w:r>
      <w:r w:rsidR="00862DA2">
        <w:rPr>
          <w:lang w:val="en-GB"/>
        </w:rPr>
        <w:t>Directive within the EU copyright system in Part C.</w:t>
      </w:r>
    </w:p>
    <w:p w14:paraId="64381FF5" w14:textId="798EA2B7" w:rsidR="008F3A33" w:rsidRPr="00DA6BEB" w:rsidRDefault="00FC0472" w:rsidP="00236E7E">
      <w:pPr>
        <w:pStyle w:val="TextBeitragab2Absatz"/>
        <w:jc w:val="both"/>
        <w:rPr>
          <w:lang w:val="en-GB"/>
        </w:rPr>
      </w:pPr>
      <w:r>
        <w:rPr>
          <w:lang w:val="en-GB"/>
        </w:rPr>
        <w:t xml:space="preserve">Authorial consent also necessitates authorial remuneration. Part A has reflected on </w:t>
      </w:r>
      <w:r w:rsidR="007F3B29">
        <w:rPr>
          <w:lang w:val="en-GB"/>
        </w:rPr>
        <w:t>the foundational principle of the EU copyright system, that rights holders should receive a higher level of protection, to extend that creative autonomy should provide a limit to remuneration for creative reuse.</w:t>
      </w:r>
      <w:r w:rsidR="006B1B50">
        <w:rPr>
          <w:lang w:val="en-GB"/>
        </w:rPr>
        <w:t xml:space="preserve"> </w:t>
      </w:r>
      <w:r w:rsidR="00B038CF">
        <w:rPr>
          <w:lang w:val="en-GB"/>
        </w:rPr>
        <w:t xml:space="preserve">Focusing on </w:t>
      </w:r>
      <w:r w:rsidR="00DA6BEB">
        <w:rPr>
          <w:lang w:val="en-GB"/>
        </w:rPr>
        <w:t>the reasonableness of</w:t>
      </w:r>
      <w:r w:rsidR="009570EE">
        <w:rPr>
          <w:lang w:val="en-GB"/>
        </w:rPr>
        <w:t xml:space="preserve"> an award for</w:t>
      </w:r>
      <w:r w:rsidR="00DA6BEB">
        <w:rPr>
          <w:lang w:val="en-GB"/>
        </w:rPr>
        <w:t xml:space="preserve"> economic exploitation, the article contends that </w:t>
      </w:r>
      <w:proofErr w:type="spellStart"/>
      <w:r w:rsidR="00DA6BEB">
        <w:rPr>
          <w:i/>
          <w:iCs/>
          <w:lang w:val="en-GB"/>
        </w:rPr>
        <w:t>Reprobel</w:t>
      </w:r>
      <w:proofErr w:type="spellEnd"/>
      <w:r w:rsidR="00DA6BEB">
        <w:rPr>
          <w:i/>
          <w:iCs/>
          <w:lang w:val="en-GB"/>
        </w:rPr>
        <w:t xml:space="preserve"> </w:t>
      </w:r>
      <w:r w:rsidR="00DA6BEB">
        <w:rPr>
          <w:lang w:val="en-GB"/>
        </w:rPr>
        <w:t xml:space="preserve">indicates that </w:t>
      </w:r>
      <w:r w:rsidR="006F5256">
        <w:rPr>
          <w:lang w:val="en-GB"/>
        </w:rPr>
        <w:t xml:space="preserve">remuneration should be linked to the harm experienced </w:t>
      </w:r>
      <w:r w:rsidR="005917F7">
        <w:rPr>
          <w:lang w:val="en-GB"/>
        </w:rPr>
        <w:t>from</w:t>
      </w:r>
      <w:r w:rsidR="006F5256">
        <w:rPr>
          <w:lang w:val="en-GB"/>
        </w:rPr>
        <w:t xml:space="preserve"> creative reuse.</w:t>
      </w:r>
      <w:r w:rsidR="00A82CB6">
        <w:rPr>
          <w:lang w:val="en-GB"/>
        </w:rPr>
        <w:t xml:space="preserve"> A theory of substitution is helpful </w:t>
      </w:r>
      <w:r w:rsidR="005917F7">
        <w:rPr>
          <w:lang w:val="en-GB"/>
        </w:rPr>
        <w:t xml:space="preserve">to assess this harm as arguably exploiters’ </w:t>
      </w:r>
      <w:r w:rsidR="00743F94">
        <w:rPr>
          <w:lang w:val="en-GB"/>
        </w:rPr>
        <w:t xml:space="preserve">investment is only impacted by </w:t>
      </w:r>
      <w:r w:rsidR="00307BBC">
        <w:rPr>
          <w:lang w:val="en-GB"/>
        </w:rPr>
        <w:t>competing copies</w:t>
      </w:r>
      <w:r w:rsidR="00411815">
        <w:rPr>
          <w:lang w:val="en-GB"/>
        </w:rPr>
        <w:t>,</w:t>
      </w:r>
      <w:r w:rsidR="00307BBC">
        <w:rPr>
          <w:rStyle w:val="FootnoteReference"/>
          <w:lang w:val="en-GB"/>
        </w:rPr>
        <w:footnoteReference w:id="44"/>
      </w:r>
      <w:r w:rsidR="00411815">
        <w:rPr>
          <w:lang w:val="en-GB"/>
        </w:rPr>
        <w:t xml:space="preserve"> it also mirrors the structure of authorial consent</w:t>
      </w:r>
      <w:r w:rsidR="0042774A">
        <w:rPr>
          <w:lang w:val="en-GB"/>
        </w:rPr>
        <w:t xml:space="preserve"> as its exhaustion </w:t>
      </w:r>
      <w:r w:rsidR="004460F7">
        <w:rPr>
          <w:lang w:val="en-GB"/>
        </w:rPr>
        <w:t xml:space="preserve">is </w:t>
      </w:r>
      <w:r w:rsidR="0042774A">
        <w:rPr>
          <w:lang w:val="en-GB"/>
        </w:rPr>
        <w:t>based on contextual factors.</w:t>
      </w:r>
      <w:r w:rsidR="00F85D77">
        <w:rPr>
          <w:lang w:val="en-GB"/>
        </w:rPr>
        <w:t xml:space="preserve"> While there is some guidance to implement platform responsibilities</w:t>
      </w:r>
      <w:r w:rsidR="004460F7">
        <w:rPr>
          <w:lang w:val="en-GB"/>
        </w:rPr>
        <w:t xml:space="preserve"> in a </w:t>
      </w:r>
      <w:r w:rsidR="002D0D6B">
        <w:rPr>
          <w:lang w:val="en-GB"/>
        </w:rPr>
        <w:t xml:space="preserve">similar approach regarding ‘manifestly infringing uses’, Part A concludes that </w:t>
      </w:r>
      <w:r w:rsidR="008506DF">
        <w:rPr>
          <w:lang w:val="en-GB"/>
        </w:rPr>
        <w:t xml:space="preserve">focusing on types of creative reuses (e.g. parody, </w:t>
      </w:r>
      <w:proofErr w:type="gramStart"/>
      <w:r w:rsidR="008506DF">
        <w:rPr>
          <w:lang w:val="en-GB"/>
        </w:rPr>
        <w:t>pastiche</w:t>
      </w:r>
      <w:proofErr w:type="gramEnd"/>
      <w:r w:rsidR="008506DF">
        <w:rPr>
          <w:lang w:val="en-GB"/>
        </w:rPr>
        <w:t xml:space="preserve"> or quotation) is largely unhelpful as it </w:t>
      </w:r>
      <w:r w:rsidR="00AC1209">
        <w:rPr>
          <w:lang w:val="en-GB"/>
        </w:rPr>
        <w:t>limits the very nature of creativity. Instead, a theory of substitution helps ground the assessment of authorial remuneration</w:t>
      </w:r>
      <w:r w:rsidR="00062CDC">
        <w:rPr>
          <w:lang w:val="en-GB"/>
        </w:rPr>
        <w:t xml:space="preserve"> because it asks the very simple question of creative contribution and subsequent harm.</w:t>
      </w:r>
    </w:p>
    <w:p w14:paraId="2C5AC6B6" w14:textId="4757E8B8" w:rsidR="008F3A33" w:rsidRDefault="0019350F" w:rsidP="00236E7E">
      <w:pPr>
        <w:pStyle w:val="TextBeitragab2Absatz"/>
        <w:jc w:val="both"/>
        <w:rPr>
          <w:lang w:val="en-GB"/>
        </w:rPr>
      </w:pPr>
      <w:r>
        <w:rPr>
          <w:lang w:val="en-GB"/>
        </w:rPr>
        <w:t xml:space="preserve">This article maintains that </w:t>
      </w:r>
      <w:r w:rsidR="00496A78">
        <w:rPr>
          <w:lang w:val="en-GB"/>
        </w:rPr>
        <w:t>both authorial consent and authorial remuneration are helpful criteria to guide the implementation of art. 17 DSM Directive</w:t>
      </w:r>
      <w:r w:rsidR="00C53DCB">
        <w:rPr>
          <w:lang w:val="en-GB"/>
        </w:rPr>
        <w:t>.</w:t>
      </w:r>
      <w:r w:rsidR="00496A78">
        <w:rPr>
          <w:lang w:val="en-GB"/>
        </w:rPr>
        <w:t xml:space="preserve"> </w:t>
      </w:r>
      <w:r w:rsidR="000C763B">
        <w:rPr>
          <w:lang w:val="en-GB"/>
        </w:rPr>
        <w:t xml:space="preserve">They are also indicative of the </w:t>
      </w:r>
      <w:r w:rsidR="00496A78">
        <w:rPr>
          <w:lang w:val="en-GB"/>
        </w:rPr>
        <w:t xml:space="preserve">role and obligations </w:t>
      </w:r>
      <w:r w:rsidR="00C53DCB">
        <w:rPr>
          <w:lang w:val="en-GB"/>
        </w:rPr>
        <w:t xml:space="preserve">that platforms </w:t>
      </w:r>
      <w:r w:rsidR="000C763B">
        <w:rPr>
          <w:lang w:val="en-GB"/>
        </w:rPr>
        <w:t xml:space="preserve">should </w:t>
      </w:r>
      <w:r w:rsidR="00C53DCB">
        <w:rPr>
          <w:lang w:val="en-GB"/>
        </w:rPr>
        <w:t>hold to authors and users, as well as creativity and the artistic system</w:t>
      </w:r>
      <w:r w:rsidR="000C763B">
        <w:rPr>
          <w:lang w:val="en-GB"/>
        </w:rPr>
        <w:t xml:space="preserve">, more widely within the EU copyright system. However, given the </w:t>
      </w:r>
      <w:r w:rsidR="00722CFE">
        <w:rPr>
          <w:lang w:val="en-GB"/>
        </w:rPr>
        <w:t xml:space="preserve">difficulty </w:t>
      </w:r>
      <w:r w:rsidR="00573F5B">
        <w:rPr>
          <w:lang w:val="en-GB"/>
        </w:rPr>
        <w:t>to move the needle from an institutional perspective, this article also discusses in the following section, approaches beyond the EU copyright system that would safeguard creativity online</w:t>
      </w:r>
      <w:r w:rsidR="0093022C">
        <w:rPr>
          <w:lang w:val="en-GB"/>
        </w:rPr>
        <w:t>, particularly via platforms</w:t>
      </w:r>
      <w:r w:rsidR="00F45E3E">
        <w:rPr>
          <w:lang w:val="en-GB"/>
        </w:rPr>
        <w:t>.</w:t>
      </w:r>
    </w:p>
    <w:p w14:paraId="52D243B5" w14:textId="13B18BB9" w:rsidR="00E0153F" w:rsidRDefault="00B140E8" w:rsidP="001E3C9A">
      <w:pPr>
        <w:pStyle w:val="Heading1"/>
        <w:jc w:val="both"/>
        <w:rPr>
          <w:lang w:val="en-GB"/>
        </w:rPr>
      </w:pPr>
      <w:bookmarkStart w:id="5" w:name="_Toc157606432"/>
      <w:r>
        <w:rPr>
          <w:lang w:val="en-GB"/>
        </w:rPr>
        <w:lastRenderedPageBreak/>
        <w:t>Safeguarding creative a</w:t>
      </w:r>
      <w:r w:rsidR="00E0153F">
        <w:rPr>
          <w:lang w:val="en-GB"/>
        </w:rPr>
        <w:t xml:space="preserve">ccess </w:t>
      </w:r>
      <w:r w:rsidR="00CA6A06">
        <w:rPr>
          <w:lang w:val="en-GB"/>
        </w:rPr>
        <w:t>beyond the EU copyright system</w:t>
      </w:r>
      <w:bookmarkEnd w:id="5"/>
    </w:p>
    <w:p w14:paraId="6FB822E8" w14:textId="41C377DD" w:rsidR="00532CA1" w:rsidRDefault="00F4549F" w:rsidP="006A14F4">
      <w:pPr>
        <w:pStyle w:val="TextBeitrag1Absatz"/>
        <w:ind w:firstLine="227"/>
        <w:jc w:val="both"/>
        <w:rPr>
          <w:lang w:val="en-GB"/>
        </w:rPr>
      </w:pPr>
      <w:r>
        <w:rPr>
          <w:lang w:val="en-GB"/>
        </w:rPr>
        <w:t xml:space="preserve">To an extent, this article has hinted at the role and impact of exploiters within the EU copyright system. </w:t>
      </w:r>
      <w:r w:rsidR="009558F7">
        <w:rPr>
          <w:lang w:val="en-GB"/>
        </w:rPr>
        <w:t>Instrumental in lobbying for expansive rights, th</w:t>
      </w:r>
      <w:r w:rsidR="009570EE">
        <w:rPr>
          <w:lang w:val="en-GB"/>
        </w:rPr>
        <w:t>eir</w:t>
      </w:r>
      <w:r w:rsidR="009558F7">
        <w:rPr>
          <w:lang w:val="en-GB"/>
        </w:rPr>
        <w:t xml:space="preserve"> call </w:t>
      </w:r>
      <w:r w:rsidR="009570EE">
        <w:rPr>
          <w:lang w:val="en-GB"/>
        </w:rPr>
        <w:t>f</w:t>
      </w:r>
      <w:r w:rsidR="009558F7">
        <w:rPr>
          <w:lang w:val="en-GB"/>
        </w:rPr>
        <w:t>o</w:t>
      </w:r>
      <w:r w:rsidR="009570EE">
        <w:rPr>
          <w:lang w:val="en-GB"/>
        </w:rPr>
        <w:t>r</w:t>
      </w:r>
      <w:r w:rsidR="009558F7">
        <w:rPr>
          <w:lang w:val="en-GB"/>
        </w:rPr>
        <w:t xml:space="preserve"> </w:t>
      </w:r>
      <w:r w:rsidR="00BA3021">
        <w:rPr>
          <w:lang w:val="en-GB"/>
        </w:rPr>
        <w:t>stronger rights has been referred to</w:t>
      </w:r>
      <w:r w:rsidR="009570EE">
        <w:rPr>
          <w:lang w:val="en-GB"/>
        </w:rPr>
        <w:t xml:space="preserve"> as</w:t>
      </w:r>
      <w:r w:rsidR="00BA3021">
        <w:rPr>
          <w:lang w:val="en-GB"/>
        </w:rPr>
        <w:t xml:space="preserve"> the ‘</w:t>
      </w:r>
      <w:proofErr w:type="spellStart"/>
      <w:r w:rsidR="00BA3021">
        <w:rPr>
          <w:lang w:val="en-GB"/>
        </w:rPr>
        <w:t>propertization</w:t>
      </w:r>
      <w:proofErr w:type="spellEnd"/>
      <w:r w:rsidR="00BA3021">
        <w:rPr>
          <w:lang w:val="en-GB"/>
        </w:rPr>
        <w:t>’ of copyright.</w:t>
      </w:r>
      <w:r w:rsidR="00BA3021">
        <w:rPr>
          <w:rStyle w:val="FootnoteReference"/>
          <w:lang w:val="en-GB"/>
        </w:rPr>
        <w:footnoteReference w:id="45"/>
      </w:r>
      <w:r w:rsidR="007865B2">
        <w:rPr>
          <w:lang w:val="en-GB"/>
        </w:rPr>
        <w:t xml:space="preserve"> Supported by art. 17(2) Charter with the statement that “intellectual property must be protected”</w:t>
      </w:r>
      <w:r w:rsidR="00B126BA">
        <w:rPr>
          <w:lang w:val="en-GB"/>
        </w:rPr>
        <w:t xml:space="preserve">, constitutional </w:t>
      </w:r>
      <w:proofErr w:type="spellStart"/>
      <w:r w:rsidR="00B126BA">
        <w:rPr>
          <w:lang w:val="en-GB"/>
        </w:rPr>
        <w:t>propertization</w:t>
      </w:r>
      <w:proofErr w:type="spellEnd"/>
      <w:r w:rsidR="00B126BA">
        <w:rPr>
          <w:lang w:val="en-GB"/>
        </w:rPr>
        <w:t xml:space="preserve"> </w:t>
      </w:r>
      <w:r w:rsidR="000B12A0">
        <w:rPr>
          <w:lang w:val="en-GB"/>
        </w:rPr>
        <w:t>means that all forms of access to works are protected regardless of the link between creativity and contribution</w:t>
      </w:r>
      <w:r w:rsidR="005C1CB5">
        <w:rPr>
          <w:lang w:val="en-GB"/>
        </w:rPr>
        <w:t>, providing the foundation for the expansion of economic rights.</w:t>
      </w:r>
      <w:r w:rsidR="005C1CB5">
        <w:rPr>
          <w:rStyle w:val="FootnoteReference"/>
          <w:lang w:val="en-GB"/>
        </w:rPr>
        <w:footnoteReference w:id="46"/>
      </w:r>
      <w:r w:rsidR="00B9268E">
        <w:rPr>
          <w:lang w:val="en-GB"/>
        </w:rPr>
        <w:t xml:space="preserve"> </w:t>
      </w:r>
      <w:r w:rsidR="004801DB">
        <w:rPr>
          <w:lang w:val="en-GB"/>
        </w:rPr>
        <w:t>Despite the inviolable nature of IP rights</w:t>
      </w:r>
      <w:r w:rsidR="0064627A">
        <w:rPr>
          <w:lang w:val="en-GB"/>
        </w:rPr>
        <w:t xml:space="preserve"> and their lacking absolute protectio</w:t>
      </w:r>
      <w:r w:rsidR="007A5B75">
        <w:rPr>
          <w:lang w:val="en-GB"/>
        </w:rPr>
        <w:t>n</w:t>
      </w:r>
      <w:r w:rsidR="0064627A">
        <w:rPr>
          <w:lang w:val="en-GB"/>
        </w:rPr>
        <w:t>,</w:t>
      </w:r>
      <w:r w:rsidR="00485793">
        <w:rPr>
          <w:lang w:val="en-GB"/>
        </w:rPr>
        <w:t xml:space="preserve"> as noted earlier, CJEU case law has restricted the application of fundamental rights when interpreting copyright exceptions</w:t>
      </w:r>
      <w:r w:rsidR="00850565">
        <w:rPr>
          <w:lang w:val="en-GB"/>
        </w:rPr>
        <w:t xml:space="preserve"> simply requiring th</w:t>
      </w:r>
      <w:r w:rsidR="009F2F00">
        <w:rPr>
          <w:lang w:val="en-GB"/>
        </w:rPr>
        <w:t>at national courts ensure the effectiveness of an exception.</w:t>
      </w:r>
      <w:r w:rsidR="009F2F00">
        <w:rPr>
          <w:rStyle w:val="FootnoteReference"/>
          <w:lang w:val="en-GB"/>
        </w:rPr>
        <w:footnoteReference w:id="47"/>
      </w:r>
      <w:r w:rsidR="006254A8">
        <w:rPr>
          <w:lang w:val="en-GB"/>
        </w:rPr>
        <w:t xml:space="preserve"> </w:t>
      </w:r>
      <w:r w:rsidR="00532CA1">
        <w:rPr>
          <w:lang w:val="en-GB"/>
        </w:rPr>
        <w:t>Commentary</w:t>
      </w:r>
      <w:r w:rsidR="00B9268E">
        <w:rPr>
          <w:lang w:val="en-GB"/>
        </w:rPr>
        <w:t xml:space="preserve"> </w:t>
      </w:r>
      <w:r w:rsidR="00E43A12">
        <w:rPr>
          <w:lang w:val="en-GB"/>
        </w:rPr>
        <w:t>responds that</w:t>
      </w:r>
      <w:r w:rsidR="00532CA1">
        <w:rPr>
          <w:lang w:val="en-GB"/>
        </w:rPr>
        <w:t xml:space="preserve"> the same logic can be used to bolster</w:t>
      </w:r>
      <w:r w:rsidR="005F111A">
        <w:rPr>
          <w:lang w:val="en-GB"/>
        </w:rPr>
        <w:t xml:space="preserve"> the social function of copyright by characterizing exceptions as objective rights through freedom of expression.</w:t>
      </w:r>
      <w:r w:rsidR="005F111A">
        <w:rPr>
          <w:rStyle w:val="FootnoteReference"/>
          <w:lang w:val="en-GB"/>
        </w:rPr>
        <w:footnoteReference w:id="48"/>
      </w:r>
    </w:p>
    <w:p w14:paraId="56A15EF2" w14:textId="5194EF61" w:rsidR="00FD32E9" w:rsidRDefault="00BA19E7" w:rsidP="002522C0">
      <w:pPr>
        <w:pStyle w:val="TextBeitragab2Absatz"/>
        <w:jc w:val="both"/>
        <w:rPr>
          <w:lang w:val="en-GB"/>
        </w:rPr>
      </w:pPr>
      <w:r>
        <w:rPr>
          <w:lang w:val="en-GB"/>
        </w:rPr>
        <w:t>Part B builds on this assertio</w:t>
      </w:r>
      <w:r w:rsidR="00410DC3">
        <w:rPr>
          <w:lang w:val="en-GB"/>
        </w:rPr>
        <w:t>n, expanding to consider the degree t</w:t>
      </w:r>
      <w:r w:rsidR="009570EE">
        <w:rPr>
          <w:lang w:val="en-GB"/>
        </w:rPr>
        <w:t>hat</w:t>
      </w:r>
      <w:r w:rsidR="00410DC3">
        <w:rPr>
          <w:lang w:val="en-GB"/>
        </w:rPr>
        <w:t xml:space="preserve"> </w:t>
      </w:r>
      <w:r w:rsidR="00220655">
        <w:rPr>
          <w:lang w:val="en-GB"/>
        </w:rPr>
        <w:t xml:space="preserve">platform </w:t>
      </w:r>
      <w:r w:rsidR="007F69C9">
        <w:rPr>
          <w:lang w:val="en-GB"/>
        </w:rPr>
        <w:t xml:space="preserve">obligations </w:t>
      </w:r>
      <w:r w:rsidR="00220655">
        <w:rPr>
          <w:lang w:val="en-GB"/>
        </w:rPr>
        <w:t>outside the EU copyright system</w:t>
      </w:r>
      <w:r w:rsidR="007F69C9">
        <w:rPr>
          <w:lang w:val="en-GB"/>
        </w:rPr>
        <w:t xml:space="preserve"> can </w:t>
      </w:r>
      <w:r w:rsidR="009C7954">
        <w:rPr>
          <w:lang w:val="en-GB"/>
        </w:rPr>
        <w:t xml:space="preserve">safeguard </w:t>
      </w:r>
      <w:r w:rsidR="00FD32E9">
        <w:rPr>
          <w:lang w:val="en-GB"/>
        </w:rPr>
        <w:t>creativity online</w:t>
      </w:r>
      <w:r w:rsidR="008C0868">
        <w:rPr>
          <w:lang w:val="en-GB"/>
        </w:rPr>
        <w:t>, particularly user uploads of creative reuse</w:t>
      </w:r>
      <w:r w:rsidR="00C125AA">
        <w:rPr>
          <w:lang w:val="en-GB"/>
        </w:rPr>
        <w:t>. The section discusses how platforms, as private entities, can or should be bound with public norms, namely fundamental rights.</w:t>
      </w:r>
      <w:r w:rsidR="00271E45">
        <w:rPr>
          <w:lang w:val="en-GB"/>
        </w:rPr>
        <w:t xml:space="preserve"> Fitting within a recently revitalised approach </w:t>
      </w:r>
      <w:r w:rsidR="00484F2D">
        <w:rPr>
          <w:lang w:val="en-GB"/>
        </w:rPr>
        <w:t>to the role of platforms online, termed digital constitutionalism</w:t>
      </w:r>
      <w:r w:rsidR="00E31BCB">
        <w:rPr>
          <w:rStyle w:val="FootnoteReference"/>
          <w:lang w:val="en-GB"/>
        </w:rPr>
        <w:footnoteReference w:id="49"/>
      </w:r>
      <w:r w:rsidR="00484F2D">
        <w:rPr>
          <w:lang w:val="en-GB"/>
        </w:rPr>
        <w:t xml:space="preserve">, the section addresses the application of </w:t>
      </w:r>
      <w:r w:rsidR="008773E8">
        <w:rPr>
          <w:lang w:val="en-GB"/>
        </w:rPr>
        <w:t xml:space="preserve">human rights standards to the private sphere. </w:t>
      </w:r>
      <w:r w:rsidR="00FD32E9">
        <w:rPr>
          <w:lang w:val="en-GB"/>
        </w:rPr>
        <w:t>It draws on</w:t>
      </w:r>
      <w:r w:rsidR="00885FE7">
        <w:rPr>
          <w:lang w:val="en-GB"/>
        </w:rPr>
        <w:t xml:space="preserve"> </w:t>
      </w:r>
      <w:r w:rsidR="005D1AD7">
        <w:rPr>
          <w:lang w:val="en-GB"/>
        </w:rPr>
        <w:t xml:space="preserve">German case law that supports citizens’ rights to </w:t>
      </w:r>
      <w:r w:rsidR="00E74E7C" w:rsidRPr="00E74E7C">
        <w:rPr>
          <w:lang w:val="en-GB"/>
        </w:rPr>
        <w:t>access to public forums to assert their constitutionally supported communication rights</w:t>
      </w:r>
      <w:r w:rsidR="00E31BCB">
        <w:rPr>
          <w:lang w:val="en-GB"/>
        </w:rPr>
        <w:t xml:space="preserve"> and considers whether this extends to creativity.</w:t>
      </w:r>
      <w:r w:rsidR="008A1F48">
        <w:rPr>
          <w:lang w:val="en-GB"/>
        </w:rPr>
        <w:t xml:space="preserve"> Lastly, Part B considers the impact of this approach and assesses </w:t>
      </w:r>
      <w:r w:rsidR="00B67D9F">
        <w:rPr>
          <w:lang w:val="en-GB"/>
        </w:rPr>
        <w:t>its impact on the EU copyright system, namely as a genuine counter-right to the dominance of exploiters’ rights</w:t>
      </w:r>
      <w:r w:rsidR="00587D3B">
        <w:rPr>
          <w:lang w:val="en-GB"/>
        </w:rPr>
        <w:t>.</w:t>
      </w:r>
    </w:p>
    <w:p w14:paraId="13C29785" w14:textId="5AD7CD66" w:rsidR="00A53BD4" w:rsidRPr="00A53BD4" w:rsidRDefault="00022670" w:rsidP="001E3C9A">
      <w:pPr>
        <w:pStyle w:val="Heading2"/>
        <w:numPr>
          <w:ilvl w:val="0"/>
          <w:numId w:val="12"/>
        </w:numPr>
        <w:jc w:val="both"/>
        <w:rPr>
          <w:lang w:val="en-GB"/>
        </w:rPr>
      </w:pPr>
      <w:bookmarkStart w:id="6" w:name="_Toc157606433"/>
      <w:r>
        <w:rPr>
          <w:lang w:val="en-GB"/>
        </w:rPr>
        <w:t xml:space="preserve">A right of access to </w:t>
      </w:r>
      <w:r w:rsidR="00AF1878">
        <w:rPr>
          <w:lang w:val="en-GB"/>
        </w:rPr>
        <w:t>platforms</w:t>
      </w:r>
      <w:bookmarkEnd w:id="6"/>
    </w:p>
    <w:p w14:paraId="59C30D9E" w14:textId="6D07A2CF" w:rsidR="00E74E7C" w:rsidRPr="00E74E7C" w:rsidRDefault="00E74E7C" w:rsidP="006A14F4">
      <w:pPr>
        <w:pStyle w:val="TextBeitrag1Absatz"/>
        <w:ind w:firstLine="227"/>
        <w:jc w:val="both"/>
        <w:rPr>
          <w:lang w:val="en-GB"/>
        </w:rPr>
      </w:pPr>
      <w:r w:rsidRPr="00E74E7C">
        <w:rPr>
          <w:lang w:val="en-GB"/>
        </w:rPr>
        <w:t>German jurisprudence has long considered the relationship between private and public law in comprehensive detail, specifically through the doctrine of indirect effect (Drittwirkung). The legal concept relates to the presumption that an individual can rely on constitutional rights to sue another private individual for allegedly violating those rights. Sometimes referred to as total constitutionalism,</w:t>
      </w:r>
      <w:r w:rsidRPr="003D4678">
        <w:rPr>
          <w:vertAlign w:val="superscript"/>
          <w:lang w:val="en-GB"/>
        </w:rPr>
        <w:footnoteReference w:id="50"/>
      </w:r>
      <w:r w:rsidRPr="003D4678">
        <w:rPr>
          <w:vertAlign w:val="superscript"/>
          <w:lang w:val="en-GB"/>
        </w:rPr>
        <w:t xml:space="preserve"> </w:t>
      </w:r>
      <w:r w:rsidRPr="00E74E7C">
        <w:rPr>
          <w:lang w:val="en-GB"/>
        </w:rPr>
        <w:t xml:space="preserve">the doctrine of indirect effect has been described as effectively constitutionalizing the relationship between private actors. While it has Germanic roots, commentary explain it has been adopted in many </w:t>
      </w:r>
      <w:r w:rsidRPr="00E74E7C">
        <w:rPr>
          <w:lang w:val="en-GB"/>
        </w:rPr>
        <w:lastRenderedPageBreak/>
        <w:t>other constitutional traditions, and even “exerts a strong influence on the case law of the CJEU and ECtHR”</w:t>
      </w:r>
      <w:r w:rsidRPr="003D4678">
        <w:rPr>
          <w:vertAlign w:val="superscript"/>
          <w:lang w:val="en-GB"/>
        </w:rPr>
        <w:footnoteReference w:id="51"/>
      </w:r>
      <w:r w:rsidRPr="00E74E7C">
        <w:rPr>
          <w:lang w:val="en-GB"/>
        </w:rPr>
        <w:t xml:space="preserve">. </w:t>
      </w:r>
    </w:p>
    <w:p w14:paraId="2AEE44A9" w14:textId="3EA6E91D" w:rsidR="00E74E7C" w:rsidRPr="00E74E7C" w:rsidRDefault="006A14F4" w:rsidP="006A14F4">
      <w:pPr>
        <w:pStyle w:val="TextBeitrag1Absatz"/>
        <w:ind w:firstLine="227"/>
        <w:jc w:val="both"/>
        <w:rPr>
          <w:lang w:val="en-GB"/>
        </w:rPr>
      </w:pPr>
      <w:r>
        <w:rPr>
          <w:lang w:val="en-GB"/>
        </w:rPr>
        <w:t>T</w:t>
      </w:r>
      <w:r w:rsidR="00E74E7C" w:rsidRPr="00E74E7C">
        <w:rPr>
          <w:lang w:val="en-GB"/>
        </w:rPr>
        <w:t xml:space="preserve">he doctrine of indirect effect first materialised in the landmark German case, </w:t>
      </w:r>
      <w:proofErr w:type="spellStart"/>
      <w:r w:rsidR="00E74E7C" w:rsidRPr="00F368CF">
        <w:rPr>
          <w:i/>
          <w:iCs/>
          <w:lang w:val="en-GB"/>
        </w:rPr>
        <w:t>Lüth</w:t>
      </w:r>
      <w:proofErr w:type="spellEnd"/>
      <w:r w:rsidR="00E74E7C" w:rsidRPr="00E74E7C">
        <w:rPr>
          <w:lang w:val="en-GB"/>
        </w:rPr>
        <w:t>.</w:t>
      </w:r>
      <w:r w:rsidR="00E74E7C" w:rsidRPr="001362B7">
        <w:rPr>
          <w:vertAlign w:val="superscript"/>
          <w:lang w:val="en-GB"/>
        </w:rPr>
        <w:footnoteReference w:id="52"/>
      </w:r>
      <w:r w:rsidR="00E74E7C" w:rsidRPr="001362B7">
        <w:rPr>
          <w:vertAlign w:val="superscript"/>
          <w:lang w:val="en-GB"/>
        </w:rPr>
        <w:t xml:space="preserve"> </w:t>
      </w:r>
      <w:r w:rsidR="00E74E7C" w:rsidRPr="00E74E7C">
        <w:rPr>
          <w:lang w:val="en-GB"/>
        </w:rPr>
        <w:t>Here, the question, on appeal to the German Constitutional Court, was whether a producer and distributor of a film, written and directed by the same perso</w:t>
      </w:r>
      <w:r w:rsidR="009570EE">
        <w:rPr>
          <w:lang w:val="en-GB"/>
        </w:rPr>
        <w:t>n,</w:t>
      </w:r>
      <w:r w:rsidR="00E74E7C" w:rsidRPr="00E74E7C">
        <w:rPr>
          <w:lang w:val="en-GB"/>
        </w:rPr>
        <w:t xml:space="preserve"> as an anti-Semitic film, could prohibit an activist’s call for the new film to be boycotted. The producer initially argued that the German Constitution was inapplicable as this was a private law dispute. Yet given the German Constitution is silent on whether it regulates legal relationships among private individuals, the court found that it establishes an “objective ordering of values” which strengthens the application of constitutional rights and guarantees </w:t>
      </w:r>
      <w:r w:rsidR="009570EE">
        <w:rPr>
          <w:lang w:val="en-GB"/>
        </w:rPr>
        <w:t xml:space="preserve">them </w:t>
      </w:r>
      <w:r w:rsidR="00E74E7C" w:rsidRPr="00E74E7C">
        <w:rPr>
          <w:lang w:val="en-GB"/>
        </w:rPr>
        <w:t>beyond their traditional application between individuals and the state.</w:t>
      </w:r>
      <w:r w:rsidR="00E74E7C" w:rsidRPr="00F368CF">
        <w:rPr>
          <w:vertAlign w:val="superscript"/>
          <w:lang w:val="en-GB"/>
        </w:rPr>
        <w:footnoteReference w:id="53"/>
      </w:r>
    </w:p>
    <w:p w14:paraId="5FE1A0C1" w14:textId="365DA0B1" w:rsidR="00E74E7C" w:rsidRPr="00E74E7C" w:rsidRDefault="00E74E7C" w:rsidP="001228DF">
      <w:pPr>
        <w:pStyle w:val="TextBeitrag1Absatz"/>
        <w:ind w:firstLine="227"/>
        <w:jc w:val="both"/>
        <w:rPr>
          <w:lang w:val="en-GB"/>
        </w:rPr>
      </w:pPr>
      <w:r w:rsidRPr="00E74E7C">
        <w:rPr>
          <w:lang w:val="en-GB"/>
        </w:rPr>
        <w:t xml:space="preserve">The court also introduced the notion of balancing conflicting constitutional rights by </w:t>
      </w:r>
      <w:r w:rsidR="006A14F4">
        <w:rPr>
          <w:lang w:val="en-GB"/>
        </w:rPr>
        <w:t xml:space="preserve">referring </w:t>
      </w:r>
      <w:r w:rsidR="000638D1">
        <w:rPr>
          <w:lang w:val="en-GB"/>
        </w:rPr>
        <w:t xml:space="preserve">to it as a value-balancing exercise where notions of human dignity and </w:t>
      </w:r>
      <w:r w:rsidR="00FF296D">
        <w:rPr>
          <w:lang w:val="en-GB"/>
        </w:rPr>
        <w:t>human personality sit at the core of society, impacting all areas of law, both public and private.</w:t>
      </w:r>
      <w:r w:rsidR="00FF296D" w:rsidRPr="00E539EE">
        <w:rPr>
          <w:vertAlign w:val="superscript"/>
          <w:lang w:val="en-GB"/>
        </w:rPr>
        <w:footnoteReference w:id="54"/>
      </w:r>
      <w:r w:rsidR="001228DF">
        <w:rPr>
          <w:lang w:val="en-GB"/>
        </w:rPr>
        <w:t xml:space="preserve"> </w:t>
      </w:r>
      <w:r w:rsidRPr="00E74E7C">
        <w:rPr>
          <w:lang w:val="en-GB"/>
        </w:rPr>
        <w:t>While these governing principles guide constitutional interpretation, in the context of private individuals, this balancing involves the relevant constitutional rights in a diluted form.</w:t>
      </w:r>
      <w:r w:rsidRPr="00E539EE">
        <w:rPr>
          <w:vertAlign w:val="superscript"/>
          <w:lang w:val="en-GB"/>
        </w:rPr>
        <w:footnoteReference w:id="55"/>
      </w:r>
      <w:r w:rsidRPr="00E74E7C">
        <w:rPr>
          <w:lang w:val="en-GB"/>
        </w:rPr>
        <w:t xml:space="preserve"> Essentially </w:t>
      </w:r>
      <w:r w:rsidR="00EB5C08">
        <w:rPr>
          <w:lang w:val="en-GB"/>
        </w:rPr>
        <w:t xml:space="preserve">it </w:t>
      </w:r>
      <w:r w:rsidRPr="00E74E7C">
        <w:rPr>
          <w:lang w:val="en-GB"/>
        </w:rPr>
        <w:t>means that in private law disputes between individuals, constitutional rights</w:t>
      </w:r>
      <w:r w:rsidR="00D81A14">
        <w:rPr>
          <w:lang w:val="en-GB"/>
        </w:rPr>
        <w:t>,</w:t>
      </w:r>
      <w:r w:rsidRPr="00E74E7C">
        <w:rPr>
          <w:lang w:val="en-GB"/>
        </w:rPr>
        <w:t xml:space="preserve"> to an extent, influence private law</w:t>
      </w:r>
      <w:r w:rsidR="007035C7">
        <w:rPr>
          <w:lang w:val="en-GB"/>
        </w:rPr>
        <w:t>.</w:t>
      </w:r>
    </w:p>
    <w:p w14:paraId="6DE0EE57" w14:textId="77777777" w:rsidR="00E74E7C" w:rsidRPr="00E74E7C" w:rsidRDefault="00E74E7C" w:rsidP="006A14F4">
      <w:pPr>
        <w:pStyle w:val="TextBeitrag1Absatz"/>
        <w:ind w:firstLine="227"/>
        <w:jc w:val="both"/>
        <w:rPr>
          <w:lang w:val="en-GB"/>
        </w:rPr>
      </w:pPr>
      <w:r w:rsidRPr="00E74E7C">
        <w:rPr>
          <w:lang w:val="en-GB"/>
        </w:rPr>
        <w:t xml:space="preserve">Following </w:t>
      </w:r>
      <w:proofErr w:type="spellStart"/>
      <w:r w:rsidRPr="00E539EE">
        <w:rPr>
          <w:i/>
          <w:iCs/>
          <w:lang w:val="en-GB"/>
        </w:rPr>
        <w:t>Lüth</w:t>
      </w:r>
      <w:proofErr w:type="spellEnd"/>
      <w:r w:rsidRPr="00E74E7C">
        <w:rPr>
          <w:lang w:val="en-GB"/>
        </w:rPr>
        <w:t xml:space="preserve">, the German Constitutional Court in </w:t>
      </w:r>
      <w:r w:rsidRPr="00E539EE">
        <w:rPr>
          <w:i/>
          <w:iCs/>
          <w:lang w:val="en-GB"/>
        </w:rPr>
        <w:t>Fraport</w:t>
      </w:r>
      <w:r w:rsidRPr="00E74E7C">
        <w:rPr>
          <w:lang w:val="en-GB"/>
        </w:rPr>
        <w:t xml:space="preserve"> both confirmed the doctrine of effect and introduced the possibility of extending its scope in specific circumstances.</w:t>
      </w:r>
      <w:r w:rsidRPr="00E539EE">
        <w:rPr>
          <w:vertAlign w:val="superscript"/>
          <w:lang w:val="en-GB"/>
        </w:rPr>
        <w:footnoteReference w:id="56"/>
      </w:r>
      <w:r w:rsidRPr="00E539EE">
        <w:rPr>
          <w:vertAlign w:val="superscript"/>
          <w:lang w:val="en-GB"/>
        </w:rPr>
        <w:t xml:space="preserve"> </w:t>
      </w:r>
      <w:r w:rsidRPr="00E74E7C">
        <w:rPr>
          <w:lang w:val="en-GB"/>
        </w:rPr>
        <w:t>The case involved activists demanding access to Frankfurt Airport to protest deportations by the German government. The operator of the airport, Fraport-AG, a public company, introduced a ban against protestors entering the airport including the distribution of material. The activists argued that this ban violated fundamental rights, namely freedom of assembly and freedom of expression. The court held that though Fraport was owned predominantly by public institutions, the company was not directly bound by fundamental rights. Further, the court stated that even if Fraport was directly bound, it would only extend to the use of a public space for its designated purpose which on the facts was travelling.</w:t>
      </w:r>
    </w:p>
    <w:p w14:paraId="692484D3" w14:textId="27BF0708" w:rsidR="00E74E7C" w:rsidRDefault="00E74E7C" w:rsidP="006A14F4">
      <w:pPr>
        <w:pStyle w:val="TextBeitrag1Absatz"/>
        <w:ind w:firstLine="227"/>
        <w:jc w:val="both"/>
        <w:rPr>
          <w:lang w:val="en-GB"/>
        </w:rPr>
      </w:pPr>
      <w:r w:rsidRPr="00E539EE">
        <w:rPr>
          <w:i/>
          <w:iCs/>
          <w:lang w:val="en-GB"/>
        </w:rPr>
        <w:t>Fraport</w:t>
      </w:r>
      <w:r w:rsidRPr="00E74E7C">
        <w:rPr>
          <w:lang w:val="en-GB"/>
        </w:rPr>
        <w:t xml:space="preserve"> is significant for two reasons: Firstly, the possibility to extend the application of fundamental rights on private companies, and secondly, the integral link between the public space and its designated purpose. The latter delineates the scope of protection for individuals relying on fundamental rights to use that space. Regarding the former, commentary explains that the binding nature of fundamental rights on private companies following </w:t>
      </w:r>
      <w:r w:rsidRPr="006A14F4">
        <w:rPr>
          <w:i/>
          <w:iCs/>
          <w:lang w:val="en-GB"/>
        </w:rPr>
        <w:t>Fraport</w:t>
      </w:r>
      <w:r w:rsidRPr="00E74E7C">
        <w:rPr>
          <w:lang w:val="en-GB"/>
        </w:rPr>
        <w:t xml:space="preserve"> comes extremely close to the direct effect that binds the state.</w:t>
      </w:r>
      <w:r w:rsidRPr="006A14F4">
        <w:rPr>
          <w:vertAlign w:val="superscript"/>
          <w:lang w:val="en-GB"/>
        </w:rPr>
        <w:footnoteReference w:id="57"/>
      </w:r>
      <w:r w:rsidRPr="006A14F4">
        <w:rPr>
          <w:vertAlign w:val="superscript"/>
          <w:lang w:val="en-GB"/>
        </w:rPr>
        <w:t xml:space="preserve"> </w:t>
      </w:r>
      <w:r w:rsidRPr="00E74E7C">
        <w:rPr>
          <w:lang w:val="en-GB"/>
        </w:rPr>
        <w:t>This is said to occur when</w:t>
      </w:r>
      <w:r w:rsidR="007035C7">
        <w:rPr>
          <w:lang w:val="en-GB"/>
        </w:rPr>
        <w:t xml:space="preserve"> </w:t>
      </w:r>
      <w:r w:rsidR="00FE4195">
        <w:rPr>
          <w:lang w:val="en-GB"/>
        </w:rPr>
        <w:t>it becomes impossible for the state to provide protection for citizens to exercise their fundamental rights due to privatisation of public premises.</w:t>
      </w:r>
      <w:r w:rsidR="00FE4195" w:rsidRPr="00E539EE">
        <w:rPr>
          <w:vertAlign w:val="superscript"/>
          <w:lang w:val="en-GB"/>
        </w:rPr>
        <w:footnoteReference w:id="58"/>
      </w:r>
      <w:r w:rsidR="002604DF">
        <w:rPr>
          <w:lang w:val="en-GB"/>
        </w:rPr>
        <w:t xml:space="preserve"> Thus private law is not a safe haven from the application of fundamental rights.</w:t>
      </w:r>
    </w:p>
    <w:p w14:paraId="50420BA6" w14:textId="02400402" w:rsidR="00E74E7C" w:rsidRPr="00E74E7C" w:rsidRDefault="00627441" w:rsidP="00045A66">
      <w:pPr>
        <w:pStyle w:val="TextBeitrag1Absatz"/>
        <w:ind w:firstLine="227"/>
        <w:jc w:val="both"/>
        <w:rPr>
          <w:lang w:val="en-GB"/>
        </w:rPr>
      </w:pPr>
      <w:r>
        <w:rPr>
          <w:lang w:val="en-GB"/>
        </w:rPr>
        <w:lastRenderedPageBreak/>
        <w:t>There are clear</w:t>
      </w:r>
      <w:r w:rsidR="00793794">
        <w:rPr>
          <w:lang w:val="en-GB"/>
        </w:rPr>
        <w:t xml:space="preserve"> parallels </w:t>
      </w:r>
      <w:r>
        <w:rPr>
          <w:lang w:val="en-GB"/>
        </w:rPr>
        <w:t xml:space="preserve">in </w:t>
      </w:r>
      <w:r>
        <w:rPr>
          <w:i/>
          <w:iCs/>
          <w:lang w:val="en-GB"/>
        </w:rPr>
        <w:t xml:space="preserve">Fraport </w:t>
      </w:r>
      <w:r w:rsidR="00793794">
        <w:rPr>
          <w:lang w:val="en-GB"/>
        </w:rPr>
        <w:t>with an obligation of platforms to safeguard creativity online</w:t>
      </w:r>
      <w:r>
        <w:rPr>
          <w:lang w:val="en-GB"/>
        </w:rPr>
        <w:t xml:space="preserve"> beyond the EU copyrigh</w:t>
      </w:r>
      <w:r w:rsidR="008E1835">
        <w:rPr>
          <w:lang w:val="en-GB"/>
        </w:rPr>
        <w:t>t system</w:t>
      </w:r>
      <w:r w:rsidR="00793794">
        <w:rPr>
          <w:lang w:val="en-GB"/>
        </w:rPr>
        <w:t xml:space="preserve">. </w:t>
      </w:r>
      <w:r w:rsidR="00E74E7C" w:rsidRPr="00E74E7C">
        <w:rPr>
          <w:lang w:val="en-GB"/>
        </w:rPr>
        <w:t xml:space="preserve">In </w:t>
      </w:r>
      <w:r w:rsidR="00E74E7C" w:rsidRPr="00793794">
        <w:rPr>
          <w:i/>
          <w:iCs/>
          <w:lang w:val="en-GB"/>
        </w:rPr>
        <w:t>Fraport</w:t>
      </w:r>
      <w:r w:rsidR="00E74E7C" w:rsidRPr="00E74E7C">
        <w:rPr>
          <w:lang w:val="en-GB"/>
        </w:rPr>
        <w:t>, when weighing the airport’s private rights against the right to assemble, the court focused on</w:t>
      </w:r>
      <w:r w:rsidR="009570EE">
        <w:rPr>
          <w:lang w:val="en-GB"/>
        </w:rPr>
        <w:t xml:space="preserve"> the</w:t>
      </w:r>
      <w:r w:rsidR="00E74E7C" w:rsidRPr="00E74E7C">
        <w:rPr>
          <w:lang w:val="en-GB"/>
        </w:rPr>
        <w:t xml:space="preserve"> </w:t>
      </w:r>
      <w:r w:rsidR="00793794">
        <w:rPr>
          <w:lang w:val="en-GB"/>
        </w:rPr>
        <w:t>term public forum</w:t>
      </w:r>
      <w:r w:rsidR="009570EE">
        <w:rPr>
          <w:lang w:val="en-GB"/>
        </w:rPr>
        <w:t>,</w:t>
      </w:r>
      <w:r w:rsidR="00616083">
        <w:rPr>
          <w:lang w:val="en-GB"/>
        </w:rPr>
        <w:t xml:space="preserve"> finding that these spaces are not exempt from freedom of assembly</w:t>
      </w:r>
      <w:r w:rsidR="00600014">
        <w:rPr>
          <w:lang w:val="en-GB"/>
        </w:rPr>
        <w:t xml:space="preserve"> </w:t>
      </w:r>
      <w:r w:rsidR="00661244">
        <w:rPr>
          <w:lang w:val="en-GB"/>
        </w:rPr>
        <w:t>due to the doctrine of indirect effect.</w:t>
      </w:r>
      <w:r w:rsidR="00661244" w:rsidRPr="00E539EE">
        <w:rPr>
          <w:vertAlign w:val="superscript"/>
          <w:lang w:val="en-GB"/>
        </w:rPr>
        <w:footnoteReference w:id="59"/>
      </w:r>
      <w:r w:rsidR="00661244">
        <w:rPr>
          <w:lang w:val="en-GB"/>
        </w:rPr>
        <w:t xml:space="preserve"> Instead, </w:t>
      </w:r>
      <w:r w:rsidR="00B73314">
        <w:rPr>
          <w:lang w:val="en-GB"/>
        </w:rPr>
        <w:t>public forums comprise space for differing uses including communicative ones which allow public debate that cannot be prohibited.</w:t>
      </w:r>
      <w:r w:rsidR="00B73314" w:rsidRPr="00B73314">
        <w:rPr>
          <w:vertAlign w:val="superscript"/>
          <w:lang w:val="en-GB"/>
        </w:rPr>
        <w:footnoteReference w:id="60"/>
      </w:r>
      <w:r w:rsidR="00B73314">
        <w:rPr>
          <w:lang w:val="en-GB"/>
        </w:rPr>
        <w:t xml:space="preserve"> This flexible and broa</w:t>
      </w:r>
      <w:r w:rsidR="004E5BD2">
        <w:rPr>
          <w:lang w:val="en-GB"/>
        </w:rPr>
        <w:t>d</w:t>
      </w:r>
      <w:r w:rsidR="00B73314">
        <w:rPr>
          <w:lang w:val="en-GB"/>
        </w:rPr>
        <w:t xml:space="preserve"> approach to the interpretation of a public space</w:t>
      </w:r>
      <w:r w:rsidR="00045A66">
        <w:rPr>
          <w:lang w:val="en-GB"/>
        </w:rPr>
        <w:t xml:space="preserve"> which includes the constitutional requirement for communication is helpful in structuring platform obligations to safeguard artistic communication.</w:t>
      </w:r>
    </w:p>
    <w:p w14:paraId="10C5C7FC" w14:textId="3F3BE76F" w:rsidR="00E74E7C" w:rsidRPr="00E74E7C" w:rsidRDefault="00045A66" w:rsidP="006A14F4">
      <w:pPr>
        <w:pStyle w:val="TextBeitrag1Absatz"/>
        <w:ind w:firstLine="227"/>
        <w:jc w:val="both"/>
        <w:rPr>
          <w:lang w:val="en-GB"/>
        </w:rPr>
      </w:pPr>
      <w:r>
        <w:rPr>
          <w:lang w:val="en-GB"/>
        </w:rPr>
        <w:t>T</w:t>
      </w:r>
      <w:r w:rsidR="00E74E7C" w:rsidRPr="00E74E7C">
        <w:rPr>
          <w:lang w:val="en-GB"/>
        </w:rPr>
        <w:t xml:space="preserve">his </w:t>
      </w:r>
      <w:r>
        <w:rPr>
          <w:lang w:val="en-GB"/>
        </w:rPr>
        <w:t>article suggests</w:t>
      </w:r>
      <w:r w:rsidR="00E74E7C" w:rsidRPr="00E74E7C">
        <w:rPr>
          <w:lang w:val="en-GB"/>
        </w:rPr>
        <w:t xml:space="preserve"> that platforms provide a primary mode of communication online for users, including authors. Given that no geographical link is needed, all that is required is for individuals to require such a communicative space, platforms undoubtedly reflect the logic of </w:t>
      </w:r>
      <w:r w:rsidR="00E74E7C" w:rsidRPr="00045A66">
        <w:rPr>
          <w:i/>
          <w:iCs/>
          <w:lang w:val="en-GB"/>
        </w:rPr>
        <w:t>Fraport</w:t>
      </w:r>
      <w:r w:rsidR="00E74E7C" w:rsidRPr="00E74E7C">
        <w:rPr>
          <w:lang w:val="en-GB"/>
        </w:rPr>
        <w:t xml:space="preserve">. Comparatively, the scope of the US public forum doctrine, considered in </w:t>
      </w:r>
      <w:r w:rsidR="00E74E7C" w:rsidRPr="00045A66">
        <w:rPr>
          <w:i/>
          <w:iCs/>
          <w:lang w:val="en-GB"/>
        </w:rPr>
        <w:t>Packingham v. North Carolina</w:t>
      </w:r>
      <w:r w:rsidR="00397D8D" w:rsidRPr="00045A66">
        <w:rPr>
          <w:vertAlign w:val="superscript"/>
          <w:lang w:val="en-GB"/>
        </w:rPr>
        <w:footnoteReference w:id="61"/>
      </w:r>
      <w:r w:rsidR="00E74E7C" w:rsidRPr="00E74E7C">
        <w:rPr>
          <w:lang w:val="en-GB"/>
        </w:rPr>
        <w:t>, describes the Internet as the “modern public square” explaining that “social media allows users to gain access to information and communicate with one another about it”.</w:t>
      </w:r>
      <w:r w:rsidR="00E74E7C" w:rsidRPr="00045A66">
        <w:rPr>
          <w:vertAlign w:val="superscript"/>
          <w:lang w:val="en-GB"/>
        </w:rPr>
        <w:footnoteReference w:id="62"/>
      </w:r>
      <w:r w:rsidR="00E74E7C" w:rsidRPr="00E74E7C">
        <w:rPr>
          <w:lang w:val="en-GB"/>
        </w:rPr>
        <w:t xml:space="preserve"> This argument is also mirrored by commentary contending that such an integral role within society should mean that they are bound by fundamental rights, specifically to ensure freedom of expression online.</w:t>
      </w:r>
      <w:r w:rsidR="00E74E7C" w:rsidRPr="00045A66">
        <w:rPr>
          <w:vertAlign w:val="superscript"/>
          <w:lang w:val="en-GB"/>
        </w:rPr>
        <w:footnoteReference w:id="63"/>
      </w:r>
    </w:p>
    <w:p w14:paraId="0E95B883" w14:textId="54D66214" w:rsidR="00E74E7C" w:rsidRPr="00E74E7C" w:rsidRDefault="00E74E7C" w:rsidP="006A14F4">
      <w:pPr>
        <w:pStyle w:val="TextBeitrag1Absatz"/>
        <w:ind w:firstLine="227"/>
        <w:jc w:val="both"/>
        <w:rPr>
          <w:lang w:val="en-GB"/>
        </w:rPr>
      </w:pPr>
      <w:r w:rsidRPr="00E74E7C">
        <w:rPr>
          <w:lang w:val="en-GB"/>
        </w:rPr>
        <w:t>This flexible and broa</w:t>
      </w:r>
      <w:r w:rsidR="00EE0D85">
        <w:rPr>
          <w:lang w:val="en-GB"/>
        </w:rPr>
        <w:t>d</w:t>
      </w:r>
      <w:r w:rsidRPr="00E74E7C">
        <w:rPr>
          <w:lang w:val="en-GB"/>
        </w:rPr>
        <w:t xml:space="preserve"> approach to public spaces was confirmed in </w:t>
      </w:r>
      <w:proofErr w:type="spellStart"/>
      <w:r w:rsidRPr="006A14F4">
        <w:rPr>
          <w:i/>
          <w:iCs/>
          <w:lang w:val="en-GB"/>
        </w:rPr>
        <w:t>Stadionverbot</w:t>
      </w:r>
      <w:proofErr w:type="spellEnd"/>
      <w:r w:rsidRPr="00E74E7C">
        <w:rPr>
          <w:lang w:val="en-GB"/>
        </w:rPr>
        <w:t xml:space="preserve"> and extended to include to “the opportunity of each individual to </w:t>
      </w:r>
      <w:proofErr w:type="spellStart"/>
      <w:r w:rsidRPr="00E74E7C">
        <w:rPr>
          <w:lang w:val="en-GB"/>
        </w:rPr>
        <w:t>tak</w:t>
      </w:r>
      <w:proofErr w:type="spellEnd"/>
      <w:r w:rsidRPr="00E74E7C">
        <w:rPr>
          <w:lang w:val="en-GB"/>
        </w:rPr>
        <w:t>[e] part in societal life”</w:t>
      </w:r>
      <w:r w:rsidRPr="00045A66">
        <w:rPr>
          <w:vertAlign w:val="superscript"/>
          <w:lang w:val="en-GB"/>
        </w:rPr>
        <w:footnoteReference w:id="64"/>
      </w:r>
      <w:r w:rsidRPr="00E74E7C">
        <w:rPr>
          <w:lang w:val="en-GB"/>
        </w:rPr>
        <w:t>. Here, an individual was banned permanently from a football stadium as he was suspected to have been a hooligan in the past. The German Constitutional Court found that the stadium operator must respect the fundamental right to non-discrimination pursuant to the German Constitution.</w:t>
      </w:r>
      <w:r w:rsidRPr="00045A66">
        <w:rPr>
          <w:vertAlign w:val="superscript"/>
          <w:lang w:val="en-GB"/>
        </w:rPr>
        <w:footnoteReference w:id="65"/>
      </w:r>
      <w:r w:rsidRPr="00E74E7C">
        <w:rPr>
          <w:lang w:val="en-GB"/>
        </w:rPr>
        <w:t xml:space="preserve"> The court held that there needs to be a substantial reason to exclude someone from an activity relevant to life in society, such as major football games. Such an exclusion would require granting a right to appeal a (private) decision when excluding an individual from the public (sphere).</w:t>
      </w:r>
      <w:r w:rsidRPr="00045A66">
        <w:rPr>
          <w:vertAlign w:val="superscript"/>
          <w:lang w:val="en-GB"/>
        </w:rPr>
        <w:footnoteReference w:id="66"/>
      </w:r>
      <w:r w:rsidRPr="00E74E7C">
        <w:rPr>
          <w:lang w:val="en-GB"/>
        </w:rPr>
        <w:t xml:space="preserve"> Some commentary suggests that </w:t>
      </w:r>
      <w:proofErr w:type="spellStart"/>
      <w:r w:rsidRPr="006A14F4">
        <w:rPr>
          <w:i/>
          <w:iCs/>
          <w:lang w:val="en-GB"/>
        </w:rPr>
        <w:t>Stadionverbot</w:t>
      </w:r>
      <w:proofErr w:type="spellEnd"/>
      <w:r w:rsidRPr="00E74E7C">
        <w:rPr>
          <w:lang w:val="en-GB"/>
        </w:rPr>
        <w:t xml:space="preserve"> reasoning, specific to the equality guarantees within the German Constitution, could extend</w:t>
      </w:r>
      <w:r w:rsidR="00CE150B">
        <w:rPr>
          <w:lang w:val="en-GB"/>
        </w:rPr>
        <w:t xml:space="preserve"> to</w:t>
      </w:r>
      <w:r w:rsidRPr="00E74E7C">
        <w:rPr>
          <w:lang w:val="en-GB"/>
        </w:rPr>
        <w:t xml:space="preserve"> social media platforms “which constitute a vital tool for many people to participate in social life”</w:t>
      </w:r>
      <w:r w:rsidRPr="00045A66">
        <w:rPr>
          <w:vertAlign w:val="superscript"/>
          <w:lang w:val="en-GB"/>
        </w:rPr>
        <w:footnoteReference w:id="67"/>
      </w:r>
      <w:r w:rsidR="00045A66">
        <w:rPr>
          <w:lang w:val="en-GB"/>
        </w:rPr>
        <w:t>.</w:t>
      </w:r>
    </w:p>
    <w:p w14:paraId="0533C979" w14:textId="76AEF8F3" w:rsidR="00E74E7C" w:rsidRPr="00E74E7C" w:rsidRDefault="0054270F" w:rsidP="006A14F4">
      <w:pPr>
        <w:pStyle w:val="TextBeitrag1Absatz"/>
        <w:ind w:firstLine="227"/>
        <w:jc w:val="both"/>
        <w:rPr>
          <w:lang w:val="en-GB"/>
        </w:rPr>
      </w:pPr>
      <w:r>
        <w:rPr>
          <w:lang w:val="en-GB"/>
        </w:rPr>
        <w:t>When considering platforms as public spaces essential for creativity online, it requires that plat</w:t>
      </w:r>
      <w:r w:rsidR="00E74E7C" w:rsidRPr="00E74E7C">
        <w:rPr>
          <w:lang w:val="en-GB"/>
        </w:rPr>
        <w:t xml:space="preserve">forms </w:t>
      </w:r>
      <w:r>
        <w:rPr>
          <w:lang w:val="en-GB"/>
        </w:rPr>
        <w:t>do not</w:t>
      </w:r>
      <w:r w:rsidR="00E74E7C" w:rsidRPr="00E74E7C">
        <w:rPr>
          <w:lang w:val="en-GB"/>
        </w:rPr>
        <w:t xml:space="preserve"> restrict access when it conflicts with fundamental freedoms, specifically freedom of expression. As</w:t>
      </w:r>
      <w:r w:rsidR="00DE687E">
        <w:rPr>
          <w:lang w:val="en-GB"/>
        </w:rPr>
        <w:t xml:space="preserve"> creative autonomy requires access to platforms to communicate creativity,</w:t>
      </w:r>
      <w:r w:rsidR="00123FBA">
        <w:rPr>
          <w:lang w:val="en-GB"/>
        </w:rPr>
        <w:t xml:space="preserve"> platforms must safeguard authors’ fundamental rights.</w:t>
      </w:r>
      <w:r w:rsidR="00E74E7C" w:rsidRPr="00E74E7C">
        <w:rPr>
          <w:lang w:val="en-GB"/>
        </w:rPr>
        <w:t xml:space="preserve"> </w:t>
      </w:r>
      <w:r w:rsidR="00123FBA">
        <w:rPr>
          <w:lang w:val="en-GB"/>
        </w:rPr>
        <w:t>This approach links</w:t>
      </w:r>
      <w:r w:rsidR="00E74E7C" w:rsidRPr="00E74E7C">
        <w:rPr>
          <w:lang w:val="en-GB"/>
        </w:rPr>
        <w:t xml:space="preserve"> </w:t>
      </w:r>
      <w:r w:rsidR="00123FBA">
        <w:rPr>
          <w:lang w:val="en-GB"/>
        </w:rPr>
        <w:t>to the work of s</w:t>
      </w:r>
      <w:r w:rsidR="00E74E7C" w:rsidRPr="00E74E7C">
        <w:rPr>
          <w:lang w:val="en-GB"/>
        </w:rPr>
        <w:t>ociologist Jürgen Habermas who theorised on the spaces where public opinion was shaped, terming them the “public sphere”,</w:t>
      </w:r>
      <w:r w:rsidR="00E74E7C" w:rsidRPr="00123FBA">
        <w:rPr>
          <w:vertAlign w:val="superscript"/>
          <w:lang w:val="en-GB"/>
        </w:rPr>
        <w:footnoteReference w:id="68"/>
      </w:r>
      <w:r w:rsidR="00E74E7C" w:rsidRPr="00123FBA">
        <w:rPr>
          <w:vertAlign w:val="superscript"/>
          <w:lang w:val="en-GB"/>
        </w:rPr>
        <w:t xml:space="preserve"> </w:t>
      </w:r>
      <w:r w:rsidR="00E74E7C" w:rsidRPr="00E74E7C">
        <w:rPr>
          <w:lang w:val="en-GB"/>
        </w:rPr>
        <w:t xml:space="preserve">describing them as “the fundamental site of participatory democracy and a bulwark against the powers of the state </w:t>
      </w:r>
      <w:r w:rsidR="00E74E7C" w:rsidRPr="00E74E7C">
        <w:rPr>
          <w:lang w:val="en-GB"/>
        </w:rPr>
        <w:lastRenderedPageBreak/>
        <w:t>and the market”</w:t>
      </w:r>
      <w:r w:rsidR="00E74E7C" w:rsidRPr="00123FBA">
        <w:rPr>
          <w:vertAlign w:val="superscript"/>
          <w:lang w:val="en-GB"/>
        </w:rPr>
        <w:footnoteReference w:id="69"/>
      </w:r>
      <w:r w:rsidR="00E74E7C" w:rsidRPr="00E74E7C">
        <w:rPr>
          <w:lang w:val="en-GB"/>
        </w:rPr>
        <w:t xml:space="preserve">. Commentary explains that a platform “serves as a public sphere comparable to the 17th century coffee houses of Britain and salons of Paris from which the </w:t>
      </w:r>
      <w:proofErr w:type="spellStart"/>
      <w:r w:rsidR="00E74E7C" w:rsidRPr="00E74E7C">
        <w:rPr>
          <w:lang w:val="en-GB"/>
        </w:rPr>
        <w:t>Habermasian</w:t>
      </w:r>
      <w:proofErr w:type="spellEnd"/>
      <w:r w:rsidR="00E74E7C" w:rsidRPr="00E74E7C">
        <w:rPr>
          <w:lang w:val="en-GB"/>
        </w:rPr>
        <w:t xml:space="preserve"> idea of the public sphere originated”</w:t>
      </w:r>
      <w:r w:rsidR="00E74E7C" w:rsidRPr="00123FBA">
        <w:rPr>
          <w:vertAlign w:val="superscript"/>
          <w:lang w:val="en-GB"/>
        </w:rPr>
        <w:footnoteReference w:id="70"/>
      </w:r>
      <w:r w:rsidR="00E74E7C" w:rsidRPr="00E74E7C">
        <w:rPr>
          <w:lang w:val="en-GB"/>
        </w:rPr>
        <w:t>. Though they are algorithmically driven and centrally controlled, platforms similarly to Habermas’ spaces have “enormous power over what speech is possible, and the algorithms they deploy govern which perspectives are seen and which are buried”</w:t>
      </w:r>
      <w:r w:rsidR="00E74E7C" w:rsidRPr="00123FBA">
        <w:rPr>
          <w:vertAlign w:val="superscript"/>
          <w:lang w:val="en-GB"/>
        </w:rPr>
        <w:footnoteReference w:id="71"/>
      </w:r>
      <w:r w:rsidR="00E74E7C" w:rsidRPr="00E74E7C">
        <w:rPr>
          <w:lang w:val="en-GB"/>
        </w:rPr>
        <w:t>.</w:t>
      </w:r>
    </w:p>
    <w:p w14:paraId="374B4945" w14:textId="051BE6A9" w:rsidR="004960B4" w:rsidRDefault="00E74E7C" w:rsidP="006A14F4">
      <w:pPr>
        <w:pStyle w:val="TextBeitrag1Absatz"/>
        <w:ind w:firstLine="227"/>
        <w:jc w:val="both"/>
        <w:rPr>
          <w:lang w:val="en-GB"/>
        </w:rPr>
      </w:pPr>
      <w:r w:rsidRPr="00E74E7C">
        <w:rPr>
          <w:lang w:val="en-GB"/>
        </w:rPr>
        <w:t>This section builds upon this perspective to argue that, to the degree that fundamental rights bind platforms, they provide a public space which among other uses, also facilitates artistic communication.</w:t>
      </w:r>
      <w:r w:rsidRPr="00123FBA">
        <w:rPr>
          <w:vertAlign w:val="superscript"/>
          <w:lang w:val="en-GB"/>
        </w:rPr>
        <w:footnoteReference w:id="72"/>
      </w:r>
      <w:r w:rsidRPr="00123FBA">
        <w:rPr>
          <w:vertAlign w:val="superscript"/>
          <w:lang w:val="en-GB"/>
        </w:rPr>
        <w:t xml:space="preserve"> </w:t>
      </w:r>
      <w:r w:rsidRPr="00E74E7C">
        <w:rPr>
          <w:lang w:val="en-GB"/>
        </w:rPr>
        <w:t>It would mean that platforms have an obligation, given this public space status, to ensure that authors and users have access to platforms to effectively ensure artistic communication. Communities and sub-communities that create UGC would be able to rely on this access right to disseminate subsequent creative works</w:t>
      </w:r>
      <w:r w:rsidR="00DC284F">
        <w:rPr>
          <w:lang w:val="en-GB"/>
        </w:rPr>
        <w:t>.</w:t>
      </w:r>
      <w:r w:rsidR="00DC284F">
        <w:rPr>
          <w:rStyle w:val="FootnoteReference"/>
          <w:lang w:val="en-GB"/>
        </w:rPr>
        <w:footnoteReference w:id="73"/>
      </w:r>
      <w:r w:rsidR="004845CF">
        <w:rPr>
          <w:lang w:val="en-GB"/>
        </w:rPr>
        <w:t xml:space="preserve"> Thus, g</w:t>
      </w:r>
      <w:r w:rsidRPr="00E74E7C">
        <w:rPr>
          <w:lang w:val="en-GB"/>
        </w:rPr>
        <w:t xml:space="preserve">iven the significance of artistic communication and the role of platforms as a gatekeeper to accessing works and communicating new creative works, </w:t>
      </w:r>
      <w:r w:rsidR="00E33ED7">
        <w:rPr>
          <w:lang w:val="en-GB"/>
        </w:rPr>
        <w:t>there is a</w:t>
      </w:r>
      <w:r w:rsidR="004960B4">
        <w:rPr>
          <w:lang w:val="en-GB"/>
        </w:rPr>
        <w:t>n</w:t>
      </w:r>
      <w:r w:rsidR="00E33ED7">
        <w:rPr>
          <w:lang w:val="en-GB"/>
        </w:rPr>
        <w:t xml:space="preserve"> argument that, outside the EU copyright system, </w:t>
      </w:r>
      <w:r w:rsidRPr="00E74E7C">
        <w:rPr>
          <w:lang w:val="en-GB"/>
        </w:rPr>
        <w:t xml:space="preserve">platforms should </w:t>
      </w:r>
      <w:r w:rsidR="005E3FE4">
        <w:rPr>
          <w:lang w:val="en-GB"/>
        </w:rPr>
        <w:t>be obligated to safeguard</w:t>
      </w:r>
      <w:r w:rsidRPr="00E74E7C">
        <w:rPr>
          <w:lang w:val="en-GB"/>
        </w:rPr>
        <w:t xml:space="preserve"> creativity online. </w:t>
      </w:r>
    </w:p>
    <w:p w14:paraId="6964524B" w14:textId="0E55AA0D" w:rsidR="00E74E7C" w:rsidRPr="00E74E7C" w:rsidRDefault="00E74E7C" w:rsidP="00F60233">
      <w:pPr>
        <w:pStyle w:val="TextBeitrag1Absatz"/>
        <w:ind w:firstLine="227"/>
        <w:jc w:val="both"/>
        <w:rPr>
          <w:lang w:val="en-GB"/>
        </w:rPr>
      </w:pPr>
      <w:r w:rsidRPr="00E74E7C">
        <w:rPr>
          <w:lang w:val="en-GB"/>
        </w:rPr>
        <w:t xml:space="preserve">The question becomes how </w:t>
      </w:r>
      <w:r w:rsidR="005E3FE4">
        <w:rPr>
          <w:lang w:val="en-GB"/>
        </w:rPr>
        <w:t>to</w:t>
      </w:r>
      <w:r w:rsidR="004845CF">
        <w:rPr>
          <w:lang w:val="en-GB"/>
        </w:rPr>
        <w:t xml:space="preserve"> structure</w:t>
      </w:r>
      <w:r w:rsidR="00A85495">
        <w:rPr>
          <w:lang w:val="en-GB"/>
        </w:rPr>
        <w:t xml:space="preserve"> these obligations in a manner that supports creativity, reconciling</w:t>
      </w:r>
      <w:r w:rsidR="00C16DC9">
        <w:rPr>
          <w:lang w:val="en-GB"/>
        </w:rPr>
        <w:t xml:space="preserve"> the EU copyright system? Indeed, it is more likely that any attempt to prevent </w:t>
      </w:r>
      <w:r w:rsidR="00E90A90">
        <w:rPr>
          <w:lang w:val="en-GB"/>
        </w:rPr>
        <w:t xml:space="preserve">takedowns of creative reuse will result in the argument that such an approach is incompatible with EU copyright </w:t>
      </w:r>
      <w:r w:rsidR="00C14F0B">
        <w:rPr>
          <w:lang w:val="en-GB"/>
        </w:rPr>
        <w:t>law, and</w:t>
      </w:r>
      <w:r w:rsidRPr="00E74E7C">
        <w:rPr>
          <w:lang w:val="en-GB"/>
        </w:rPr>
        <w:t xml:space="preserve"> </w:t>
      </w:r>
      <w:r w:rsidR="00C14F0B">
        <w:rPr>
          <w:lang w:val="en-GB"/>
        </w:rPr>
        <w:t xml:space="preserve">platforms will be pressured through </w:t>
      </w:r>
      <w:r w:rsidRPr="00E74E7C">
        <w:rPr>
          <w:lang w:val="en-GB"/>
        </w:rPr>
        <w:t xml:space="preserve">private ordering mechanisms with the threat of infringement. </w:t>
      </w:r>
      <w:r w:rsidR="000F3DB5">
        <w:rPr>
          <w:lang w:val="en-GB"/>
        </w:rPr>
        <w:t xml:space="preserve">In the following section, this article proposes that platforms should safeguard these essential creative spaces online </w:t>
      </w:r>
      <w:r w:rsidR="00F60233">
        <w:rPr>
          <w:lang w:val="en-GB"/>
        </w:rPr>
        <w:t xml:space="preserve">through a wider access right to </w:t>
      </w:r>
      <w:r w:rsidRPr="00E74E7C">
        <w:rPr>
          <w:lang w:val="en-GB"/>
        </w:rPr>
        <w:t xml:space="preserve">incentivise the adoption of creativity-friendly content </w:t>
      </w:r>
      <w:r w:rsidR="00C56686">
        <w:rPr>
          <w:lang w:val="en-GB"/>
        </w:rPr>
        <w:t xml:space="preserve">platform </w:t>
      </w:r>
      <w:r w:rsidRPr="00E74E7C">
        <w:rPr>
          <w:lang w:val="en-GB"/>
        </w:rPr>
        <w:t>moderation policies</w:t>
      </w:r>
      <w:r w:rsidR="003B4774">
        <w:rPr>
          <w:lang w:val="en-GB"/>
        </w:rPr>
        <w:t>.</w:t>
      </w:r>
    </w:p>
    <w:p w14:paraId="33A60044" w14:textId="4B1D3AA1" w:rsidR="000D5A1B" w:rsidRPr="000D5A1B" w:rsidRDefault="000D5A1B" w:rsidP="001E3C9A">
      <w:pPr>
        <w:pStyle w:val="Heading2"/>
        <w:jc w:val="both"/>
        <w:rPr>
          <w:lang w:val="en-GB"/>
        </w:rPr>
      </w:pPr>
      <w:bookmarkStart w:id="7" w:name="_Toc157606434"/>
      <w:r>
        <w:rPr>
          <w:lang w:val="en-GB"/>
        </w:rPr>
        <w:t>A genuine counter-right to the EU copyright system</w:t>
      </w:r>
      <w:bookmarkEnd w:id="7"/>
    </w:p>
    <w:p w14:paraId="671589B5" w14:textId="72FA30BF" w:rsidR="000730C1" w:rsidRDefault="005E01E4" w:rsidP="00B76728">
      <w:pPr>
        <w:pStyle w:val="TextBeitrag1Absatz"/>
        <w:ind w:firstLine="227"/>
        <w:jc w:val="both"/>
        <w:rPr>
          <w:lang w:val="en-GB"/>
        </w:rPr>
      </w:pPr>
      <w:r>
        <w:rPr>
          <w:lang w:val="en-GB"/>
        </w:rPr>
        <w:t xml:space="preserve">This article proposes that </w:t>
      </w:r>
      <w:r w:rsidR="00196664">
        <w:rPr>
          <w:lang w:val="en-GB"/>
        </w:rPr>
        <w:t>following the doctrine of indirect effect, platforms should be considered ‘hybrid bodies’ obligated to comply with fundamental rights standards specific to creativity.</w:t>
      </w:r>
      <w:r w:rsidR="00196664">
        <w:rPr>
          <w:rStyle w:val="FootnoteReference"/>
          <w:lang w:val="en-GB"/>
        </w:rPr>
        <w:footnoteReference w:id="74"/>
      </w:r>
      <w:r w:rsidR="00196664">
        <w:rPr>
          <w:lang w:val="en-GB"/>
        </w:rPr>
        <w:t xml:space="preserve"> </w:t>
      </w:r>
      <w:r w:rsidR="00AF09C3">
        <w:rPr>
          <w:lang w:val="en-GB"/>
        </w:rPr>
        <w:t>The question is how to structure</w:t>
      </w:r>
      <w:r w:rsidR="00085270">
        <w:rPr>
          <w:lang w:val="en-GB"/>
        </w:rPr>
        <w:t xml:space="preserve"> these standards. </w:t>
      </w:r>
      <w:r w:rsidR="0073506B">
        <w:rPr>
          <w:lang w:val="en-GB"/>
        </w:rPr>
        <w:t>A s</w:t>
      </w:r>
      <w:r w:rsidR="00643776">
        <w:rPr>
          <w:lang w:val="en-GB"/>
        </w:rPr>
        <w:t>ystems theory</w:t>
      </w:r>
      <w:r w:rsidR="0073506B">
        <w:rPr>
          <w:lang w:val="en-GB"/>
        </w:rPr>
        <w:t xml:space="preserve"> approach ind</w:t>
      </w:r>
      <w:r w:rsidR="007524B3">
        <w:rPr>
          <w:lang w:val="en-GB"/>
        </w:rPr>
        <w:t>icate</w:t>
      </w:r>
      <w:r w:rsidR="00823A16">
        <w:rPr>
          <w:lang w:val="en-GB"/>
        </w:rPr>
        <w:t>s</w:t>
      </w:r>
      <w:r w:rsidR="006A555F">
        <w:rPr>
          <w:lang w:val="en-GB"/>
        </w:rPr>
        <w:t xml:space="preserve"> </w:t>
      </w:r>
      <w:r w:rsidR="00643776">
        <w:rPr>
          <w:lang w:val="en-GB"/>
        </w:rPr>
        <w:t>that i</w:t>
      </w:r>
      <w:r w:rsidR="00801CFA">
        <w:rPr>
          <w:lang w:val="en-GB"/>
        </w:rPr>
        <w:t>f constitutional rights are seen as social “institutions”</w:t>
      </w:r>
      <w:r w:rsidR="004B729B">
        <w:rPr>
          <w:lang w:val="en-GB"/>
        </w:rPr>
        <w:t xml:space="preserve"> that support societal aims, including creativity, they are no longer </w:t>
      </w:r>
      <w:r w:rsidR="004B729B">
        <w:rPr>
          <w:lang w:val="en-GB"/>
        </w:rPr>
        <w:lastRenderedPageBreak/>
        <w:t xml:space="preserve">negative or defensive rights, but </w:t>
      </w:r>
      <w:r w:rsidR="007C5EEA">
        <w:rPr>
          <w:lang w:val="en-GB"/>
        </w:rPr>
        <w:t xml:space="preserve">apply to </w:t>
      </w:r>
      <w:r w:rsidR="00BC2AD6">
        <w:rPr>
          <w:lang w:val="en-GB"/>
        </w:rPr>
        <w:t xml:space="preserve">the </w:t>
      </w:r>
      <w:r w:rsidR="007C5EEA">
        <w:rPr>
          <w:lang w:val="en-GB"/>
        </w:rPr>
        <w:t>process of societal self-regulation.</w:t>
      </w:r>
      <w:r w:rsidR="007C5EEA">
        <w:rPr>
          <w:rStyle w:val="FootnoteReference"/>
          <w:lang w:val="en-GB"/>
        </w:rPr>
        <w:footnoteReference w:id="75"/>
      </w:r>
      <w:r w:rsidR="007C5EEA">
        <w:rPr>
          <w:lang w:val="en-GB"/>
        </w:rPr>
        <w:t xml:space="preserve"> </w:t>
      </w:r>
      <w:r w:rsidR="000F3142">
        <w:rPr>
          <w:lang w:val="en-GB"/>
        </w:rPr>
        <w:t>This section</w:t>
      </w:r>
      <w:r w:rsidR="00085270">
        <w:rPr>
          <w:lang w:val="en-GB"/>
        </w:rPr>
        <w:t xml:space="preserve"> contends</w:t>
      </w:r>
      <w:r w:rsidR="00823A16">
        <w:rPr>
          <w:lang w:val="en-GB"/>
        </w:rPr>
        <w:t xml:space="preserve"> that UGC should be viewed as </w:t>
      </w:r>
      <w:r w:rsidR="00174C67">
        <w:rPr>
          <w:lang w:val="en-GB"/>
        </w:rPr>
        <w:t>such a process</w:t>
      </w:r>
      <w:r w:rsidR="009F133F">
        <w:rPr>
          <w:lang w:val="en-GB"/>
        </w:rPr>
        <w:t xml:space="preserve"> which requires the horizontal </w:t>
      </w:r>
      <w:r w:rsidR="00DA76AD">
        <w:rPr>
          <w:lang w:val="en-GB"/>
        </w:rPr>
        <w:t xml:space="preserve">application of fundamental rights to </w:t>
      </w:r>
      <w:r w:rsidR="004A3320">
        <w:rPr>
          <w:lang w:val="en-GB"/>
        </w:rPr>
        <w:t>safeguard creativity</w:t>
      </w:r>
      <w:r w:rsidR="004303B1">
        <w:rPr>
          <w:lang w:val="en-GB"/>
        </w:rPr>
        <w:t>.</w:t>
      </w:r>
    </w:p>
    <w:p w14:paraId="2261C60A" w14:textId="7A5F6512" w:rsidR="00732F91" w:rsidRDefault="00BC77F5" w:rsidP="00BC77F5">
      <w:pPr>
        <w:pStyle w:val="TextBeitragab2Absatz"/>
        <w:jc w:val="both"/>
        <w:rPr>
          <w:lang w:val="en-GB"/>
        </w:rPr>
      </w:pPr>
      <w:r>
        <w:rPr>
          <w:lang w:val="en-GB"/>
        </w:rPr>
        <w:t>The theory of societal constitutionalism has been used to analyse the application of fundamental rights beyond the state</w:t>
      </w:r>
      <w:r w:rsidR="003833EC">
        <w:rPr>
          <w:lang w:val="en-GB"/>
        </w:rPr>
        <w:t>,</w:t>
      </w:r>
      <w:r>
        <w:rPr>
          <w:rStyle w:val="FootnoteReference"/>
          <w:lang w:val="en-GB"/>
        </w:rPr>
        <w:footnoteReference w:id="76"/>
      </w:r>
      <w:r w:rsidR="003833EC">
        <w:rPr>
          <w:lang w:val="en-GB"/>
        </w:rPr>
        <w:t xml:space="preserve"> particularly in a transnational context.</w:t>
      </w:r>
      <w:r>
        <w:rPr>
          <w:lang w:val="en-GB"/>
        </w:rPr>
        <w:t xml:space="preserve"> </w:t>
      </w:r>
      <w:r w:rsidR="00732F91">
        <w:rPr>
          <w:lang w:val="en-GB"/>
        </w:rPr>
        <w:t>It</w:t>
      </w:r>
      <w:r>
        <w:rPr>
          <w:lang w:val="en-GB"/>
        </w:rPr>
        <w:t xml:space="preserve"> requires focusing on the fragmentation of contemporary societies</w:t>
      </w:r>
      <w:r w:rsidR="00732F91">
        <w:rPr>
          <w:lang w:val="en-GB"/>
        </w:rPr>
        <w:t xml:space="preserve"> in the context of creativity on platforms. This involves recognizing the interaction of layers of societal constitutions constructed from various </w:t>
      </w:r>
      <w:r w:rsidR="008D3060">
        <w:rPr>
          <w:lang w:val="en-GB"/>
        </w:rPr>
        <w:t xml:space="preserve">sub-systems, namely the legal and artistic systems. Given the increasing expansion of exploiters’ rights and status within the EU copyright system and its impact on creativity online, societal constitutionalism necessitates the horizontal application of fundamental rights </w:t>
      </w:r>
      <w:r w:rsidR="003833EC">
        <w:rPr>
          <w:lang w:val="en-GB"/>
        </w:rPr>
        <w:t>in a manner that supports self-regulation of UGC.</w:t>
      </w:r>
    </w:p>
    <w:p w14:paraId="77745201" w14:textId="5C3EAA8A" w:rsidR="0010390F" w:rsidRPr="006D3CB9" w:rsidRDefault="004303B1" w:rsidP="00AC43BF">
      <w:pPr>
        <w:pStyle w:val="TextBeitragab2Absatz"/>
        <w:jc w:val="both"/>
        <w:rPr>
          <w:lang w:val="en-GB"/>
        </w:rPr>
      </w:pPr>
      <w:r>
        <w:rPr>
          <w:lang w:val="en-GB"/>
        </w:rPr>
        <w:t xml:space="preserve">A bottom-up approach </w:t>
      </w:r>
      <w:r w:rsidR="00F10DBD">
        <w:rPr>
          <w:lang w:val="en-GB"/>
        </w:rPr>
        <w:t xml:space="preserve">would imply that </w:t>
      </w:r>
      <w:r w:rsidR="00BB6FAB">
        <w:rPr>
          <w:lang w:val="en-GB"/>
        </w:rPr>
        <w:t xml:space="preserve">UGC </w:t>
      </w:r>
      <w:r w:rsidR="003833EC">
        <w:rPr>
          <w:lang w:val="en-GB"/>
        </w:rPr>
        <w:t>needs</w:t>
      </w:r>
      <w:r w:rsidR="00BB6FAB">
        <w:rPr>
          <w:lang w:val="en-GB"/>
        </w:rPr>
        <w:t xml:space="preserve"> access to platforms as a pre-condition for users’ creativity and artistic communication online</w:t>
      </w:r>
      <w:r w:rsidR="002C3F6F">
        <w:rPr>
          <w:lang w:val="en-GB"/>
        </w:rPr>
        <w:t>, supported by freedom of expression.</w:t>
      </w:r>
      <w:r w:rsidR="003833EC">
        <w:rPr>
          <w:rStyle w:val="FootnoteReference"/>
          <w:lang w:val="en-GB"/>
        </w:rPr>
        <w:footnoteReference w:id="77"/>
      </w:r>
      <w:r w:rsidR="00AC43BF">
        <w:rPr>
          <w:lang w:val="en-GB"/>
        </w:rPr>
        <w:t xml:space="preserve"> </w:t>
      </w:r>
      <w:r w:rsidR="0010390F">
        <w:rPr>
          <w:lang w:val="en-GB"/>
        </w:rPr>
        <w:t>It also complements the contractual relationship between users and platforms. As they are reliant on users to upload content and engage in discussion with others, platforms benefit from users uploading UGC.</w:t>
      </w:r>
      <w:r w:rsidR="0010390F">
        <w:rPr>
          <w:rStyle w:val="FootnoteReference"/>
          <w:lang w:val="en-GB"/>
        </w:rPr>
        <w:footnoteReference w:id="78"/>
      </w:r>
      <w:r w:rsidR="0010390F">
        <w:rPr>
          <w:lang w:val="en-GB"/>
        </w:rPr>
        <w:t xml:space="preserve"> The fundamental right to conduct a business additionally provides support to UGC communities as it could be applied indirectly to platforms similarly to </w:t>
      </w:r>
      <w:r w:rsidR="0010390F">
        <w:rPr>
          <w:i/>
          <w:iCs/>
          <w:lang w:val="en-GB"/>
        </w:rPr>
        <w:t xml:space="preserve">Fraport </w:t>
      </w:r>
      <w:r w:rsidR="0010390F">
        <w:rPr>
          <w:lang w:val="en-GB"/>
        </w:rPr>
        <w:t xml:space="preserve">and </w:t>
      </w:r>
      <w:proofErr w:type="spellStart"/>
      <w:r w:rsidR="0010390F">
        <w:rPr>
          <w:i/>
          <w:iCs/>
          <w:lang w:val="en-GB"/>
        </w:rPr>
        <w:t>Stadionverbot</w:t>
      </w:r>
      <w:proofErr w:type="spellEnd"/>
      <w:r w:rsidR="0010390F">
        <w:rPr>
          <w:i/>
          <w:iCs/>
          <w:lang w:val="en-GB"/>
        </w:rPr>
        <w:t xml:space="preserve"> </w:t>
      </w:r>
      <w:r w:rsidR="0010390F">
        <w:rPr>
          <w:lang w:val="en-GB"/>
        </w:rPr>
        <w:t>to support their role as a public space for artistic communication.</w:t>
      </w:r>
      <w:r w:rsidR="0010390F">
        <w:rPr>
          <w:rStyle w:val="FootnoteReference"/>
          <w:lang w:val="en-GB"/>
        </w:rPr>
        <w:footnoteReference w:id="79"/>
      </w:r>
    </w:p>
    <w:p w14:paraId="29CFA896" w14:textId="5CB3316C" w:rsidR="00E74E7C" w:rsidRPr="00E74E7C" w:rsidRDefault="00DC56C6" w:rsidP="00B20318">
      <w:pPr>
        <w:pStyle w:val="TextBeitrag1Absatz"/>
        <w:ind w:firstLine="227"/>
        <w:jc w:val="both"/>
        <w:rPr>
          <w:lang w:val="en-GB"/>
        </w:rPr>
      </w:pPr>
      <w:r>
        <w:rPr>
          <w:lang w:val="en-GB"/>
        </w:rPr>
        <w:t>The provision of this wider access right t</w:t>
      </w:r>
      <w:r w:rsidR="004308E4">
        <w:rPr>
          <w:lang w:val="en-GB"/>
        </w:rPr>
        <w:t>o platforms would affirm the normative expectations of creative reuse within cumulative and collaborative communities online</w:t>
      </w:r>
      <w:r w:rsidR="007F2E7D">
        <w:rPr>
          <w:lang w:val="en-GB"/>
        </w:rPr>
        <w:t>,</w:t>
      </w:r>
      <w:r w:rsidR="007F2E7D">
        <w:rPr>
          <w:rStyle w:val="FootnoteReference"/>
          <w:lang w:val="en-GB"/>
        </w:rPr>
        <w:footnoteReference w:id="80"/>
      </w:r>
      <w:r w:rsidR="007F2E7D">
        <w:rPr>
          <w:lang w:val="en-GB"/>
        </w:rPr>
        <w:t xml:space="preserve"> ensuring they are reflected in the law.</w:t>
      </w:r>
      <w:r w:rsidR="007F2E7D" w:rsidRPr="0003535F">
        <w:rPr>
          <w:vertAlign w:val="superscript"/>
          <w:lang w:val="en-GB"/>
        </w:rPr>
        <w:footnoteReference w:id="81"/>
      </w:r>
      <w:r w:rsidR="00F15EC4">
        <w:rPr>
          <w:lang w:val="en-GB"/>
        </w:rPr>
        <w:t xml:space="preserve"> It reflects a central tenet of system theory that, “if </w:t>
      </w:r>
      <w:r w:rsidR="00E74E7C" w:rsidRPr="00E74E7C">
        <w:rPr>
          <w:lang w:val="en-GB"/>
        </w:rPr>
        <w:t>society evolves to changes in law, and vice versa, then law and society must co-exist in an evolving system. Each needs the other to define itself”.</w:t>
      </w:r>
      <w:r w:rsidR="00E74E7C" w:rsidRPr="00FF3EA5">
        <w:rPr>
          <w:vertAlign w:val="superscript"/>
          <w:lang w:val="en-GB"/>
        </w:rPr>
        <w:footnoteReference w:id="82"/>
      </w:r>
      <w:r w:rsidR="00E74E7C" w:rsidRPr="00E74E7C">
        <w:rPr>
          <w:lang w:val="en-GB"/>
        </w:rPr>
        <w:t xml:space="preserve"> It aptly describes the monumental shift regarding creativity online where users no longer adopt a passive </w:t>
      </w:r>
      <w:r w:rsidR="00E74E7C" w:rsidRPr="00E74E7C">
        <w:rPr>
          <w:lang w:val="en-GB"/>
        </w:rPr>
        <w:lastRenderedPageBreak/>
        <w:t>role, but enthusiastically participate</w:t>
      </w:r>
      <w:r w:rsidR="003B29A1">
        <w:rPr>
          <w:lang w:val="en-GB"/>
        </w:rPr>
        <w:t xml:space="preserve"> by</w:t>
      </w:r>
      <w:r w:rsidR="00E74E7C" w:rsidRPr="00E74E7C">
        <w:rPr>
          <w:lang w:val="en-GB"/>
        </w:rPr>
        <w:t xml:space="preserve"> creating their own </w:t>
      </w:r>
      <w:r w:rsidR="003B29A1">
        <w:rPr>
          <w:lang w:val="en-GB"/>
        </w:rPr>
        <w:t xml:space="preserve">remixed </w:t>
      </w:r>
      <w:r w:rsidR="00E74E7C" w:rsidRPr="00E74E7C">
        <w:rPr>
          <w:lang w:val="en-GB"/>
        </w:rPr>
        <w:t xml:space="preserve">content. </w:t>
      </w:r>
      <w:r w:rsidR="00C8105C">
        <w:rPr>
          <w:lang w:val="en-GB"/>
        </w:rPr>
        <w:t>As this article will explore in Part C, t</w:t>
      </w:r>
      <w:r w:rsidR="00E74E7C" w:rsidRPr="00E74E7C">
        <w:rPr>
          <w:lang w:val="en-GB"/>
        </w:rPr>
        <w:t xml:space="preserve">his creativity currently conflicts with the law as recent EU legislative approaches find the communication of this creativity unlawful, particularly through </w:t>
      </w:r>
      <w:r w:rsidR="00C8105C">
        <w:rPr>
          <w:lang w:val="en-GB"/>
        </w:rPr>
        <w:t>a</w:t>
      </w:r>
      <w:r w:rsidR="00E74E7C" w:rsidRPr="00E74E7C">
        <w:rPr>
          <w:lang w:val="en-GB"/>
        </w:rPr>
        <w:t xml:space="preserve"> textual implementation of art. 17 DSM Directive. </w:t>
      </w:r>
      <w:r w:rsidR="00C8105C">
        <w:rPr>
          <w:lang w:val="en-GB"/>
        </w:rPr>
        <w:t xml:space="preserve">Yet </w:t>
      </w:r>
      <w:r w:rsidR="00E74E7C" w:rsidRPr="00E74E7C">
        <w:rPr>
          <w:lang w:val="en-GB"/>
        </w:rPr>
        <w:t xml:space="preserve">systems theory would </w:t>
      </w:r>
      <w:r w:rsidR="00F15EC4">
        <w:rPr>
          <w:lang w:val="en-GB"/>
        </w:rPr>
        <w:t xml:space="preserve">suggest that </w:t>
      </w:r>
      <w:r w:rsidR="00E74E7C" w:rsidRPr="00E74E7C">
        <w:rPr>
          <w:lang w:val="en-GB"/>
        </w:rPr>
        <w:t>E</w:t>
      </w:r>
      <w:r w:rsidR="00C8105C">
        <w:rPr>
          <w:lang w:val="en-GB"/>
        </w:rPr>
        <w:t>U</w:t>
      </w:r>
      <w:r w:rsidR="00E74E7C" w:rsidRPr="00E74E7C">
        <w:rPr>
          <w:lang w:val="en-GB"/>
        </w:rPr>
        <w:t xml:space="preserve"> copyright law requires reshaping to </w:t>
      </w:r>
      <w:r w:rsidR="007A5B75">
        <w:rPr>
          <w:lang w:val="en-GB"/>
        </w:rPr>
        <w:t>safeguard</w:t>
      </w:r>
      <w:r w:rsidR="00E74E7C" w:rsidRPr="00E74E7C">
        <w:rPr>
          <w:lang w:val="en-GB"/>
        </w:rPr>
        <w:t xml:space="preserve"> creativity online. </w:t>
      </w:r>
    </w:p>
    <w:p w14:paraId="0FF1B0BC" w14:textId="032D088D" w:rsidR="00E74E7C" w:rsidRPr="00E74E7C" w:rsidRDefault="00E74E7C" w:rsidP="00C32024">
      <w:pPr>
        <w:pStyle w:val="TextBeitrag1Absatz"/>
        <w:ind w:firstLine="227"/>
        <w:jc w:val="both"/>
        <w:rPr>
          <w:lang w:val="en-GB"/>
        </w:rPr>
      </w:pPr>
      <w:r w:rsidRPr="00E74E7C">
        <w:rPr>
          <w:lang w:val="en-GB"/>
        </w:rPr>
        <w:t>The mismatch between the function of exploitation rights to prevent competing uses and the justification for UGC to benefit from comprehensive safeguards amount</w:t>
      </w:r>
      <w:r w:rsidR="001B1FE7">
        <w:rPr>
          <w:lang w:val="en-GB"/>
        </w:rPr>
        <w:t>s</w:t>
      </w:r>
      <w:r w:rsidRPr="00E74E7C">
        <w:rPr>
          <w:lang w:val="en-GB"/>
        </w:rPr>
        <w:t xml:space="preserve"> to the law being normatively re-ordered. This </w:t>
      </w:r>
      <w:r w:rsidR="00BA4C75">
        <w:rPr>
          <w:lang w:val="en-GB"/>
        </w:rPr>
        <w:t>article</w:t>
      </w:r>
      <w:r w:rsidRPr="00E74E7C">
        <w:rPr>
          <w:lang w:val="en-GB"/>
        </w:rPr>
        <w:t xml:space="preserve"> contends, that the creation of a wider right of access would reshape the E</w:t>
      </w:r>
      <w:r w:rsidR="008025AE">
        <w:rPr>
          <w:lang w:val="en-GB"/>
        </w:rPr>
        <w:t>U</w:t>
      </w:r>
      <w:r w:rsidRPr="00E74E7C">
        <w:rPr>
          <w:lang w:val="en-GB"/>
        </w:rPr>
        <w:t xml:space="preserve"> copyright law in a manner that reflects creativity occurring in communities and its self-regulation online, but also temper the continuing extension of the </w:t>
      </w:r>
      <w:r w:rsidR="002F3CD5">
        <w:rPr>
          <w:lang w:val="en-GB"/>
        </w:rPr>
        <w:t>exploitation rights</w:t>
      </w:r>
      <w:r w:rsidRPr="00E74E7C">
        <w:rPr>
          <w:lang w:val="en-GB"/>
        </w:rPr>
        <w:t xml:space="preserve"> by strengthening user rights. Such an approach would ultimately create a more balanced environment in which E</w:t>
      </w:r>
      <w:r w:rsidR="00BA4C75">
        <w:rPr>
          <w:lang w:val="en-GB"/>
        </w:rPr>
        <w:t>U</w:t>
      </w:r>
      <w:r w:rsidRPr="00E74E7C">
        <w:rPr>
          <w:lang w:val="en-GB"/>
        </w:rPr>
        <w:t xml:space="preserve"> copyright law functions to support creativity. It would allow users to upload subsequent creative uses online, sparking discussion and future creation. These are features that are central within remix culture which are not addressed by the EU legislator.</w:t>
      </w:r>
      <w:r w:rsidRPr="00BA4C75">
        <w:rPr>
          <w:vertAlign w:val="superscript"/>
          <w:lang w:val="en-GB"/>
        </w:rPr>
        <w:footnoteReference w:id="83"/>
      </w:r>
      <w:r w:rsidRPr="00BA4C75">
        <w:rPr>
          <w:vertAlign w:val="superscript"/>
          <w:lang w:val="en-GB"/>
        </w:rPr>
        <w:t xml:space="preserve"> </w:t>
      </w:r>
    </w:p>
    <w:p w14:paraId="4615CBF4" w14:textId="25318F77" w:rsidR="00E74E7C" w:rsidRDefault="00E74E7C" w:rsidP="00AC43BF">
      <w:pPr>
        <w:pStyle w:val="TextBeitrag1Absatz"/>
        <w:ind w:firstLine="227"/>
        <w:jc w:val="both"/>
        <w:rPr>
          <w:lang w:val="en-GB"/>
        </w:rPr>
      </w:pPr>
      <w:r w:rsidRPr="00E74E7C">
        <w:rPr>
          <w:lang w:val="en-GB"/>
        </w:rPr>
        <w:t>It would ultimately rebalance what some commentary refers to as the tension between “free culture” and “permission culture” where the latter only allows “creators… to create with permission of the powerful, or of creators from the past”</w:t>
      </w:r>
      <w:r w:rsidRPr="00BA4C75">
        <w:rPr>
          <w:vertAlign w:val="superscript"/>
          <w:lang w:val="en-GB"/>
        </w:rPr>
        <w:footnoteReference w:id="84"/>
      </w:r>
      <w:r w:rsidRPr="00E74E7C">
        <w:rPr>
          <w:lang w:val="en-GB"/>
        </w:rPr>
        <w:t xml:space="preserve">. </w:t>
      </w:r>
      <w:r w:rsidR="00AC43BF">
        <w:rPr>
          <w:lang w:val="en-GB"/>
        </w:rPr>
        <w:t>A wider right of access to platforms, for the purpose of creativity, supported by freedom of expression and the right to conduct a business, could provide the foundation to challenge the “traditional permission rule”, so long as there are mechanisms providing an economic incentive to create and an apportionment of profits</w:t>
      </w:r>
      <w:r w:rsidR="00AC43BF">
        <w:rPr>
          <w:rStyle w:val="FootnoteReference"/>
          <w:lang w:val="en-GB"/>
        </w:rPr>
        <w:footnoteReference w:id="85"/>
      </w:r>
      <w:r w:rsidR="00AC43BF">
        <w:rPr>
          <w:lang w:val="en-GB"/>
        </w:rPr>
        <w:t>. This article suggests that authorial consent and authorial remuneration provides a helpful starting point for building this wider right of access.</w:t>
      </w:r>
    </w:p>
    <w:p w14:paraId="01A70C60" w14:textId="450FD2B8" w:rsidR="009D230C" w:rsidRPr="00E6070F" w:rsidRDefault="00E6070F" w:rsidP="009D230C">
      <w:pPr>
        <w:pStyle w:val="TextBeitragab2Absatz"/>
        <w:jc w:val="both"/>
        <w:rPr>
          <w:lang w:val="en-GB"/>
        </w:rPr>
      </w:pPr>
      <w:r>
        <w:rPr>
          <w:lang w:val="en-GB"/>
        </w:rPr>
        <w:t xml:space="preserve">A genuine counter-right to the EU copyright system which safeguards creative access to platforms, namely for artistic communication, </w:t>
      </w:r>
      <w:r w:rsidR="009D230C">
        <w:rPr>
          <w:lang w:val="en-GB"/>
        </w:rPr>
        <w:t>should be applied to platforms. The essential creative spaces provided on platforms require the indirect application of fundamental rights to compel access for users.</w:t>
      </w:r>
      <w:r w:rsidR="009D230C">
        <w:rPr>
          <w:rStyle w:val="FootnoteReference"/>
          <w:lang w:val="en-GB"/>
        </w:rPr>
        <w:footnoteReference w:id="86"/>
      </w:r>
      <w:r w:rsidR="00190DDD">
        <w:rPr>
          <w:lang w:val="en-GB"/>
        </w:rPr>
        <w:t xml:space="preserve"> This characterization of freedom of expression as an </w:t>
      </w:r>
      <w:r w:rsidR="00E73C11">
        <w:rPr>
          <w:lang w:val="en-GB"/>
        </w:rPr>
        <w:t xml:space="preserve">institutional right of access protects the integrity of art against the increasing constitutional </w:t>
      </w:r>
      <w:proofErr w:type="spellStart"/>
      <w:r w:rsidR="00E73C11">
        <w:rPr>
          <w:lang w:val="en-GB"/>
        </w:rPr>
        <w:t>propertization</w:t>
      </w:r>
      <w:proofErr w:type="spellEnd"/>
      <w:r w:rsidR="00E73C11">
        <w:rPr>
          <w:lang w:val="en-GB"/>
        </w:rPr>
        <w:t xml:space="preserve"> of EU copyright law and status of exploiters.</w:t>
      </w:r>
      <w:r w:rsidR="00E73C11">
        <w:rPr>
          <w:rStyle w:val="FootnoteReference"/>
          <w:lang w:val="en-GB"/>
        </w:rPr>
        <w:footnoteReference w:id="87"/>
      </w:r>
      <w:r w:rsidR="00E73C11">
        <w:rPr>
          <w:lang w:val="en-GB"/>
        </w:rPr>
        <w:t xml:space="preserve"> Such an approach to platform regulation would constitutionally guarantee and safeguard creativity online.</w:t>
      </w:r>
    </w:p>
    <w:p w14:paraId="4A5F5B51" w14:textId="77777777" w:rsidR="00236E7E" w:rsidRPr="00F40F8F" w:rsidRDefault="00236E7E" w:rsidP="00236E7E">
      <w:pPr>
        <w:pStyle w:val="Heading2"/>
        <w:jc w:val="both"/>
        <w:rPr>
          <w:lang w:val="en-GB"/>
        </w:rPr>
      </w:pPr>
      <w:bookmarkStart w:id="8" w:name="_Toc157606435"/>
      <w:r>
        <w:rPr>
          <w:lang w:val="en-GB"/>
        </w:rPr>
        <w:t>Conclusion</w:t>
      </w:r>
      <w:bookmarkEnd w:id="8"/>
    </w:p>
    <w:p w14:paraId="05CE2D76" w14:textId="40952894" w:rsidR="000801DB" w:rsidRDefault="000801DB" w:rsidP="00184D00">
      <w:pPr>
        <w:pStyle w:val="TextBeitragab2Absatz"/>
        <w:jc w:val="both"/>
        <w:rPr>
          <w:lang w:val="en-GB"/>
        </w:rPr>
      </w:pPr>
      <w:r>
        <w:rPr>
          <w:lang w:val="en-GB"/>
        </w:rPr>
        <w:t>In response to the inability of the EU copyright system to adequately safeguard creativity online, in most part due to art. 17 DSM Directive, in Part B the argument is made that platforms</w:t>
      </w:r>
      <w:r w:rsidR="00874C84">
        <w:rPr>
          <w:lang w:val="en-GB"/>
        </w:rPr>
        <w:t xml:space="preserve"> should be subject to fundamental rights.</w:t>
      </w:r>
      <w:r w:rsidR="00184D00">
        <w:rPr>
          <w:lang w:val="en-GB"/>
        </w:rPr>
        <w:t xml:space="preserve"> Drawing from the doctrine of indirect effect, this article contends that platforms are akin to public forums where access is necessary given the essential nature of the digital space provided for </w:t>
      </w:r>
      <w:r w:rsidR="00BC77F5">
        <w:rPr>
          <w:lang w:val="en-GB"/>
        </w:rPr>
        <w:t xml:space="preserve">creative reuse. As applied in </w:t>
      </w:r>
      <w:proofErr w:type="spellStart"/>
      <w:r w:rsidR="00BC77F5">
        <w:rPr>
          <w:i/>
          <w:iCs/>
          <w:lang w:val="en-GB"/>
        </w:rPr>
        <w:t>Stadionverbot</w:t>
      </w:r>
      <w:proofErr w:type="spellEnd"/>
      <w:r w:rsidR="00BC77F5">
        <w:rPr>
          <w:lang w:val="en-GB"/>
        </w:rPr>
        <w:t>, for users to take part in societal life, namely creativity, access to platforms for the purpose of artistic communication is necessary.</w:t>
      </w:r>
    </w:p>
    <w:p w14:paraId="29128468" w14:textId="68FDF0C1" w:rsidR="00973800" w:rsidRDefault="00BC77F5" w:rsidP="00973800">
      <w:pPr>
        <w:pStyle w:val="TextBeitragab2Absatz"/>
        <w:jc w:val="both"/>
        <w:rPr>
          <w:lang w:val="en-GB"/>
        </w:rPr>
      </w:pPr>
      <w:r>
        <w:rPr>
          <w:lang w:val="en-GB"/>
        </w:rPr>
        <w:lastRenderedPageBreak/>
        <w:t>Part B has attempted to structure this inclusive right of access to platforms through the concept of societal constitutionalism.</w:t>
      </w:r>
      <w:r w:rsidR="00973800">
        <w:rPr>
          <w:lang w:val="en-GB"/>
        </w:rPr>
        <w:t xml:space="preserve"> It advocates an approach which builds from the cumulative and collaborative nature of UCG shared on platforms, a creative sub-system ordered through self-regulation relating to creative reuse. The article proposes that a</w:t>
      </w:r>
      <w:r w:rsidR="009C6D59" w:rsidRPr="00E74E7C">
        <w:rPr>
          <w:lang w:val="en-GB"/>
        </w:rPr>
        <w:t xml:space="preserve"> counter-right </w:t>
      </w:r>
      <w:r w:rsidR="00973800">
        <w:rPr>
          <w:lang w:val="en-GB"/>
        </w:rPr>
        <w:t>is needed, supported by freedom of expression and the right to conduct a business, to ensure that a core norm of UGC, access to platforms for the purpose of artistic communication, is safeguarded. D</w:t>
      </w:r>
      <w:r w:rsidR="009C6D59" w:rsidRPr="00E74E7C">
        <w:rPr>
          <w:lang w:val="en-GB"/>
        </w:rPr>
        <w:t xml:space="preserve">elineating a point of departure </w:t>
      </w:r>
      <w:r w:rsidR="00973800">
        <w:rPr>
          <w:lang w:val="en-GB"/>
        </w:rPr>
        <w:t xml:space="preserve">from the EU copyright system, a wider access right would account for </w:t>
      </w:r>
      <w:r w:rsidR="009C6D59" w:rsidRPr="00E74E7C">
        <w:rPr>
          <w:lang w:val="en-GB"/>
        </w:rPr>
        <w:t>the nature of creativity occurring online.</w:t>
      </w:r>
    </w:p>
    <w:p w14:paraId="6BEDFFFB" w14:textId="0BE8961F" w:rsidR="009C6D59" w:rsidRDefault="00973800" w:rsidP="00973800">
      <w:pPr>
        <w:pStyle w:val="TextBeitragab2Absatz"/>
        <w:jc w:val="both"/>
        <w:rPr>
          <w:lang w:val="en-GB"/>
        </w:rPr>
      </w:pPr>
      <w:r>
        <w:rPr>
          <w:lang w:val="en-GB"/>
        </w:rPr>
        <w:t>While it was proposed ne</w:t>
      </w:r>
      <w:r w:rsidR="009C6D59" w:rsidRPr="00E74E7C">
        <w:rPr>
          <w:lang w:val="en-GB"/>
        </w:rPr>
        <w:t xml:space="preserve">arly two decades ago </w:t>
      </w:r>
      <w:r w:rsidR="001B1FE7">
        <w:rPr>
          <w:lang w:val="en-GB"/>
        </w:rPr>
        <w:t xml:space="preserve">by </w:t>
      </w:r>
      <w:r w:rsidR="009C6D59" w:rsidRPr="00E74E7C">
        <w:rPr>
          <w:lang w:val="en-GB"/>
        </w:rPr>
        <w:t xml:space="preserve">commentary that society was on the cusp of a monumental change </w:t>
      </w:r>
      <w:r>
        <w:rPr>
          <w:lang w:val="en-GB"/>
        </w:rPr>
        <w:t xml:space="preserve">as </w:t>
      </w:r>
      <w:r w:rsidR="009C6D59" w:rsidRPr="00E74E7C">
        <w:rPr>
          <w:lang w:val="en-GB"/>
        </w:rPr>
        <w:t>“[d]</w:t>
      </w:r>
      <w:proofErr w:type="spellStart"/>
      <w:r w:rsidR="009C6D59" w:rsidRPr="00E74E7C">
        <w:rPr>
          <w:lang w:val="en-GB"/>
        </w:rPr>
        <w:t>igital</w:t>
      </w:r>
      <w:proofErr w:type="spellEnd"/>
      <w:r w:rsidR="009C6D59" w:rsidRPr="00E74E7C">
        <w:rPr>
          <w:lang w:val="en-GB"/>
        </w:rPr>
        <w:t xml:space="preserve"> technology could radically expand the range of “creators” who participate in the remix of culture,”</w:t>
      </w:r>
      <w:r w:rsidR="009C6D59" w:rsidRPr="00BA4C75">
        <w:rPr>
          <w:vertAlign w:val="superscript"/>
          <w:lang w:val="en-GB"/>
        </w:rPr>
        <w:footnoteReference w:id="88"/>
      </w:r>
      <w:r w:rsidR="009C6D59" w:rsidRPr="00E74E7C">
        <w:rPr>
          <w:lang w:val="en-GB"/>
        </w:rPr>
        <w:t xml:space="preserve"> it seems that</w:t>
      </w:r>
      <w:r>
        <w:rPr>
          <w:lang w:val="en-GB"/>
        </w:rPr>
        <w:t xml:space="preserve"> the impact of technology, particularly i</w:t>
      </w:r>
      <w:r w:rsidR="00D627D7">
        <w:rPr>
          <w:lang w:val="en-GB"/>
        </w:rPr>
        <w:t>t</w:t>
      </w:r>
      <w:r>
        <w:rPr>
          <w:lang w:val="en-GB"/>
        </w:rPr>
        <w:t xml:space="preserve">s regulation, is only beginning to be ascertained. Considering the gross impact that platform regulation has on creativity online, namely artistic communication, there is a clear need for the law to support the development of a counter-right to increasing </w:t>
      </w:r>
      <w:proofErr w:type="spellStart"/>
      <w:r>
        <w:rPr>
          <w:lang w:val="en-GB"/>
        </w:rPr>
        <w:t>propertisation</w:t>
      </w:r>
      <w:proofErr w:type="spellEnd"/>
      <w:r>
        <w:rPr>
          <w:lang w:val="en-GB"/>
        </w:rPr>
        <w:t>.</w:t>
      </w:r>
      <w:r w:rsidR="0040538F">
        <w:rPr>
          <w:lang w:val="en-GB"/>
        </w:rPr>
        <w:t xml:space="preserve"> While p</w:t>
      </w:r>
      <w:r>
        <w:rPr>
          <w:lang w:val="en-GB"/>
        </w:rPr>
        <w:t>art B suggests that the starting point for this discussion is by adopting a bottom-up approach that preferences consent and remuneration of authors for creative reuse</w:t>
      </w:r>
      <w:r w:rsidR="0040538F">
        <w:rPr>
          <w:lang w:val="en-GB"/>
        </w:rPr>
        <w:t xml:space="preserve">, the following section analyses the extent to which these concepts are implemented both </w:t>
      </w:r>
      <w:r w:rsidR="00E21A6E">
        <w:rPr>
          <w:lang w:val="en-GB"/>
        </w:rPr>
        <w:t>inside and outside</w:t>
      </w:r>
      <w:r w:rsidR="0040538F">
        <w:rPr>
          <w:lang w:val="en-GB"/>
        </w:rPr>
        <w:t xml:space="preserve"> the EU copyright system.</w:t>
      </w:r>
    </w:p>
    <w:p w14:paraId="67E077E4" w14:textId="75C6041E" w:rsidR="00F66870" w:rsidRDefault="00A116F2" w:rsidP="001E3C9A">
      <w:pPr>
        <w:pStyle w:val="Heading1"/>
        <w:jc w:val="both"/>
        <w:rPr>
          <w:lang w:val="en-GB"/>
        </w:rPr>
      </w:pPr>
      <w:bookmarkStart w:id="9" w:name="_Toc157606436"/>
      <w:r>
        <w:rPr>
          <w:lang w:val="en-GB"/>
        </w:rPr>
        <w:t xml:space="preserve">Current EU </w:t>
      </w:r>
      <w:r w:rsidR="00D97D00">
        <w:rPr>
          <w:lang w:val="en-GB"/>
        </w:rPr>
        <w:t>regulatory</w:t>
      </w:r>
      <w:r w:rsidR="00EE441C">
        <w:rPr>
          <w:lang w:val="en-GB"/>
        </w:rPr>
        <w:t xml:space="preserve"> </w:t>
      </w:r>
      <w:r w:rsidR="00B140E8">
        <w:rPr>
          <w:lang w:val="en-GB"/>
        </w:rPr>
        <w:t xml:space="preserve">landscape to </w:t>
      </w:r>
      <w:r w:rsidR="00EE441C">
        <w:rPr>
          <w:lang w:val="en-GB"/>
        </w:rPr>
        <w:t>safeguard</w:t>
      </w:r>
      <w:r>
        <w:rPr>
          <w:lang w:val="en-GB"/>
        </w:rPr>
        <w:t xml:space="preserve"> creativity</w:t>
      </w:r>
      <w:r w:rsidR="00884487">
        <w:rPr>
          <w:lang w:val="en-GB"/>
        </w:rPr>
        <w:t xml:space="preserve"> online</w:t>
      </w:r>
      <w:bookmarkEnd w:id="9"/>
    </w:p>
    <w:p w14:paraId="712CE6DF" w14:textId="77777777" w:rsidR="005C0667" w:rsidRDefault="00E21A6E" w:rsidP="005C0667">
      <w:pPr>
        <w:pStyle w:val="TextBeitrag1Absatz"/>
        <w:ind w:firstLine="227"/>
        <w:jc w:val="both"/>
        <w:rPr>
          <w:lang w:val="en-GB"/>
        </w:rPr>
      </w:pPr>
      <w:r>
        <w:rPr>
          <w:lang w:val="en-GB"/>
        </w:rPr>
        <w:t>Art.</w:t>
      </w:r>
      <w:r w:rsidRPr="00482B20">
        <w:rPr>
          <w:lang w:val="en-GB"/>
        </w:rPr>
        <w:t xml:space="preserve"> 17 DSM Directive </w:t>
      </w:r>
      <w:r w:rsidR="005C0667">
        <w:rPr>
          <w:lang w:val="en-GB"/>
        </w:rPr>
        <w:t xml:space="preserve">is the most recent legislative undertaking to protect copyright interests, namely exploiters, online. It </w:t>
      </w:r>
      <w:r w:rsidRPr="00482B20">
        <w:rPr>
          <w:lang w:val="en-GB"/>
        </w:rPr>
        <w:t xml:space="preserve">introduces platform liability for user uploads infringing </w:t>
      </w:r>
      <w:r>
        <w:rPr>
          <w:lang w:val="en-GB"/>
        </w:rPr>
        <w:t xml:space="preserve">EU </w:t>
      </w:r>
      <w:r w:rsidRPr="00482B20">
        <w:rPr>
          <w:lang w:val="en-GB"/>
        </w:rPr>
        <w:t>copyright</w:t>
      </w:r>
      <w:r>
        <w:rPr>
          <w:lang w:val="en-GB"/>
        </w:rPr>
        <w:t xml:space="preserve"> law by requiring</w:t>
      </w:r>
      <w:r w:rsidRPr="00482B20">
        <w:rPr>
          <w:lang w:val="en-GB"/>
        </w:rPr>
        <w:t xml:space="preserve"> online content-sharing service providers (OCSSPs) to make “best efforts” to obtain an authorisation for such uploads, or at the very least, to ensure the unavailability of such works once </w:t>
      </w:r>
      <w:proofErr w:type="spellStart"/>
      <w:r w:rsidRPr="00482B20">
        <w:rPr>
          <w:lang w:val="en-GB"/>
        </w:rPr>
        <w:t>rightholders</w:t>
      </w:r>
      <w:proofErr w:type="spellEnd"/>
      <w:r w:rsidRPr="00482B20">
        <w:rPr>
          <w:lang w:val="en-GB"/>
        </w:rPr>
        <w:t xml:space="preserve"> give notice. </w:t>
      </w:r>
      <w:r w:rsidR="005C0667">
        <w:rPr>
          <w:lang w:val="en-GB"/>
        </w:rPr>
        <w:t>U</w:t>
      </w:r>
      <w:r w:rsidRPr="00482B20">
        <w:rPr>
          <w:lang w:val="en-GB"/>
        </w:rPr>
        <w:t>ploads must be “acted expeditiously” upon by OCSSPs to “disable access to, or to remove from their websites, the notified works or other subject matter” as well as to prevent future uploads of the same kind.</w:t>
      </w:r>
    </w:p>
    <w:p w14:paraId="3AFC4642" w14:textId="46650FA3" w:rsidR="00C0094D" w:rsidRDefault="005C0667" w:rsidP="005C0667">
      <w:pPr>
        <w:pStyle w:val="TextBeitrag1Absatz"/>
        <w:ind w:firstLine="227"/>
        <w:jc w:val="both"/>
        <w:rPr>
          <w:lang w:val="en-GB"/>
        </w:rPr>
      </w:pPr>
      <w:r>
        <w:rPr>
          <w:lang w:val="en-GB"/>
        </w:rPr>
        <w:t xml:space="preserve">As this structure impairs creativity online, Part C begins by assessing whether </w:t>
      </w:r>
      <w:r w:rsidR="0082594D">
        <w:rPr>
          <w:lang w:val="en-GB"/>
        </w:rPr>
        <w:t>me</w:t>
      </w:r>
      <w:r>
        <w:rPr>
          <w:lang w:val="en-GB"/>
        </w:rPr>
        <w:t xml:space="preserve">mber state implementation of the users’ redress and complaint system sufficiently safeguards the crucial link between creative autonomy and artistic communication discussed in Part A. The discussion centres upon France and Germany’s implementation and </w:t>
      </w:r>
      <w:r w:rsidR="00953DA4">
        <w:rPr>
          <w:lang w:val="en-GB"/>
        </w:rPr>
        <w:t>the preference for UGC uploads to “stay up” or “stay down” during the redress and complaint process. Given the ambiguous nature of guidance for implementation and paradoxically, the lacking flexibility,</w:t>
      </w:r>
      <w:r w:rsidR="00953DA4">
        <w:rPr>
          <w:rStyle w:val="FootnoteReference"/>
          <w:lang w:val="en-GB"/>
        </w:rPr>
        <w:footnoteReference w:id="89"/>
      </w:r>
      <w:r w:rsidR="00953DA4">
        <w:rPr>
          <w:lang w:val="en-GB"/>
        </w:rPr>
        <w:t xml:space="preserve"> the article shifts to assess whether there are regulatory approaches to safeguarding creativity online beyond the EU copyright system.</w:t>
      </w:r>
    </w:p>
    <w:p w14:paraId="6CB25764" w14:textId="31A6961F" w:rsidR="000C2645" w:rsidRPr="000C2645" w:rsidRDefault="00953DA4" w:rsidP="00AD6EF9">
      <w:pPr>
        <w:pStyle w:val="TextBeitrag1Absatz"/>
        <w:ind w:firstLine="227"/>
        <w:jc w:val="both"/>
        <w:rPr>
          <w:lang w:val="en-GB"/>
        </w:rPr>
      </w:pPr>
      <w:r>
        <w:rPr>
          <w:lang w:val="en-GB"/>
        </w:rPr>
        <w:t xml:space="preserve">The Digital Services Act (DSA) </w:t>
      </w:r>
      <w:r w:rsidR="00953479">
        <w:rPr>
          <w:lang w:val="en-GB"/>
        </w:rPr>
        <w:t>represents a key milestone</w:t>
      </w:r>
      <w:r w:rsidR="00364117">
        <w:rPr>
          <w:lang w:val="en-GB"/>
        </w:rPr>
        <w:t xml:space="preserve"> in the </w:t>
      </w:r>
      <w:r w:rsidR="00E82F43">
        <w:rPr>
          <w:lang w:val="en-GB"/>
        </w:rPr>
        <w:t>EU platform regulatory landscape.</w:t>
      </w:r>
      <w:r w:rsidR="008B6B3F">
        <w:rPr>
          <w:lang w:val="en-GB"/>
        </w:rPr>
        <w:t xml:space="preserve"> A</w:t>
      </w:r>
      <w:r w:rsidR="000C2645" w:rsidRPr="00482B20">
        <w:rPr>
          <w:lang w:val="en-GB"/>
        </w:rPr>
        <w:t>dopted late in 2022, i</w:t>
      </w:r>
      <w:r w:rsidR="008B6B3F">
        <w:rPr>
          <w:lang w:val="en-GB"/>
        </w:rPr>
        <w:t>t i</w:t>
      </w:r>
      <w:r w:rsidR="000C2645" w:rsidRPr="00482B20">
        <w:rPr>
          <w:lang w:val="en-GB"/>
        </w:rPr>
        <w:t xml:space="preserve">s an EU regulation designed to modernise the e-Commerce Directive that provided safe harbours inter alia for platforms to escape copyright liability when users uploaded infringing </w:t>
      </w:r>
      <w:r w:rsidR="000C2645">
        <w:rPr>
          <w:lang w:val="en-GB"/>
        </w:rPr>
        <w:t xml:space="preserve">copyright </w:t>
      </w:r>
      <w:r w:rsidR="000C2645" w:rsidRPr="00482B20">
        <w:rPr>
          <w:lang w:val="en-GB"/>
        </w:rPr>
        <w:t>content.</w:t>
      </w:r>
      <w:r w:rsidR="000C2645">
        <w:rPr>
          <w:lang w:val="en-GB"/>
        </w:rPr>
        <w:t xml:space="preserve"> </w:t>
      </w:r>
      <w:r w:rsidR="00364117">
        <w:rPr>
          <w:lang w:val="en-GB"/>
        </w:rPr>
        <w:t xml:space="preserve">While the </w:t>
      </w:r>
      <w:r w:rsidR="00364117">
        <w:rPr>
          <w:i/>
          <w:iCs/>
          <w:lang w:val="en-GB"/>
        </w:rPr>
        <w:t xml:space="preserve">lex </w:t>
      </w:r>
      <w:proofErr w:type="spellStart"/>
      <w:r w:rsidR="00364117">
        <w:rPr>
          <w:i/>
          <w:iCs/>
          <w:lang w:val="en-GB"/>
        </w:rPr>
        <w:t>specialis</w:t>
      </w:r>
      <w:proofErr w:type="spellEnd"/>
      <w:r w:rsidR="00364117">
        <w:rPr>
          <w:i/>
          <w:iCs/>
          <w:lang w:val="en-GB"/>
        </w:rPr>
        <w:t xml:space="preserve"> </w:t>
      </w:r>
      <w:r w:rsidR="00364117">
        <w:rPr>
          <w:lang w:val="en-GB"/>
        </w:rPr>
        <w:t>nature of the DSA means that it applies to gaps within art. 17 DSM Directive or areas of member state discretion,</w:t>
      </w:r>
      <w:r w:rsidR="00364117">
        <w:rPr>
          <w:rStyle w:val="FootnoteReference"/>
          <w:lang w:val="en-GB"/>
        </w:rPr>
        <w:footnoteReference w:id="90"/>
      </w:r>
      <w:r w:rsidR="00364117">
        <w:rPr>
          <w:lang w:val="en-GB"/>
        </w:rPr>
        <w:t xml:space="preserve"> c</w:t>
      </w:r>
      <w:r w:rsidR="000C2645" w:rsidRPr="00482B20">
        <w:rPr>
          <w:lang w:val="en-GB"/>
        </w:rPr>
        <w:t xml:space="preserve">ommentary contends that the new DSA rules could </w:t>
      </w:r>
      <w:r w:rsidR="00364117">
        <w:rPr>
          <w:lang w:val="en-GB"/>
        </w:rPr>
        <w:t xml:space="preserve">still </w:t>
      </w:r>
      <w:r w:rsidR="000C2645" w:rsidRPr="00482B20">
        <w:rPr>
          <w:lang w:val="en-GB"/>
        </w:rPr>
        <w:t xml:space="preserve">potentially provide more guidance to the question of how to implement art. 17 </w:t>
      </w:r>
      <w:r w:rsidR="000C2645" w:rsidRPr="00482B20">
        <w:rPr>
          <w:lang w:val="en-GB"/>
        </w:rPr>
        <w:lastRenderedPageBreak/>
        <w:t>DSM Directive</w:t>
      </w:r>
      <w:r w:rsidR="00AD6EF9">
        <w:rPr>
          <w:lang w:val="en-GB"/>
        </w:rPr>
        <w:t>.</w:t>
      </w:r>
      <w:r w:rsidR="000C2645" w:rsidRPr="00C51DD3">
        <w:rPr>
          <w:vertAlign w:val="superscript"/>
          <w:lang w:val="en-GB"/>
        </w:rPr>
        <w:footnoteReference w:id="91"/>
      </w:r>
      <w:r w:rsidR="00AD6EF9">
        <w:rPr>
          <w:lang w:val="en-GB"/>
        </w:rPr>
        <w:t xml:space="preserve"> Part C will consider whether art. 14 DSA, relating to notice-and-action</w:t>
      </w:r>
      <w:r w:rsidR="00303815">
        <w:rPr>
          <w:lang w:val="en-GB"/>
        </w:rPr>
        <w:t>, provides the building blocks for the horizontal application of fundamental rights to safeguard creativity, akin to a wider right of access for the purpose of artistic communication.</w:t>
      </w:r>
    </w:p>
    <w:p w14:paraId="1AF56A8A" w14:textId="690D1A2F" w:rsidR="001458FA" w:rsidRPr="001458FA" w:rsidRDefault="007E5ECF" w:rsidP="001E3C9A">
      <w:pPr>
        <w:pStyle w:val="Heading2"/>
        <w:numPr>
          <w:ilvl w:val="0"/>
          <w:numId w:val="13"/>
        </w:numPr>
        <w:jc w:val="both"/>
        <w:rPr>
          <w:lang w:val="en-GB"/>
        </w:rPr>
      </w:pPr>
      <w:bookmarkStart w:id="10" w:name="_Toc157606437"/>
      <w:r>
        <w:rPr>
          <w:lang w:val="en-GB"/>
        </w:rPr>
        <w:t xml:space="preserve">Working inside EU copyright law: </w:t>
      </w:r>
      <w:r w:rsidR="00E21A6E">
        <w:rPr>
          <w:lang w:val="en-GB"/>
        </w:rPr>
        <w:t>A</w:t>
      </w:r>
      <w:r w:rsidR="003253E8">
        <w:rPr>
          <w:lang w:val="en-GB"/>
        </w:rPr>
        <w:t>rt</w:t>
      </w:r>
      <w:r w:rsidR="00AB24CF">
        <w:rPr>
          <w:lang w:val="en-GB"/>
        </w:rPr>
        <w:t>. 17</w:t>
      </w:r>
      <w:r w:rsidR="003253E8">
        <w:rPr>
          <w:lang w:val="en-GB"/>
        </w:rPr>
        <w:t xml:space="preserve"> DSM Directive</w:t>
      </w:r>
      <w:bookmarkEnd w:id="10"/>
    </w:p>
    <w:p w14:paraId="3FD4CB02" w14:textId="77777777" w:rsidR="003F772F" w:rsidRDefault="00DD01FB" w:rsidP="001A5D51">
      <w:pPr>
        <w:pStyle w:val="TextBeitrag1Absatz"/>
        <w:ind w:firstLine="227"/>
        <w:jc w:val="both"/>
        <w:rPr>
          <w:lang w:val="en-GB"/>
        </w:rPr>
      </w:pPr>
      <w:r w:rsidRPr="00482B20">
        <w:rPr>
          <w:lang w:val="en-GB"/>
        </w:rPr>
        <w:t xml:space="preserve">Given that OCSSPs’ liability hinges upon making best efforts to make the correct filtering decision, OCSSPs are almost incentivised by the Directive to adopt an approach which avoids liability, by refusing user uploads until they are verified. </w:t>
      </w:r>
      <w:r w:rsidR="003B6242">
        <w:rPr>
          <w:lang w:val="en-GB"/>
        </w:rPr>
        <w:t xml:space="preserve">This is only tempered with the requirements that </w:t>
      </w:r>
      <w:r>
        <w:rPr>
          <w:lang w:val="en-GB"/>
        </w:rPr>
        <w:t>non-infringing</w:t>
      </w:r>
      <w:r w:rsidRPr="00482B20">
        <w:rPr>
          <w:lang w:val="en-GB"/>
        </w:rPr>
        <w:t xml:space="preserve"> uploads should be uploaded, </w:t>
      </w:r>
      <w:r>
        <w:rPr>
          <w:lang w:val="en-GB"/>
        </w:rPr>
        <w:t>such as those</w:t>
      </w:r>
      <w:r w:rsidRPr="00482B20">
        <w:rPr>
          <w:lang w:val="en-GB"/>
        </w:rPr>
        <w:t xml:space="preserve"> covered by an exception or limitation</w:t>
      </w:r>
      <w:r w:rsidR="003B6242">
        <w:rPr>
          <w:lang w:val="en-GB"/>
        </w:rPr>
        <w:t>,</w:t>
      </w:r>
      <w:r w:rsidR="003B6242">
        <w:rPr>
          <w:rStyle w:val="FootnoteReference"/>
          <w:lang w:val="en-GB"/>
        </w:rPr>
        <w:footnoteReference w:id="92"/>
      </w:r>
      <w:r w:rsidR="003B6242">
        <w:rPr>
          <w:lang w:val="en-GB"/>
        </w:rPr>
        <w:t xml:space="preserve"> and implementation should not result </w:t>
      </w:r>
      <w:r w:rsidRPr="00482B20">
        <w:rPr>
          <w:lang w:val="en-GB"/>
        </w:rPr>
        <w:t>in a general monitoring obligation</w:t>
      </w:r>
      <w:r w:rsidR="003B6242" w:rsidRPr="0001541D">
        <w:rPr>
          <w:vertAlign w:val="superscript"/>
          <w:lang w:val="en-GB"/>
        </w:rPr>
        <w:footnoteReference w:id="93"/>
      </w:r>
      <w:r w:rsidRPr="00482B20">
        <w:rPr>
          <w:lang w:val="en-GB"/>
        </w:rPr>
        <w:t xml:space="preserve">. </w:t>
      </w:r>
      <w:r w:rsidR="0012514A">
        <w:rPr>
          <w:lang w:val="en-GB"/>
        </w:rPr>
        <w:t xml:space="preserve">However, in the event of a dispute over filtering or blocking, platforms must provide </w:t>
      </w:r>
      <w:r w:rsidRPr="00482B20">
        <w:rPr>
          <w:lang w:val="en-GB"/>
        </w:rPr>
        <w:t>an effective and expeditious complaint and redress mechanism for users.</w:t>
      </w:r>
      <w:r w:rsidR="0012514A">
        <w:rPr>
          <w:rStyle w:val="FootnoteReference"/>
          <w:lang w:val="en-GB"/>
        </w:rPr>
        <w:footnoteReference w:id="94"/>
      </w:r>
    </w:p>
    <w:p w14:paraId="44E36EC8" w14:textId="6E1ED654" w:rsidR="003F772F" w:rsidRDefault="003F772F" w:rsidP="001A5D51">
      <w:pPr>
        <w:pStyle w:val="TextBeitrag1Absatz"/>
        <w:ind w:firstLine="227"/>
        <w:jc w:val="both"/>
        <w:rPr>
          <w:lang w:val="en-GB"/>
        </w:rPr>
      </w:pPr>
      <w:r>
        <w:rPr>
          <w:lang w:val="en-GB"/>
        </w:rPr>
        <w:t>Despite benevolent aims,</w:t>
      </w:r>
      <w:r w:rsidR="00C91AC1">
        <w:rPr>
          <w:rStyle w:val="FootnoteReference"/>
          <w:lang w:val="en-GB"/>
        </w:rPr>
        <w:footnoteReference w:id="95"/>
      </w:r>
      <w:r>
        <w:rPr>
          <w:lang w:val="en-GB"/>
        </w:rPr>
        <w:t xml:space="preserve"> </w:t>
      </w:r>
      <w:r w:rsidR="00DD01FB" w:rsidRPr="00482B20">
        <w:rPr>
          <w:lang w:val="en-GB"/>
        </w:rPr>
        <w:t>national legislators are stuck in a complicated position</w:t>
      </w:r>
      <w:r>
        <w:rPr>
          <w:lang w:val="en-GB"/>
        </w:rPr>
        <w:t xml:space="preserve">: how to best to balance the fundamental rights of relevant copyright interests, namely freedom of expression and the right to protect IP. </w:t>
      </w:r>
      <w:r w:rsidR="00DD01FB" w:rsidRPr="00482B20">
        <w:rPr>
          <w:lang w:val="en-GB"/>
        </w:rPr>
        <w:t xml:space="preserve"> This has crystalised as a choice between whether, after receiving notice from rightsholders, user uploads should “stay up” or “stay down”. </w:t>
      </w:r>
      <w:r>
        <w:rPr>
          <w:lang w:val="en-GB"/>
        </w:rPr>
        <w:t xml:space="preserve">In this section, this article will assess the extent to which </w:t>
      </w:r>
      <w:r w:rsidR="00BD1D56">
        <w:rPr>
          <w:lang w:val="en-GB"/>
        </w:rPr>
        <w:t>approach</w:t>
      </w:r>
      <w:r w:rsidR="00C91AC1">
        <w:rPr>
          <w:lang w:val="en-GB"/>
        </w:rPr>
        <w:t xml:space="preserve"> s</w:t>
      </w:r>
      <w:r w:rsidR="00C91AC1" w:rsidRPr="00C91AC1">
        <w:rPr>
          <w:lang w:val="en-GB"/>
        </w:rPr>
        <w:t>ufficiently safeguards the crucial link between creative autonomy and artistic communication discussed in Part A.</w:t>
      </w:r>
    </w:p>
    <w:p w14:paraId="1AFC7AB6" w14:textId="2415D013" w:rsidR="00C91AC1" w:rsidRDefault="00C91AC1" w:rsidP="00A43994">
      <w:pPr>
        <w:pStyle w:val="TextBeitragab2Absatz"/>
        <w:jc w:val="both"/>
        <w:rPr>
          <w:lang w:val="en-GB"/>
        </w:rPr>
      </w:pPr>
      <w:r>
        <w:rPr>
          <w:lang w:val="en-GB"/>
        </w:rPr>
        <w:t xml:space="preserve">The first snippet of guidance comes from the </w:t>
      </w:r>
      <w:r w:rsidR="00482B20" w:rsidRPr="001A5D51">
        <w:rPr>
          <w:i/>
          <w:iCs/>
          <w:lang w:val="en-GB"/>
        </w:rPr>
        <w:t>Poland</w:t>
      </w:r>
      <w:r w:rsidR="00482B20" w:rsidRPr="00482B20">
        <w:rPr>
          <w:lang w:val="en-GB"/>
        </w:rPr>
        <w:t xml:space="preserve"> decision</w:t>
      </w:r>
      <w:r>
        <w:rPr>
          <w:lang w:val="en-GB"/>
        </w:rPr>
        <w:t>.</w:t>
      </w:r>
      <w:r>
        <w:rPr>
          <w:rStyle w:val="FootnoteReference"/>
          <w:lang w:val="en-GB"/>
        </w:rPr>
        <w:footnoteReference w:id="96"/>
      </w:r>
      <w:r>
        <w:rPr>
          <w:lang w:val="en-GB"/>
        </w:rPr>
        <w:t xml:space="preserve"> Here, the CJEU confirmed </w:t>
      </w:r>
      <w:r w:rsidR="004B066D">
        <w:rPr>
          <w:lang w:val="en-GB"/>
        </w:rPr>
        <w:t>that the obligation for</w:t>
      </w:r>
      <w:r w:rsidR="00482B20" w:rsidRPr="00482B20">
        <w:rPr>
          <w:lang w:val="en-GB"/>
        </w:rPr>
        <w:t xml:space="preserve"> OCSSPs to review of user uploads and the use of filtering technology</w:t>
      </w:r>
      <w:r w:rsidR="00236744">
        <w:rPr>
          <w:lang w:val="en-GB"/>
        </w:rPr>
        <w:t xml:space="preserve"> </w:t>
      </w:r>
      <w:r w:rsidR="00482B20" w:rsidRPr="00482B20">
        <w:rPr>
          <w:lang w:val="en-GB"/>
        </w:rPr>
        <w:t>restricts an important means</w:t>
      </w:r>
      <w:r w:rsidR="00236744">
        <w:rPr>
          <w:lang w:val="en-GB"/>
        </w:rPr>
        <w:t xml:space="preserve"> of</w:t>
      </w:r>
      <w:r w:rsidR="00482B20" w:rsidRPr="00482B20">
        <w:rPr>
          <w:lang w:val="en-GB"/>
        </w:rPr>
        <w:t xml:space="preserve"> freedom of expression and the dissemination of information</w:t>
      </w:r>
      <w:r w:rsidR="00236744">
        <w:rPr>
          <w:lang w:val="en-GB"/>
        </w:rPr>
        <w:t>, online communication</w:t>
      </w:r>
      <w:r w:rsidR="00482B20" w:rsidRPr="00482B20">
        <w:rPr>
          <w:lang w:val="en-GB"/>
        </w:rPr>
        <w:t xml:space="preserve">. However, the Court </w:t>
      </w:r>
      <w:r w:rsidR="00236744">
        <w:rPr>
          <w:lang w:val="en-GB"/>
        </w:rPr>
        <w:t>also state</w:t>
      </w:r>
      <w:r>
        <w:rPr>
          <w:lang w:val="en-GB"/>
        </w:rPr>
        <w:t>d</w:t>
      </w:r>
      <w:r w:rsidR="00236744">
        <w:rPr>
          <w:lang w:val="en-GB"/>
        </w:rPr>
        <w:t xml:space="preserve"> that </w:t>
      </w:r>
      <w:r w:rsidR="00482B20" w:rsidRPr="00482B20">
        <w:rPr>
          <w:lang w:val="en-GB"/>
        </w:rPr>
        <w:t xml:space="preserve">the restriction is justified </w:t>
      </w:r>
      <w:r w:rsidR="00236744">
        <w:rPr>
          <w:lang w:val="en-GB"/>
        </w:rPr>
        <w:t>according to</w:t>
      </w:r>
      <w:r w:rsidR="00482B20" w:rsidRPr="00482B20">
        <w:rPr>
          <w:lang w:val="en-GB"/>
        </w:rPr>
        <w:t xml:space="preserve"> art. 52(1) Charter.</w:t>
      </w:r>
      <w:r>
        <w:rPr>
          <w:lang w:val="en-GB"/>
        </w:rPr>
        <w:t xml:space="preserve"> </w:t>
      </w:r>
      <w:r w:rsidR="00860479">
        <w:rPr>
          <w:lang w:val="en-GB"/>
        </w:rPr>
        <w:t xml:space="preserve">While the CJEU confirmed the vagueness of this guidance, it reasoned that </w:t>
      </w:r>
      <w:r w:rsidR="00BD1D56">
        <w:rPr>
          <w:lang w:val="en-GB"/>
        </w:rPr>
        <w:t xml:space="preserve">it </w:t>
      </w:r>
      <w:r w:rsidR="00860479">
        <w:rPr>
          <w:lang w:val="en-GB"/>
        </w:rPr>
        <w:t>is necessary to ensure that art. 17 is adaptable to various OCSSP structures.</w:t>
      </w:r>
      <w:r w:rsidR="00860479" w:rsidRPr="000E0808">
        <w:rPr>
          <w:vertAlign w:val="superscript"/>
          <w:lang w:val="en-GB"/>
        </w:rPr>
        <w:footnoteReference w:id="97"/>
      </w:r>
      <w:r w:rsidR="00860479">
        <w:rPr>
          <w:vertAlign w:val="superscript"/>
          <w:lang w:val="en-GB"/>
        </w:rPr>
        <w:t xml:space="preserve"> </w:t>
      </w:r>
      <w:r>
        <w:rPr>
          <w:lang w:val="en-GB"/>
        </w:rPr>
        <w:t>Yet this results in considerable discretion for national legislators.</w:t>
      </w:r>
      <w:r w:rsidR="00482B20" w:rsidRPr="00482B20">
        <w:rPr>
          <w:lang w:val="en-GB"/>
        </w:rPr>
        <w:t xml:space="preserve"> </w:t>
      </w:r>
      <w:r w:rsidR="00CF7283">
        <w:rPr>
          <w:lang w:val="en-GB"/>
        </w:rPr>
        <w:t>In relation to creativity, t</w:t>
      </w:r>
      <w:r w:rsidR="003D2DE9">
        <w:rPr>
          <w:lang w:val="en-GB"/>
        </w:rPr>
        <w:t xml:space="preserve">hough the judgement appears to construe </w:t>
      </w:r>
      <w:r w:rsidR="00EB3F33">
        <w:rPr>
          <w:lang w:val="en-GB"/>
        </w:rPr>
        <w:t>exceptions and limitations as user rights,</w:t>
      </w:r>
      <w:r w:rsidR="00EB3F33" w:rsidRPr="00296301">
        <w:rPr>
          <w:vertAlign w:val="superscript"/>
          <w:lang w:val="en-GB"/>
        </w:rPr>
        <w:footnoteReference w:id="98"/>
      </w:r>
      <w:r w:rsidR="00EB3F33" w:rsidRPr="00482B20">
        <w:rPr>
          <w:lang w:val="en-GB"/>
        </w:rPr>
        <w:t xml:space="preserve"> </w:t>
      </w:r>
      <w:r w:rsidR="00EB3F33">
        <w:rPr>
          <w:lang w:val="en-GB"/>
        </w:rPr>
        <w:t xml:space="preserve"> there is also lacking guidance on how to implement safeguards to protect freedom of expression.</w:t>
      </w:r>
      <w:r w:rsidR="00BF52A9" w:rsidRPr="00296301">
        <w:rPr>
          <w:vertAlign w:val="superscript"/>
          <w:lang w:val="en-GB"/>
        </w:rPr>
        <w:footnoteReference w:id="99"/>
      </w:r>
      <w:r>
        <w:rPr>
          <w:lang w:val="en-GB"/>
        </w:rPr>
        <w:t xml:space="preserve"> </w:t>
      </w:r>
    </w:p>
    <w:p w14:paraId="41EA156F" w14:textId="2DF9E9EB" w:rsidR="00482B20" w:rsidRDefault="00C91AC1" w:rsidP="00A43994">
      <w:pPr>
        <w:pStyle w:val="TextBeitragab2Absatz"/>
        <w:jc w:val="both"/>
        <w:rPr>
          <w:lang w:val="en-GB"/>
        </w:rPr>
      </w:pPr>
      <w:r>
        <w:rPr>
          <w:lang w:val="en-GB"/>
        </w:rPr>
        <w:t xml:space="preserve">This can allow the erroneous flagging of legitimate content which requires blocking, causing </w:t>
      </w:r>
      <w:r w:rsidR="000D7086">
        <w:rPr>
          <w:lang w:val="en-GB"/>
        </w:rPr>
        <w:t xml:space="preserve">potentially </w:t>
      </w:r>
      <w:r w:rsidR="00482B20" w:rsidRPr="00482B20">
        <w:rPr>
          <w:lang w:val="en-GB"/>
        </w:rPr>
        <w:t>significant economic harm</w:t>
      </w:r>
      <w:r>
        <w:rPr>
          <w:lang w:val="en-GB"/>
        </w:rPr>
        <w:t>.</w:t>
      </w:r>
      <w:r w:rsidR="00482B20" w:rsidRPr="00A40D9E">
        <w:rPr>
          <w:vertAlign w:val="superscript"/>
          <w:lang w:val="en-GB"/>
        </w:rPr>
        <w:footnoteReference w:id="100"/>
      </w:r>
      <w:r>
        <w:rPr>
          <w:lang w:val="en-GB"/>
        </w:rPr>
        <w:t xml:space="preserve"> </w:t>
      </w:r>
      <w:r>
        <w:rPr>
          <w:i/>
          <w:iCs/>
          <w:lang w:val="en-GB"/>
        </w:rPr>
        <w:t xml:space="preserve">Poland </w:t>
      </w:r>
      <w:r>
        <w:rPr>
          <w:lang w:val="en-GB"/>
        </w:rPr>
        <w:t xml:space="preserve">maintains that this is possible so long as the essence of freedom of expression is protected, most likely through the redress and complaint mechanism. However, </w:t>
      </w:r>
      <w:r w:rsidR="00482B20" w:rsidRPr="00482B20">
        <w:rPr>
          <w:lang w:val="en-GB"/>
        </w:rPr>
        <w:t>too long a delay can restrict the right to an effective remedy.</w:t>
      </w:r>
      <w:r w:rsidR="00482B20" w:rsidRPr="00A40D9E">
        <w:rPr>
          <w:vertAlign w:val="superscript"/>
          <w:lang w:val="en-GB"/>
        </w:rPr>
        <w:footnoteReference w:id="101"/>
      </w:r>
      <w:r w:rsidR="009965D7">
        <w:rPr>
          <w:lang w:val="en-GB"/>
        </w:rPr>
        <w:t xml:space="preserve"> Ar</w:t>
      </w:r>
      <w:r w:rsidR="00482B20" w:rsidRPr="00482B20">
        <w:rPr>
          <w:lang w:val="en-GB"/>
        </w:rPr>
        <w:t xml:space="preserve">t. 17 DSM Directive hints </w:t>
      </w:r>
      <w:r w:rsidR="00482B20" w:rsidRPr="00482B20">
        <w:rPr>
          <w:lang w:val="en-GB"/>
        </w:rPr>
        <w:lastRenderedPageBreak/>
        <w:t xml:space="preserve">that effectiveness requires the process to be without undue delay and subject to human review. But how long must a user wait, from a proportional perspective, for a wrongful block to be removed? Or is it perhaps a more proportional outcome if, during this procedural process, the legitimate content stays up? </w:t>
      </w:r>
    </w:p>
    <w:p w14:paraId="21B1F260" w14:textId="7B781176" w:rsidR="00A72873" w:rsidRDefault="00C269AD" w:rsidP="00391E03">
      <w:pPr>
        <w:pStyle w:val="TextBeitragab2Absatz"/>
        <w:jc w:val="both"/>
        <w:rPr>
          <w:lang w:val="en-GB"/>
        </w:rPr>
      </w:pPr>
      <w:r>
        <w:rPr>
          <w:lang w:val="en-GB"/>
        </w:rPr>
        <w:t>I</w:t>
      </w:r>
      <w:r w:rsidR="00AC693E">
        <w:rPr>
          <w:lang w:val="en-GB"/>
        </w:rPr>
        <w:t xml:space="preserve">f </w:t>
      </w:r>
      <w:r w:rsidR="000D7086">
        <w:rPr>
          <w:lang w:val="en-GB"/>
        </w:rPr>
        <w:t>art</w:t>
      </w:r>
      <w:r w:rsidR="00482B20" w:rsidRPr="00482B20">
        <w:rPr>
          <w:lang w:val="en-GB"/>
        </w:rPr>
        <w:t>. 17 DSM Directive</w:t>
      </w:r>
      <w:r w:rsidR="000D7086">
        <w:rPr>
          <w:lang w:val="en-GB"/>
        </w:rPr>
        <w:t xml:space="preserve"> is transposed</w:t>
      </w:r>
      <w:r w:rsidR="00482B20" w:rsidRPr="00482B20">
        <w:rPr>
          <w:lang w:val="en-GB"/>
        </w:rPr>
        <w:t xml:space="preserve"> literally, it is likely that such a presumption will prevail because OCSSPs become tasked with deciphering the meaning of a legitimate upload. The French implementation appears to exemplify such an approach. The transposition takes its initial shape from the aptly named proposal for the law on audio-visual communication and cultural sovereignty in the digital era,</w:t>
      </w:r>
      <w:r w:rsidR="00482B20" w:rsidRPr="00645C33">
        <w:rPr>
          <w:vertAlign w:val="superscript"/>
          <w:lang w:val="en-GB"/>
        </w:rPr>
        <w:footnoteReference w:id="102"/>
      </w:r>
      <w:r w:rsidR="00482B20" w:rsidRPr="00482B20">
        <w:rPr>
          <w:lang w:val="en-GB"/>
        </w:rPr>
        <w:t xml:space="preserve"> allowing amendments to the French Intellectual Property Code.</w:t>
      </w:r>
      <w:r>
        <w:rPr>
          <w:lang w:val="en-GB"/>
        </w:rPr>
        <w:t xml:space="preserve"> </w:t>
      </w:r>
      <w:r w:rsidR="000D3511">
        <w:rPr>
          <w:lang w:val="en-GB"/>
        </w:rPr>
        <w:t xml:space="preserve">Drawing from the finding in </w:t>
      </w:r>
      <w:r w:rsidR="000D3511">
        <w:rPr>
          <w:i/>
          <w:iCs/>
          <w:lang w:val="en-GB"/>
        </w:rPr>
        <w:t xml:space="preserve">Poland </w:t>
      </w:r>
      <w:r w:rsidR="000D3511">
        <w:rPr>
          <w:lang w:val="en-GB"/>
        </w:rPr>
        <w:t xml:space="preserve">that </w:t>
      </w:r>
      <w:r w:rsidR="000D3511" w:rsidRPr="00482B20">
        <w:rPr>
          <w:lang w:val="en-GB"/>
        </w:rPr>
        <w:t>art. 17 DSM Directive inherently includes sufficient safeguards to respect the essence of freedom of expression and of information</w:t>
      </w:r>
      <w:r w:rsidR="000D3511">
        <w:rPr>
          <w:lang w:val="en-GB"/>
        </w:rPr>
        <w:t xml:space="preserve">, the </w:t>
      </w:r>
      <w:r w:rsidR="00736AA0">
        <w:rPr>
          <w:lang w:val="en-GB"/>
        </w:rPr>
        <w:t xml:space="preserve">approach lacks any scaffolding of ‘user rights’ suggested in </w:t>
      </w:r>
      <w:r w:rsidR="00736AA0">
        <w:rPr>
          <w:i/>
          <w:iCs/>
          <w:lang w:val="en-GB"/>
        </w:rPr>
        <w:t>Poland</w:t>
      </w:r>
      <w:r w:rsidR="00736AA0">
        <w:rPr>
          <w:lang w:val="en-GB"/>
        </w:rPr>
        <w:t>.</w:t>
      </w:r>
      <w:r w:rsidR="008742E7">
        <w:rPr>
          <w:rStyle w:val="FootnoteReference"/>
          <w:lang w:val="en-GB"/>
        </w:rPr>
        <w:footnoteReference w:id="103"/>
      </w:r>
      <w:r w:rsidR="00391E03">
        <w:rPr>
          <w:lang w:val="en-GB"/>
        </w:rPr>
        <w:t xml:space="preserve"> It</w:t>
      </w:r>
      <w:r w:rsidR="00482B20" w:rsidRPr="00482B20">
        <w:rPr>
          <w:lang w:val="en-GB"/>
        </w:rPr>
        <w:t xml:space="preserve"> fails to consider that without oversight, these safeguards could be implemented by platforms in a way that does not allow a fair balance to be struck between relevant fundamental rights and additionally, conflicts with the principle of proportionality.</w:t>
      </w:r>
      <w:r w:rsidR="008742E7">
        <w:rPr>
          <w:rStyle w:val="FootnoteReference"/>
          <w:lang w:val="en-GB"/>
        </w:rPr>
        <w:footnoteReference w:id="104"/>
      </w:r>
    </w:p>
    <w:p w14:paraId="3ECFEC4B" w14:textId="56A2C8F9" w:rsidR="00482B20" w:rsidRDefault="00482B20" w:rsidP="00C32024">
      <w:pPr>
        <w:pStyle w:val="TextBeitrag1Absatz"/>
        <w:ind w:firstLine="227"/>
        <w:jc w:val="both"/>
        <w:rPr>
          <w:lang w:val="en-GB"/>
        </w:rPr>
      </w:pPr>
      <w:r w:rsidRPr="00482B20">
        <w:rPr>
          <w:lang w:val="en-GB"/>
        </w:rPr>
        <w:t xml:space="preserve">The </w:t>
      </w:r>
      <w:r w:rsidR="00713468">
        <w:rPr>
          <w:lang w:val="en-GB"/>
        </w:rPr>
        <w:t xml:space="preserve">French </w:t>
      </w:r>
      <w:r w:rsidRPr="00482B20">
        <w:rPr>
          <w:lang w:val="en-GB"/>
        </w:rPr>
        <w:t>position on legitimate uses, appears to be founded in the belief that there is no need for ex-ante user rights safeguards as the redress and complaint mechanism inherently balances the interests of users.</w:t>
      </w:r>
      <w:r w:rsidRPr="00713468">
        <w:rPr>
          <w:vertAlign w:val="superscript"/>
          <w:lang w:val="en-GB"/>
        </w:rPr>
        <w:footnoteReference w:id="105"/>
      </w:r>
      <w:r w:rsidRPr="00713468">
        <w:rPr>
          <w:vertAlign w:val="superscript"/>
          <w:lang w:val="en-GB"/>
        </w:rPr>
        <w:t xml:space="preserve"> </w:t>
      </w:r>
      <w:r w:rsidR="00713468">
        <w:rPr>
          <w:lang w:val="en-GB"/>
        </w:rPr>
        <w:t xml:space="preserve"> I</w:t>
      </w:r>
      <w:r w:rsidRPr="00482B20">
        <w:rPr>
          <w:lang w:val="en-GB"/>
        </w:rPr>
        <w:t xml:space="preserve">n a similar vein to the </w:t>
      </w:r>
      <w:r w:rsidRPr="00713468">
        <w:rPr>
          <w:i/>
          <w:iCs/>
          <w:lang w:val="en-GB"/>
        </w:rPr>
        <w:t>Poland</w:t>
      </w:r>
      <w:r w:rsidRPr="00482B20">
        <w:rPr>
          <w:lang w:val="en-GB"/>
        </w:rPr>
        <w:t xml:space="preserve"> decision, those supporting the French implementation contend that temporary restrictions on freedom of expression are justified to ensure strong protection of IP rights.</w:t>
      </w:r>
      <w:r w:rsidRPr="00713468">
        <w:rPr>
          <w:vertAlign w:val="superscript"/>
          <w:lang w:val="en-GB"/>
        </w:rPr>
        <w:footnoteReference w:id="106"/>
      </w:r>
      <w:r w:rsidRPr="00482B20">
        <w:rPr>
          <w:lang w:val="en-GB"/>
        </w:rPr>
        <w:t xml:space="preserve"> However, even before the Guidance was published, tension was pulpable between the EU Commission and France regarding this interpretation, as commentary explains that some view the redress and complaint mechanism as being insufficient to protect legitimate uses, instead, requiring ex-ante protection.</w:t>
      </w:r>
      <w:r w:rsidRPr="00713468">
        <w:rPr>
          <w:vertAlign w:val="superscript"/>
          <w:lang w:val="en-GB"/>
        </w:rPr>
        <w:footnoteReference w:id="107"/>
      </w:r>
      <w:r w:rsidR="00F4023B">
        <w:rPr>
          <w:lang w:val="en-GB"/>
        </w:rPr>
        <w:t xml:space="preserve"> </w:t>
      </w:r>
      <w:r w:rsidRPr="00482B20">
        <w:rPr>
          <w:lang w:val="en-GB"/>
        </w:rPr>
        <w:t>The outcome of this approach is quite simple: user uploads will most certainly “stay down” while they are verified. The French judiciary will fill the gap, only if users are able to afford appealing the administrative decision</w:t>
      </w:r>
      <w:r w:rsidR="00191A68">
        <w:rPr>
          <w:lang w:val="en-GB"/>
        </w:rPr>
        <w:t>.</w:t>
      </w:r>
      <w:r w:rsidRPr="00482B20">
        <w:rPr>
          <w:lang w:val="en-GB"/>
        </w:rPr>
        <w:t xml:space="preserve"> </w:t>
      </w:r>
    </w:p>
    <w:p w14:paraId="555118A1" w14:textId="06FC3B89" w:rsidR="00D16605" w:rsidRDefault="00FB3592" w:rsidP="00C32024">
      <w:pPr>
        <w:pStyle w:val="TextBeitrag1Absatz"/>
        <w:ind w:firstLine="227"/>
        <w:jc w:val="both"/>
        <w:rPr>
          <w:lang w:val="en-GB"/>
        </w:rPr>
      </w:pPr>
      <w:r>
        <w:rPr>
          <w:lang w:val="en-GB"/>
        </w:rPr>
        <w:t xml:space="preserve">The </w:t>
      </w:r>
      <w:r w:rsidR="00482B20" w:rsidRPr="00482B20">
        <w:rPr>
          <w:lang w:val="en-GB"/>
        </w:rPr>
        <w:t>German approach differs significantly by including ex ante safeguards when user uploads</w:t>
      </w:r>
      <w:r w:rsidR="000D7086">
        <w:rPr>
          <w:lang w:val="en-GB"/>
        </w:rPr>
        <w:t xml:space="preserve"> are flagged to </w:t>
      </w:r>
      <w:r w:rsidR="00482B20" w:rsidRPr="00482B20">
        <w:rPr>
          <w:lang w:val="en-GB"/>
        </w:rPr>
        <w:t>“stay down”. These procedural safeguards focus on uploads that are both authorized by law</w:t>
      </w:r>
      <w:r w:rsidR="00482B20" w:rsidRPr="00FB3592">
        <w:rPr>
          <w:vertAlign w:val="superscript"/>
          <w:lang w:val="en-GB"/>
        </w:rPr>
        <w:footnoteReference w:id="108"/>
      </w:r>
      <w:r w:rsidR="00482B20" w:rsidRPr="00482B20">
        <w:rPr>
          <w:lang w:val="en-GB"/>
        </w:rPr>
        <w:t xml:space="preserve"> </w:t>
      </w:r>
      <w:r w:rsidR="00482B20" w:rsidRPr="00482B20">
        <w:rPr>
          <w:lang w:val="en-GB"/>
        </w:rPr>
        <w:lastRenderedPageBreak/>
        <w:t>and those that are not manifestly infringing, contending that they should be constructed as presumably authorized by law.</w:t>
      </w:r>
      <w:r w:rsidR="00482B20" w:rsidRPr="00FB3592">
        <w:rPr>
          <w:vertAlign w:val="superscript"/>
          <w:lang w:val="en-GB"/>
        </w:rPr>
        <w:footnoteReference w:id="109"/>
      </w:r>
      <w:r w:rsidR="000D7086">
        <w:rPr>
          <w:lang w:val="en-GB"/>
        </w:rPr>
        <w:t xml:space="preserve"> These</w:t>
      </w:r>
      <w:r w:rsidR="00482B20" w:rsidRPr="00482B20">
        <w:rPr>
          <w:lang w:val="en-GB"/>
        </w:rPr>
        <w:t xml:space="preserve"> fall into two categories</w:t>
      </w:r>
      <w:r w:rsidR="00503C08">
        <w:rPr>
          <w:lang w:val="en-GB"/>
        </w:rPr>
        <w:t>:</w:t>
      </w:r>
      <w:r w:rsidR="00482B20" w:rsidRPr="00482B20">
        <w:rPr>
          <w:lang w:val="en-GB"/>
        </w:rPr>
        <w:t xml:space="preserve"> simple or qualified blocking.</w:t>
      </w:r>
      <w:r w:rsidR="00482B20" w:rsidRPr="00E86F2D">
        <w:rPr>
          <w:vertAlign w:val="superscript"/>
          <w:lang w:val="en-GB"/>
        </w:rPr>
        <w:footnoteReference w:id="110"/>
      </w:r>
      <w:r w:rsidR="00482B20" w:rsidRPr="00E86F2D">
        <w:rPr>
          <w:vertAlign w:val="superscript"/>
          <w:lang w:val="en-GB"/>
        </w:rPr>
        <w:t xml:space="preserve"> </w:t>
      </w:r>
      <w:r w:rsidR="00482B20" w:rsidRPr="00482B20">
        <w:rPr>
          <w:lang w:val="en-GB"/>
        </w:rPr>
        <w:t xml:space="preserve">The first refers to the standard ‘notice and takedown’ procedure where upon receiving information from </w:t>
      </w:r>
      <w:r w:rsidR="00503C08">
        <w:rPr>
          <w:lang w:val="en-GB"/>
        </w:rPr>
        <w:t xml:space="preserve">a </w:t>
      </w:r>
      <w:r w:rsidR="00482B20" w:rsidRPr="00482B20">
        <w:rPr>
          <w:lang w:val="en-GB"/>
        </w:rPr>
        <w:t xml:space="preserve">rightsholder that the upload is an unauthorised communication to the public, giving a duly substantiated notice, the upload is removed. Qualified blocking involves situations where, despite a request being made by the </w:t>
      </w:r>
      <w:proofErr w:type="spellStart"/>
      <w:r w:rsidR="00482B20" w:rsidRPr="00482B20">
        <w:rPr>
          <w:lang w:val="en-GB"/>
        </w:rPr>
        <w:t>rightholder</w:t>
      </w:r>
      <w:proofErr w:type="spellEnd"/>
      <w:r w:rsidR="00482B20" w:rsidRPr="00482B20">
        <w:rPr>
          <w:lang w:val="en-GB"/>
        </w:rPr>
        <w:t xml:space="preserve">, it is unclear whether the upload is infringing. </w:t>
      </w:r>
    </w:p>
    <w:p w14:paraId="4A52B535" w14:textId="620E0EBB" w:rsidR="00482B20" w:rsidRPr="00482B20" w:rsidRDefault="00482B20" w:rsidP="00C32024">
      <w:pPr>
        <w:pStyle w:val="TextBeitrag1Absatz"/>
        <w:ind w:firstLine="227"/>
        <w:jc w:val="both"/>
        <w:rPr>
          <w:lang w:val="en-GB"/>
        </w:rPr>
      </w:pPr>
      <w:r w:rsidRPr="00482B20">
        <w:rPr>
          <w:lang w:val="en-GB"/>
        </w:rPr>
        <w:t xml:space="preserve">The German Act divides the </w:t>
      </w:r>
      <w:r w:rsidR="00D16605">
        <w:rPr>
          <w:lang w:val="en-GB"/>
        </w:rPr>
        <w:t>qualified</w:t>
      </w:r>
      <w:r w:rsidRPr="00482B20">
        <w:rPr>
          <w:lang w:val="en-GB"/>
        </w:rPr>
        <w:t xml:space="preserve"> blocking mechanism into two separate groups depending on the upload. For minor uses, the system largely reflects arts. 17(7) and 17(9) DSM Directive, where upon the upload being requested to be blocked, the user has recourse to the redress and complaint system.</w:t>
      </w:r>
      <w:r w:rsidR="00001BC7">
        <w:rPr>
          <w:rStyle w:val="FootnoteReference"/>
          <w:lang w:val="en-GB"/>
        </w:rPr>
        <w:footnoteReference w:id="111"/>
      </w:r>
      <w:r w:rsidRPr="00482B20">
        <w:rPr>
          <w:lang w:val="en-GB"/>
        </w:rPr>
        <w:t xml:space="preserve"> The second group refers to circumstances where the user believes the upload is lawful. Here, the upload must meet the presumption regarding UGC</w:t>
      </w:r>
      <w:r w:rsidR="00503C08">
        <w:rPr>
          <w:lang w:val="en-GB"/>
        </w:rPr>
        <w:t xml:space="preserve"> which allows the</w:t>
      </w:r>
      <w:r w:rsidRPr="00482B20">
        <w:rPr>
          <w:lang w:val="en-GB"/>
        </w:rPr>
        <w:t xml:space="preserve"> user </w:t>
      </w:r>
      <w:r w:rsidR="00503C08">
        <w:rPr>
          <w:lang w:val="en-GB"/>
        </w:rPr>
        <w:t>to</w:t>
      </w:r>
      <w:r w:rsidRPr="00482B20">
        <w:rPr>
          <w:lang w:val="en-GB"/>
        </w:rPr>
        <w:t xml:space="preserve"> flag </w:t>
      </w:r>
      <w:r w:rsidR="000D7086">
        <w:rPr>
          <w:lang w:val="en-GB"/>
        </w:rPr>
        <w:t>it</w:t>
      </w:r>
      <w:r w:rsidRPr="00482B20">
        <w:rPr>
          <w:lang w:val="en-GB"/>
        </w:rPr>
        <w:t xml:space="preserve"> as justified due to a relevant exception.</w:t>
      </w:r>
      <w:r w:rsidR="00001BC7">
        <w:rPr>
          <w:rStyle w:val="FootnoteReference"/>
          <w:lang w:val="en-GB"/>
        </w:rPr>
        <w:footnoteReference w:id="112"/>
      </w:r>
      <w:r w:rsidRPr="00840831">
        <w:rPr>
          <w:vertAlign w:val="superscript"/>
          <w:lang w:val="en-GB"/>
        </w:rPr>
        <w:t xml:space="preserve"> </w:t>
      </w:r>
      <w:r w:rsidR="00503C08">
        <w:rPr>
          <w:vertAlign w:val="superscript"/>
          <w:lang w:val="en-GB"/>
        </w:rPr>
        <w:t xml:space="preserve"> </w:t>
      </w:r>
      <w:r w:rsidRPr="00482B20">
        <w:rPr>
          <w:lang w:val="en-GB"/>
        </w:rPr>
        <w:t>The user has a 48-hour window to respond to the blocking request and flag the upload as legitimate.</w:t>
      </w:r>
      <w:r w:rsidRPr="00840831">
        <w:rPr>
          <w:vertAlign w:val="superscript"/>
          <w:lang w:val="en-GB"/>
        </w:rPr>
        <w:footnoteReference w:id="113"/>
      </w:r>
      <w:r w:rsidRPr="00482B20">
        <w:rPr>
          <w:lang w:val="en-GB"/>
        </w:rPr>
        <w:t xml:space="preserve"> Lastly, the presumed lawful upload “stays up” until the redress and complaint mechanism finishes, and if the upload infringes, the OCSSPs is exempt from liability for that period of verification.</w:t>
      </w:r>
      <w:r w:rsidRPr="00840831">
        <w:rPr>
          <w:vertAlign w:val="superscript"/>
          <w:lang w:val="en-GB"/>
        </w:rPr>
        <w:footnoteReference w:id="114"/>
      </w:r>
    </w:p>
    <w:p w14:paraId="61FE81AD" w14:textId="11AB8FFD" w:rsidR="00482B20" w:rsidRPr="00482B20" w:rsidRDefault="00482B20" w:rsidP="00C32024">
      <w:pPr>
        <w:pStyle w:val="TextBeitrag1Absatz"/>
        <w:ind w:firstLine="227"/>
        <w:jc w:val="both"/>
        <w:rPr>
          <w:lang w:val="en-GB"/>
        </w:rPr>
      </w:pPr>
      <w:r w:rsidRPr="00482B20">
        <w:rPr>
          <w:lang w:val="en-GB"/>
        </w:rPr>
        <w:t>Both simple and qualified blocking require the OCSSP to substantiate complaints and notify all relevant parties, giving them an opportunity to comment.</w:t>
      </w:r>
      <w:r w:rsidRPr="00840831">
        <w:rPr>
          <w:vertAlign w:val="superscript"/>
          <w:lang w:val="en-GB"/>
        </w:rPr>
        <w:footnoteReference w:id="115"/>
      </w:r>
      <w:r w:rsidRPr="00840831">
        <w:rPr>
          <w:vertAlign w:val="superscript"/>
          <w:lang w:val="en-GB"/>
        </w:rPr>
        <w:t xml:space="preserve"> </w:t>
      </w:r>
      <w:r w:rsidRPr="00482B20">
        <w:rPr>
          <w:lang w:val="en-GB"/>
        </w:rPr>
        <w:t>Then, the OCSSP must, within one week, decide whether the upload is infringing and should be taken down.</w:t>
      </w:r>
      <w:r w:rsidRPr="00840831">
        <w:rPr>
          <w:vertAlign w:val="superscript"/>
          <w:lang w:val="en-GB"/>
        </w:rPr>
        <w:footnoteReference w:id="116"/>
      </w:r>
      <w:r w:rsidRPr="00482B20">
        <w:rPr>
          <w:lang w:val="en-GB"/>
        </w:rPr>
        <w:t xml:space="preserve"> Such decisions are made by impartial natural persons.</w:t>
      </w:r>
      <w:r w:rsidRPr="00840831">
        <w:rPr>
          <w:vertAlign w:val="superscript"/>
          <w:lang w:val="en-GB"/>
        </w:rPr>
        <w:footnoteReference w:id="117"/>
      </w:r>
      <w:r w:rsidRPr="00482B20">
        <w:rPr>
          <w:lang w:val="en-GB"/>
        </w:rPr>
        <w:t xml:space="preserve"> </w:t>
      </w:r>
      <w:r w:rsidR="00840831">
        <w:rPr>
          <w:lang w:val="en-GB"/>
        </w:rPr>
        <w:t>It also incl</w:t>
      </w:r>
      <w:r w:rsidRPr="00482B20">
        <w:rPr>
          <w:lang w:val="en-GB"/>
        </w:rPr>
        <w:t>udes a specific method for balancing rightsholders interests called the ‘red button’. Here, if following the OCSSP’s review by a natural person, a ‘trusted’ rightsholder can declare that the presumption of a legitimate use should be rebutted and that the upload “staying up” impairs the economic exploitation of the work.</w:t>
      </w:r>
      <w:r w:rsidRPr="00840831">
        <w:rPr>
          <w:vertAlign w:val="superscript"/>
          <w:lang w:val="en-GB"/>
        </w:rPr>
        <w:footnoteReference w:id="118"/>
      </w:r>
      <w:r w:rsidRPr="00840831">
        <w:rPr>
          <w:vertAlign w:val="superscript"/>
          <w:lang w:val="en-GB"/>
        </w:rPr>
        <w:t xml:space="preserve"> </w:t>
      </w:r>
      <w:r w:rsidRPr="00482B20">
        <w:rPr>
          <w:lang w:val="en-GB"/>
        </w:rPr>
        <w:t>Then the OCSSP must immediately block the work until the conclusion of the complaint procedure.</w:t>
      </w:r>
      <w:r w:rsidRPr="00840831">
        <w:rPr>
          <w:vertAlign w:val="superscript"/>
          <w:lang w:val="en-GB"/>
        </w:rPr>
        <w:footnoteReference w:id="119"/>
      </w:r>
      <w:r w:rsidRPr="00482B20">
        <w:rPr>
          <w:lang w:val="en-GB"/>
        </w:rPr>
        <w:t xml:space="preserve"> Additionally, so long as rightsholders notify platforms sufficiently, preventative blocking is available for time-sensitive content such as sporting events or film premieres.</w:t>
      </w:r>
      <w:r w:rsidRPr="00840831">
        <w:rPr>
          <w:vertAlign w:val="superscript"/>
          <w:lang w:val="en-GB"/>
        </w:rPr>
        <w:footnoteReference w:id="120"/>
      </w:r>
      <w:r w:rsidRPr="00840831">
        <w:rPr>
          <w:vertAlign w:val="superscript"/>
          <w:lang w:val="en-GB"/>
        </w:rPr>
        <w:t xml:space="preserve"> </w:t>
      </w:r>
      <w:r w:rsidRPr="00482B20">
        <w:rPr>
          <w:lang w:val="en-GB"/>
        </w:rPr>
        <w:t>Lastly, both the ‘red button’ and the pre-flagging of presumably lawful content are subject to one final restriction: procedural self-regulating measures against abuse.</w:t>
      </w:r>
      <w:r w:rsidRPr="00840831">
        <w:rPr>
          <w:vertAlign w:val="superscript"/>
          <w:lang w:val="en-GB"/>
        </w:rPr>
        <w:footnoteReference w:id="121"/>
      </w:r>
    </w:p>
    <w:p w14:paraId="7BC1B85D" w14:textId="5E8AFE85" w:rsidR="00482B20" w:rsidRPr="00482B20" w:rsidRDefault="00840831" w:rsidP="00C32024">
      <w:pPr>
        <w:pStyle w:val="TextBeitrag1Absatz"/>
        <w:ind w:firstLine="227"/>
        <w:jc w:val="both"/>
        <w:rPr>
          <w:lang w:val="en-GB"/>
        </w:rPr>
      </w:pPr>
      <w:r>
        <w:rPr>
          <w:lang w:val="en-GB"/>
        </w:rPr>
        <w:t>T</w:t>
      </w:r>
      <w:r w:rsidR="00482B20" w:rsidRPr="00482B20">
        <w:rPr>
          <w:lang w:val="en-GB"/>
        </w:rPr>
        <w:t>his system makes rightsholders bare both the initiative and cost of the redress and complaint mechanism, specifically for when algorithmic copyright enforcement reaches its limits (i.e. parody, pastiche</w:t>
      </w:r>
      <w:r w:rsidR="00503C08">
        <w:rPr>
          <w:lang w:val="en-GB"/>
        </w:rPr>
        <w:t>, quotation</w:t>
      </w:r>
      <w:r w:rsidR="00482B20" w:rsidRPr="00482B20">
        <w:rPr>
          <w:lang w:val="en-GB"/>
        </w:rPr>
        <w:t xml:space="preserve"> and caricature).</w:t>
      </w:r>
      <w:r w:rsidR="00482B20" w:rsidRPr="00840831">
        <w:rPr>
          <w:vertAlign w:val="superscript"/>
          <w:lang w:val="en-GB"/>
        </w:rPr>
        <w:footnoteReference w:id="122"/>
      </w:r>
      <w:r w:rsidR="00482B20" w:rsidRPr="00840831">
        <w:rPr>
          <w:vertAlign w:val="superscript"/>
          <w:lang w:val="en-GB"/>
        </w:rPr>
        <w:t xml:space="preserve"> </w:t>
      </w:r>
      <w:r w:rsidR="00482B20" w:rsidRPr="00482B20">
        <w:rPr>
          <w:lang w:val="en-GB"/>
        </w:rPr>
        <w:t xml:space="preserve">User uploads, traditionally residing in a weaker bargaining </w:t>
      </w:r>
      <w:r w:rsidR="00482B20" w:rsidRPr="00482B20">
        <w:rPr>
          <w:lang w:val="en-GB"/>
        </w:rPr>
        <w:lastRenderedPageBreak/>
        <w:t xml:space="preserve">position against </w:t>
      </w:r>
      <w:proofErr w:type="spellStart"/>
      <w:r w:rsidR="00482B20" w:rsidRPr="00482B20">
        <w:rPr>
          <w:lang w:val="en-GB"/>
        </w:rPr>
        <w:t>rightholders</w:t>
      </w:r>
      <w:proofErr w:type="spellEnd"/>
      <w:r w:rsidR="00482B20" w:rsidRPr="00482B20">
        <w:rPr>
          <w:lang w:val="en-GB"/>
        </w:rPr>
        <w:t xml:space="preserve">, benefit from the presumption that the upload is legitimate until </w:t>
      </w:r>
      <w:proofErr w:type="gramStart"/>
      <w:r w:rsidR="00482B20" w:rsidRPr="00482B20">
        <w:rPr>
          <w:lang w:val="en-GB"/>
        </w:rPr>
        <w:t>the it</w:t>
      </w:r>
      <w:proofErr w:type="gramEnd"/>
      <w:r w:rsidR="00482B20" w:rsidRPr="00482B20">
        <w:rPr>
          <w:lang w:val="en-GB"/>
        </w:rPr>
        <w:t xml:space="preserve"> is verified at the behest of exploiters. This presumption negates the delay on artistic communication online found in </w:t>
      </w:r>
      <w:r w:rsidR="00503C08">
        <w:rPr>
          <w:lang w:val="en-GB"/>
        </w:rPr>
        <w:t>the</w:t>
      </w:r>
      <w:r w:rsidR="00482B20" w:rsidRPr="00482B20">
        <w:rPr>
          <w:lang w:val="en-GB"/>
        </w:rPr>
        <w:t xml:space="preserve"> textual implementation of 17(9) DSM Directive but also provides strong protection of rightsholders for manifestly infringing uses. Lastly, for authors, removed from the categories of rightsholders, also benefit as the German implementation, regarding these difficult to detect uploads, provides that platforms must pay the author, not the exploiter, appropriate remuneration for the communication of parody, </w:t>
      </w:r>
      <w:proofErr w:type="gramStart"/>
      <w:r w:rsidR="00482B20" w:rsidRPr="00482B20">
        <w:rPr>
          <w:lang w:val="en-GB"/>
        </w:rPr>
        <w:t>pastiche</w:t>
      </w:r>
      <w:proofErr w:type="gramEnd"/>
      <w:r w:rsidR="00482B20" w:rsidRPr="00482B20">
        <w:rPr>
          <w:lang w:val="en-GB"/>
        </w:rPr>
        <w:t xml:space="preserve"> and caricature uses of works.</w:t>
      </w:r>
      <w:r w:rsidR="00482B20" w:rsidRPr="00840831">
        <w:rPr>
          <w:vertAlign w:val="superscript"/>
          <w:lang w:val="en-GB"/>
        </w:rPr>
        <w:footnoteReference w:id="123"/>
      </w:r>
    </w:p>
    <w:p w14:paraId="6AF12C08" w14:textId="77777777" w:rsidR="00482B20" w:rsidRDefault="00482B20" w:rsidP="00C32024">
      <w:pPr>
        <w:pStyle w:val="TextBeitrag1Absatz"/>
        <w:ind w:firstLine="227"/>
        <w:jc w:val="both"/>
        <w:rPr>
          <w:lang w:val="en-GB"/>
        </w:rPr>
      </w:pPr>
      <w:r w:rsidRPr="00482B20">
        <w:rPr>
          <w:lang w:val="en-GB"/>
        </w:rPr>
        <w:t>The German approach tasks collective management organisations (CMOs) with managing the new lines of remuneration to authors, strengthening the collective management of rights.</w:t>
      </w:r>
      <w:r w:rsidRPr="00840831">
        <w:rPr>
          <w:vertAlign w:val="superscript"/>
          <w:lang w:val="en-GB"/>
        </w:rPr>
        <w:footnoteReference w:id="124"/>
      </w:r>
      <w:r w:rsidRPr="00840831">
        <w:rPr>
          <w:vertAlign w:val="superscript"/>
          <w:lang w:val="en-GB"/>
        </w:rPr>
        <w:t xml:space="preserve"> </w:t>
      </w:r>
      <w:r w:rsidRPr="00482B20">
        <w:rPr>
          <w:lang w:val="en-GB"/>
        </w:rPr>
        <w:t>Commentary explain that large institutional rightsholders “will possibly be confronted with arguments to subtract the resulting additional remuneration costs for the use from the individual licensing fees”</w:t>
      </w:r>
      <w:r w:rsidRPr="00840831">
        <w:rPr>
          <w:vertAlign w:val="superscript"/>
          <w:lang w:val="en-GB"/>
        </w:rPr>
        <w:footnoteReference w:id="125"/>
      </w:r>
      <w:r w:rsidRPr="00482B20">
        <w:rPr>
          <w:lang w:val="en-GB"/>
        </w:rPr>
        <w:t>. Indeed, the entire approach of the German implementation is directed at collective licensing, as commentary notes that it would be near to impossible for “individual rightsholders with small, non-representative repertories” to be able to obtain authorisation pursuant to art. 17(4)(a) DSM Directive.</w:t>
      </w:r>
      <w:r w:rsidRPr="00840831">
        <w:rPr>
          <w:vertAlign w:val="superscript"/>
          <w:lang w:val="en-GB"/>
        </w:rPr>
        <w:footnoteReference w:id="126"/>
      </w:r>
      <w:r w:rsidRPr="00840831">
        <w:rPr>
          <w:vertAlign w:val="superscript"/>
          <w:lang w:val="en-GB"/>
        </w:rPr>
        <w:t xml:space="preserve"> </w:t>
      </w:r>
      <w:r w:rsidRPr="00482B20">
        <w:rPr>
          <w:lang w:val="en-GB"/>
        </w:rPr>
        <w:t>Additionally, the shift in burden to initiate and bare financial responsibility for the complaint and redress system for non-manifestly infringing uses, should incentivise rightsholders to enter licences with OCSSPs.</w:t>
      </w:r>
    </w:p>
    <w:p w14:paraId="6910B049" w14:textId="77777777" w:rsidR="000D36C8" w:rsidRDefault="00840831" w:rsidP="003548B2">
      <w:pPr>
        <w:pStyle w:val="TextBeitragab2Absatz"/>
        <w:jc w:val="both"/>
        <w:rPr>
          <w:lang w:val="en-GB"/>
        </w:rPr>
      </w:pPr>
      <w:r>
        <w:rPr>
          <w:lang w:val="en-GB"/>
        </w:rPr>
        <w:t>T</w:t>
      </w:r>
      <w:r w:rsidR="008E38DA" w:rsidRPr="00F40F8F">
        <w:rPr>
          <w:lang w:val="en-GB"/>
        </w:rPr>
        <w:t>his is in effect a statutory license, a requirement by the German legislator to allow creative uses so long as they are paid.</w:t>
      </w:r>
      <w:r w:rsidR="008E38DA" w:rsidRPr="00840831">
        <w:rPr>
          <w:vertAlign w:val="superscript"/>
          <w:lang w:val="en-GB"/>
        </w:rPr>
        <w:footnoteReference w:id="127"/>
      </w:r>
      <w:r w:rsidR="008E38DA" w:rsidRPr="00840831">
        <w:rPr>
          <w:vertAlign w:val="superscript"/>
          <w:lang w:val="en-GB"/>
        </w:rPr>
        <w:t xml:space="preserve"> </w:t>
      </w:r>
      <w:r w:rsidR="008E38DA" w:rsidRPr="00F40F8F">
        <w:rPr>
          <w:lang w:val="en-GB"/>
        </w:rPr>
        <w:t>The German Act states that the author’s appropriate remuneration for these uses is not waivable, can only be assigned in advance to a collecting society, and asserted by a collecting society.</w:t>
      </w:r>
      <w:r w:rsidR="008E38DA" w:rsidRPr="00840831">
        <w:rPr>
          <w:vertAlign w:val="superscript"/>
          <w:lang w:val="en-GB"/>
        </w:rPr>
        <w:footnoteReference w:id="128"/>
      </w:r>
    </w:p>
    <w:p w14:paraId="3E23F50A" w14:textId="2C3AE4C9" w:rsidR="008E38DA" w:rsidRPr="008E38DA" w:rsidRDefault="008E38DA" w:rsidP="00C32024">
      <w:pPr>
        <w:pStyle w:val="TextBeitragab2Absatz"/>
        <w:jc w:val="both"/>
        <w:rPr>
          <w:lang w:val="en-GB"/>
        </w:rPr>
      </w:pPr>
      <w:r w:rsidRPr="00840831">
        <w:rPr>
          <w:vertAlign w:val="superscript"/>
          <w:lang w:val="en-GB"/>
        </w:rPr>
        <w:t xml:space="preserve"> </w:t>
      </w:r>
      <w:r w:rsidRPr="00F40F8F">
        <w:rPr>
          <w:lang w:val="en-GB"/>
        </w:rPr>
        <w:t xml:space="preserve">Note that whether creative reuses are allowed appears to depend on whether the author has assigned this remuneration right to a collecting society before the subsequent creative use is uploaded on an OCSSP. Though this may seem a practical solution for identifying the relevant author, there are questions surrounding whether an author can refuse to assign these rights to avoid any creative reuses. </w:t>
      </w:r>
      <w:r w:rsidR="003548B2">
        <w:rPr>
          <w:lang w:val="en-GB"/>
        </w:rPr>
        <w:t>While this appears to conflict with creative autonomy and artistic communication, there are also provisions within the DSM Directive requiring member states to c</w:t>
      </w:r>
      <w:r w:rsidRPr="00F40F8F">
        <w:rPr>
          <w:lang w:val="en-GB"/>
        </w:rPr>
        <w:t>onform with a principle of appropriate and proportionate remuneration and implement measures to ensure that when authors and performers license or transfer their exclusive rights they are remunerated to this degree.</w:t>
      </w:r>
      <w:r w:rsidRPr="0079006D">
        <w:rPr>
          <w:vertAlign w:val="superscript"/>
          <w:lang w:val="en-GB"/>
        </w:rPr>
        <w:footnoteReference w:id="129"/>
      </w:r>
      <w:r w:rsidRPr="00F40F8F">
        <w:rPr>
          <w:lang w:val="en-GB"/>
        </w:rPr>
        <w:t xml:space="preserve"> Arguably the German implementation is an example of implementing </w:t>
      </w:r>
      <w:r w:rsidR="000D36C8">
        <w:rPr>
          <w:lang w:val="en-GB"/>
        </w:rPr>
        <w:t xml:space="preserve">both authorial consent and authorial </w:t>
      </w:r>
      <w:r w:rsidR="00721D2B">
        <w:rPr>
          <w:lang w:val="en-GB"/>
        </w:rPr>
        <w:t>remuneration</w:t>
      </w:r>
      <w:r w:rsidRPr="00F40F8F">
        <w:rPr>
          <w:lang w:val="en-GB"/>
        </w:rPr>
        <w:t xml:space="preserve"> through the vehicle of statutory licensing.</w:t>
      </w:r>
    </w:p>
    <w:p w14:paraId="6848C6FF" w14:textId="7B6851C1" w:rsidR="006116C4" w:rsidRPr="006116C4" w:rsidRDefault="007E5ECF" w:rsidP="00193381">
      <w:pPr>
        <w:pStyle w:val="Heading2"/>
        <w:jc w:val="both"/>
        <w:rPr>
          <w:lang w:val="en-GB"/>
        </w:rPr>
      </w:pPr>
      <w:bookmarkStart w:id="11" w:name="_Toc157606438"/>
      <w:r>
        <w:rPr>
          <w:lang w:val="en-GB"/>
        </w:rPr>
        <w:t xml:space="preserve">Platform obligations beyond EU copyright law: </w:t>
      </w:r>
      <w:r w:rsidR="001D7D33">
        <w:rPr>
          <w:lang w:val="en-GB"/>
        </w:rPr>
        <w:t xml:space="preserve">The </w:t>
      </w:r>
      <w:r w:rsidR="006116C4">
        <w:rPr>
          <w:lang w:val="en-GB"/>
        </w:rPr>
        <w:t>Digital Services Act</w:t>
      </w:r>
      <w:bookmarkEnd w:id="11"/>
    </w:p>
    <w:p w14:paraId="623BC728" w14:textId="15F88052" w:rsidR="00482B20" w:rsidRPr="00482B20" w:rsidRDefault="002118B1" w:rsidP="00C32024">
      <w:pPr>
        <w:pStyle w:val="TextBeitrag1Absatz"/>
        <w:ind w:firstLine="227"/>
        <w:jc w:val="both"/>
        <w:rPr>
          <w:lang w:val="en-GB"/>
        </w:rPr>
      </w:pPr>
      <w:r>
        <w:rPr>
          <w:lang w:val="en-GB"/>
        </w:rPr>
        <w:t>One could</w:t>
      </w:r>
      <w:r w:rsidR="00482B20" w:rsidRPr="00482B20">
        <w:rPr>
          <w:lang w:val="en-GB"/>
        </w:rPr>
        <w:t xml:space="preserve"> view the DSA as an overarching horizontal regulatory regime for illegal content</w:t>
      </w:r>
      <w:r w:rsidR="00DE7386">
        <w:rPr>
          <w:lang w:val="en-GB"/>
        </w:rPr>
        <w:t>, and</w:t>
      </w:r>
      <w:r w:rsidR="00482B20" w:rsidRPr="00482B20">
        <w:rPr>
          <w:lang w:val="en-GB"/>
        </w:rPr>
        <w:t xml:space="preserve"> art. 17 DSM Directive </w:t>
      </w:r>
      <w:r w:rsidR="00DE7386">
        <w:rPr>
          <w:lang w:val="en-GB"/>
        </w:rPr>
        <w:t xml:space="preserve">as </w:t>
      </w:r>
      <w:r w:rsidR="00482B20" w:rsidRPr="00482B20">
        <w:rPr>
          <w:lang w:val="en-GB"/>
        </w:rPr>
        <w:t>specifically outlin</w:t>
      </w:r>
      <w:r w:rsidR="00DE7386">
        <w:rPr>
          <w:lang w:val="en-GB"/>
        </w:rPr>
        <w:t>ing</w:t>
      </w:r>
      <w:r w:rsidR="00482B20" w:rsidRPr="00482B20">
        <w:rPr>
          <w:lang w:val="en-GB"/>
        </w:rPr>
        <w:t xml:space="preserve"> a small part of this broader picture by focusing on infringing copyright content uploaded to OCSSPs. To the extent that the DSA can fill the gaps left by both the EU </w:t>
      </w:r>
      <w:r w:rsidR="00482B20" w:rsidRPr="00482B20">
        <w:rPr>
          <w:lang w:val="en-GB"/>
        </w:rPr>
        <w:lastRenderedPageBreak/>
        <w:t xml:space="preserve">Commission and the CJEU in the </w:t>
      </w:r>
      <w:r w:rsidR="00482B20" w:rsidRPr="007D713F">
        <w:rPr>
          <w:i/>
          <w:iCs/>
          <w:lang w:val="en-GB"/>
        </w:rPr>
        <w:t>Poland</w:t>
      </w:r>
      <w:r w:rsidR="00482B20" w:rsidRPr="00482B20">
        <w:rPr>
          <w:lang w:val="en-GB"/>
        </w:rPr>
        <w:t xml:space="preserve"> decision, member states would have access to more detailed implementation guidance, arguably elevating the level of protection of authors, including users, online. It is important however, to distinguish the procedural value of the DSA from the user safeguards articulated in arts. 17(7) and 17(9) DSM Directive which appear to be stronger than those outlined in the DSA as the latter are designed, pursuant to </w:t>
      </w:r>
      <w:r w:rsidR="00482B20" w:rsidRPr="007D713F">
        <w:rPr>
          <w:i/>
          <w:iCs/>
          <w:lang w:val="en-GB"/>
        </w:rPr>
        <w:t>Poland</w:t>
      </w:r>
      <w:r w:rsidR="00482B20" w:rsidRPr="00482B20">
        <w:rPr>
          <w:lang w:val="en-GB"/>
        </w:rPr>
        <w:t xml:space="preserve">, to respect the essence of fundamental rights specifically freedom of expression. </w:t>
      </w:r>
    </w:p>
    <w:p w14:paraId="2A544145" w14:textId="21BAC285" w:rsidR="00482B20" w:rsidRDefault="00482B20" w:rsidP="00C32024">
      <w:pPr>
        <w:pStyle w:val="TextBeitrag1Absatz"/>
        <w:ind w:firstLine="227"/>
        <w:jc w:val="both"/>
        <w:rPr>
          <w:lang w:val="en-GB"/>
        </w:rPr>
      </w:pPr>
      <w:r w:rsidRPr="00482B20">
        <w:rPr>
          <w:lang w:val="en-GB"/>
        </w:rPr>
        <w:t>If member states are to rely on the DSA to fill the procedural gaps inherent in art. 17(4)(b), this section contends that the German implementation approach naturally aligns with the procedural safeguards introduced by the DSA. The DSA provides detailed procedural rules on notices and counter-notices regarding illegal content. These include provisions in notice-and-action</w:t>
      </w:r>
      <w:r w:rsidRPr="00C51DD3">
        <w:rPr>
          <w:vertAlign w:val="superscript"/>
          <w:lang w:val="en-GB"/>
        </w:rPr>
        <w:footnoteReference w:id="130"/>
      </w:r>
      <w:r w:rsidRPr="00482B20">
        <w:rPr>
          <w:lang w:val="en-GB"/>
        </w:rPr>
        <w:t>, statement of reasons</w:t>
      </w:r>
      <w:r w:rsidRPr="00C51DD3">
        <w:rPr>
          <w:vertAlign w:val="superscript"/>
          <w:lang w:val="en-GB"/>
        </w:rPr>
        <w:footnoteReference w:id="131"/>
      </w:r>
      <w:r w:rsidRPr="00482B20">
        <w:rPr>
          <w:lang w:val="en-GB"/>
        </w:rPr>
        <w:t>, trusted flaggers</w:t>
      </w:r>
      <w:r w:rsidRPr="00C51DD3">
        <w:rPr>
          <w:vertAlign w:val="superscript"/>
          <w:lang w:val="en-GB"/>
        </w:rPr>
        <w:footnoteReference w:id="132"/>
      </w:r>
      <w:r w:rsidRPr="00C51DD3">
        <w:rPr>
          <w:vertAlign w:val="superscript"/>
          <w:lang w:val="en-GB"/>
        </w:rPr>
        <w:t xml:space="preserve"> </w:t>
      </w:r>
      <w:r w:rsidRPr="00482B20">
        <w:rPr>
          <w:lang w:val="en-GB"/>
        </w:rPr>
        <w:t>and measures and protection against misuse</w:t>
      </w:r>
      <w:r w:rsidRPr="00C51DD3">
        <w:rPr>
          <w:vertAlign w:val="superscript"/>
          <w:lang w:val="en-GB"/>
        </w:rPr>
        <w:footnoteReference w:id="133"/>
      </w:r>
      <w:r w:rsidR="00054C55">
        <w:rPr>
          <w:lang w:val="en-GB"/>
        </w:rPr>
        <w:t>.</w:t>
      </w:r>
      <w:r w:rsidR="00C51DD3">
        <w:rPr>
          <w:vertAlign w:val="superscript"/>
          <w:lang w:val="en-GB"/>
        </w:rPr>
        <w:t xml:space="preserve"> </w:t>
      </w:r>
      <w:r w:rsidRPr="00482B20">
        <w:rPr>
          <w:lang w:val="en-GB"/>
        </w:rPr>
        <w:t>The Act also envisages the creation of Digital Services Coordinators of each member state to fulfil a supervisory role regarding very large online platforms and services,</w:t>
      </w:r>
      <w:r w:rsidRPr="00FC16C3">
        <w:rPr>
          <w:vertAlign w:val="superscript"/>
          <w:lang w:val="en-GB"/>
        </w:rPr>
        <w:footnoteReference w:id="134"/>
      </w:r>
      <w:r w:rsidRPr="00FC16C3">
        <w:rPr>
          <w:vertAlign w:val="superscript"/>
          <w:lang w:val="en-GB"/>
        </w:rPr>
        <w:t xml:space="preserve"> </w:t>
      </w:r>
      <w:r w:rsidRPr="00482B20">
        <w:rPr>
          <w:lang w:val="en-GB"/>
        </w:rPr>
        <w:t>and to certify out-of-court dispute settlement bodies</w:t>
      </w:r>
      <w:r w:rsidRPr="00FC16C3">
        <w:rPr>
          <w:vertAlign w:val="superscript"/>
          <w:lang w:val="en-GB"/>
        </w:rPr>
        <w:footnoteReference w:id="135"/>
      </w:r>
      <w:r w:rsidRPr="00482B20">
        <w:rPr>
          <w:lang w:val="en-GB"/>
        </w:rPr>
        <w:t>, forming a European Board for Digital Services</w:t>
      </w:r>
      <w:r w:rsidRPr="00FC16C3">
        <w:rPr>
          <w:vertAlign w:val="superscript"/>
          <w:lang w:val="en-GB"/>
        </w:rPr>
        <w:footnoteReference w:id="136"/>
      </w:r>
      <w:r w:rsidRPr="00482B20">
        <w:rPr>
          <w:lang w:val="en-GB"/>
        </w:rPr>
        <w:t>. Lastly, given the regulatory nature of the DSA, it may also force the hand of member states, such as France, that have implemented art. 17 DSM Directive in a textual manner, without specifying any ex ante procedural user safeguards, to ensure that arts. 17(7) and 17(9) DSM Directive effectively respect the essence of relevant fundamental rights.</w:t>
      </w:r>
    </w:p>
    <w:p w14:paraId="18D5733A" w14:textId="6FBE40D5" w:rsidR="00E82F43" w:rsidRDefault="00524337" w:rsidP="008D5CA0">
      <w:pPr>
        <w:pStyle w:val="TextBeitragab2Absatz"/>
        <w:jc w:val="both"/>
        <w:rPr>
          <w:lang w:val="en-GB"/>
        </w:rPr>
      </w:pPr>
      <w:r>
        <w:rPr>
          <w:lang w:val="en-GB"/>
        </w:rPr>
        <w:t xml:space="preserve">Beyond the DSA’s </w:t>
      </w:r>
      <w:r w:rsidR="00E82F43">
        <w:rPr>
          <w:lang w:val="en-GB"/>
        </w:rPr>
        <w:t xml:space="preserve">specific </w:t>
      </w:r>
      <w:r>
        <w:rPr>
          <w:lang w:val="en-GB"/>
        </w:rPr>
        <w:t xml:space="preserve">interaction with art. 17 DSM Directive, it exemplifies </w:t>
      </w:r>
      <w:r w:rsidR="0076452E">
        <w:rPr>
          <w:lang w:val="en-GB"/>
        </w:rPr>
        <w:t xml:space="preserve">the indirect effect doctrine as </w:t>
      </w:r>
      <w:r w:rsidR="00E82F43">
        <w:rPr>
          <w:lang w:val="en-GB"/>
        </w:rPr>
        <w:t>art. 14</w:t>
      </w:r>
      <w:r w:rsidR="006729F6">
        <w:rPr>
          <w:lang w:val="en-GB"/>
        </w:rPr>
        <w:t xml:space="preserve"> requires </w:t>
      </w:r>
      <w:r w:rsidR="00AB3DFE">
        <w:rPr>
          <w:lang w:val="en-GB"/>
        </w:rPr>
        <w:t xml:space="preserve">intermediaries to moderate </w:t>
      </w:r>
      <w:r w:rsidR="00F61753">
        <w:rPr>
          <w:lang w:val="en-GB"/>
        </w:rPr>
        <w:t xml:space="preserve">content </w:t>
      </w:r>
      <w:r w:rsidR="009E062A">
        <w:rPr>
          <w:lang w:val="en-GB"/>
        </w:rPr>
        <w:t>“</w:t>
      </w:r>
      <w:r w:rsidR="00AB3DFE">
        <w:rPr>
          <w:lang w:val="en-GB"/>
        </w:rPr>
        <w:t>transparently, proportionately and with due regard to the fundamental rights and interests of users and other stakeholders</w:t>
      </w:r>
      <w:r w:rsidR="009E062A">
        <w:rPr>
          <w:lang w:val="en-GB"/>
        </w:rPr>
        <w:t>”</w:t>
      </w:r>
      <w:r w:rsidR="003A4779">
        <w:rPr>
          <w:lang w:val="en-GB"/>
        </w:rPr>
        <w:t xml:space="preserve"> through terms of service</w:t>
      </w:r>
      <w:r w:rsidR="009E062A">
        <w:rPr>
          <w:rStyle w:val="FootnoteReference"/>
          <w:lang w:val="en-GB"/>
        </w:rPr>
        <w:footnoteReference w:id="137"/>
      </w:r>
      <w:r w:rsidR="00AB3DFE">
        <w:rPr>
          <w:lang w:val="en-GB"/>
        </w:rPr>
        <w:t>.</w:t>
      </w:r>
      <w:r w:rsidR="00506362">
        <w:rPr>
          <w:lang w:val="en-GB"/>
        </w:rPr>
        <w:t xml:space="preserve"> </w:t>
      </w:r>
      <w:r w:rsidR="008A7FB2">
        <w:rPr>
          <w:lang w:val="en-GB"/>
        </w:rPr>
        <w:t>For example, when a platform decides whether to take down content due to alleged copyright infringement, art. 14 would require them to consider users’ interests, specifically freedom of expression.</w:t>
      </w:r>
      <w:r w:rsidR="008A7FB2">
        <w:rPr>
          <w:rStyle w:val="FootnoteReference"/>
          <w:lang w:val="en-GB"/>
        </w:rPr>
        <w:footnoteReference w:id="138"/>
      </w:r>
      <w:r w:rsidR="008A7FB2">
        <w:rPr>
          <w:lang w:val="en-GB"/>
        </w:rPr>
        <w:t xml:space="preserve"> </w:t>
      </w:r>
      <w:r w:rsidR="00506362">
        <w:rPr>
          <w:lang w:val="en-GB"/>
        </w:rPr>
        <w:t>While commentary identifies that the inclusion of ‘due regard’ is unhelpful,</w:t>
      </w:r>
      <w:r w:rsidR="00506362">
        <w:rPr>
          <w:rStyle w:val="FootnoteReference"/>
          <w:lang w:val="en-GB"/>
        </w:rPr>
        <w:footnoteReference w:id="139"/>
      </w:r>
      <w:r w:rsidR="00506362">
        <w:rPr>
          <w:lang w:val="en-GB"/>
        </w:rPr>
        <w:t xml:space="preserve"> outside art. 17 DSM Directive, it could</w:t>
      </w:r>
      <w:r w:rsidR="00112068">
        <w:rPr>
          <w:lang w:val="en-GB"/>
        </w:rPr>
        <w:t xml:space="preserve"> </w:t>
      </w:r>
      <w:r w:rsidR="008A7FB2">
        <w:rPr>
          <w:lang w:val="en-GB"/>
        </w:rPr>
        <w:t xml:space="preserve">extend to </w:t>
      </w:r>
      <w:r w:rsidR="00112068">
        <w:rPr>
          <w:lang w:val="en-GB"/>
        </w:rPr>
        <w:t>comprise the requirement for</w:t>
      </w:r>
      <w:r w:rsidR="00506362">
        <w:rPr>
          <w:lang w:val="en-GB"/>
        </w:rPr>
        <w:t xml:space="preserve"> platforms to ensure access for the purpose of artistic communication of users</w:t>
      </w:r>
      <w:r w:rsidR="00112068">
        <w:rPr>
          <w:lang w:val="en-GB"/>
        </w:rPr>
        <w:t xml:space="preserve">. </w:t>
      </w:r>
    </w:p>
    <w:p w14:paraId="0CD39573" w14:textId="41613C6D" w:rsidR="00C81156" w:rsidRDefault="008A7FB2" w:rsidP="008D5CA0">
      <w:pPr>
        <w:pStyle w:val="TextBeitragab2Absatz"/>
        <w:jc w:val="both"/>
        <w:rPr>
          <w:lang w:val="en-GB"/>
        </w:rPr>
      </w:pPr>
      <w:r>
        <w:rPr>
          <w:lang w:val="en-GB"/>
        </w:rPr>
        <w:t>Thus, to the extent that a platform restricts access to users in this regard, art. 14 DSA requires that this is done in an objective and proportionate manner</w:t>
      </w:r>
      <w:r w:rsidR="00A0215F">
        <w:rPr>
          <w:lang w:val="en-GB"/>
        </w:rPr>
        <w:t xml:space="preserve"> which considers relevant fundamental rights. </w:t>
      </w:r>
      <w:r w:rsidR="00C81156">
        <w:rPr>
          <w:lang w:val="en-GB"/>
        </w:rPr>
        <w:t xml:space="preserve">Following Part B, a bottom-up approach that draws from self-regulating creative online communities would integrate authorial consent and authorial remuneration as key criteria on which access to platforms for the purpose of artistic communication hinges. This approach comprises a more wholistic </w:t>
      </w:r>
      <w:r w:rsidR="00C81156">
        <w:rPr>
          <w:lang w:val="en-GB"/>
        </w:rPr>
        <w:lastRenderedPageBreak/>
        <w:t xml:space="preserve">assessment of creativity online which better reconciles the tension between UGC and the expanding </w:t>
      </w:r>
      <w:proofErr w:type="spellStart"/>
      <w:r w:rsidR="00C81156">
        <w:rPr>
          <w:lang w:val="en-GB"/>
        </w:rPr>
        <w:t>propertisation</w:t>
      </w:r>
      <w:proofErr w:type="spellEnd"/>
      <w:r w:rsidR="00C81156">
        <w:rPr>
          <w:lang w:val="en-GB"/>
        </w:rPr>
        <w:t xml:space="preserve"> of EU copyright law.</w:t>
      </w:r>
      <w:r w:rsidR="00C81156">
        <w:rPr>
          <w:rStyle w:val="FootnoteReference"/>
          <w:lang w:val="en-GB"/>
        </w:rPr>
        <w:footnoteReference w:id="140"/>
      </w:r>
      <w:r w:rsidR="00C81156">
        <w:rPr>
          <w:lang w:val="en-GB"/>
        </w:rPr>
        <w:t xml:space="preserve"> </w:t>
      </w:r>
    </w:p>
    <w:p w14:paraId="077E4B80" w14:textId="6D12FF28" w:rsidR="007D713F" w:rsidRDefault="001E77E8" w:rsidP="008D5CA0">
      <w:pPr>
        <w:pStyle w:val="TextBeitragab2Absatz"/>
        <w:jc w:val="both"/>
        <w:rPr>
          <w:lang w:val="en-GB"/>
        </w:rPr>
      </w:pPr>
      <w:r>
        <w:rPr>
          <w:lang w:val="en-GB"/>
        </w:rPr>
        <w:t xml:space="preserve">While the contours of art. 14 undoubtedly need refining, the blanket approach to applying users’ interests and fundamental rights </w:t>
      </w:r>
      <w:r w:rsidR="00C81156">
        <w:rPr>
          <w:lang w:val="en-GB"/>
        </w:rPr>
        <w:t xml:space="preserve">specific to restricting access has the capacity to </w:t>
      </w:r>
      <w:r w:rsidR="006876C9">
        <w:rPr>
          <w:lang w:val="en-GB"/>
        </w:rPr>
        <w:t>pave the way for a genuine counter</w:t>
      </w:r>
      <w:r w:rsidR="00C81156">
        <w:rPr>
          <w:lang w:val="en-GB"/>
        </w:rPr>
        <w:t>-</w:t>
      </w:r>
      <w:r w:rsidR="006876C9">
        <w:rPr>
          <w:lang w:val="en-GB"/>
        </w:rPr>
        <w:t>right to the EU copyright system</w:t>
      </w:r>
      <w:r w:rsidR="00C81156">
        <w:rPr>
          <w:lang w:val="en-GB"/>
        </w:rPr>
        <w:t>.</w:t>
      </w:r>
    </w:p>
    <w:p w14:paraId="5EA4F344" w14:textId="77777777" w:rsidR="00236E7E" w:rsidRPr="00F40F8F" w:rsidRDefault="00236E7E" w:rsidP="00236E7E">
      <w:pPr>
        <w:pStyle w:val="Heading2"/>
        <w:jc w:val="both"/>
        <w:rPr>
          <w:lang w:val="en-GB"/>
        </w:rPr>
      </w:pPr>
      <w:bookmarkStart w:id="12" w:name="_Toc157606439"/>
      <w:r>
        <w:rPr>
          <w:lang w:val="en-GB"/>
        </w:rPr>
        <w:t>Conclusion</w:t>
      </w:r>
      <w:bookmarkEnd w:id="12"/>
    </w:p>
    <w:p w14:paraId="269B5683" w14:textId="239BF321" w:rsidR="00236E7E" w:rsidRDefault="00D46CB5" w:rsidP="00236E7E">
      <w:pPr>
        <w:pStyle w:val="TextBeitragab2Absatz"/>
        <w:jc w:val="both"/>
        <w:rPr>
          <w:lang w:val="en-GB"/>
        </w:rPr>
      </w:pPr>
      <w:r>
        <w:rPr>
          <w:lang w:val="en-GB"/>
        </w:rPr>
        <w:t>Part C</w:t>
      </w:r>
      <w:r w:rsidR="000D36C8">
        <w:rPr>
          <w:lang w:val="en-GB"/>
        </w:rPr>
        <w:t xml:space="preserve"> has reflected on the extent to which both authorial consent and authorial remuneration are safeguarded by recent EU regulatory approaches. Beginning with art. 17 DSM Directive, the article found that due to considerable member state discretion on the option to allow UGC to “stay up” or “stay down” during the redress and complaint mechanism, the answer depends on the member state at hand. While France’s literal transposition equates to “stay down”, the German approach is more unique setting out a list of ex ante safeguards for users which bolster </w:t>
      </w:r>
      <w:r w:rsidR="00703E88">
        <w:rPr>
          <w:lang w:val="en-GB"/>
        </w:rPr>
        <w:t>creativity</w:t>
      </w:r>
      <w:r w:rsidR="000D36C8">
        <w:rPr>
          <w:lang w:val="en-GB"/>
        </w:rPr>
        <w:t xml:space="preserve">. In particular, the ability of users to flag their own content as legitimate specific to an exception, the remuneration by platforms for uses involving pastiche, caricature or parody, and the emphasis on the ‘red button’, all evidence a more comprehensive approach to balancing copyright interests. </w:t>
      </w:r>
      <w:r w:rsidR="007C7926">
        <w:rPr>
          <w:lang w:val="en-GB"/>
        </w:rPr>
        <w:t>Specifically, t</w:t>
      </w:r>
      <w:r w:rsidR="000D36C8">
        <w:rPr>
          <w:lang w:val="en-GB"/>
        </w:rPr>
        <w:t>he legislation provides a specific carve-out for creativity that complies with the boundaries of specific exceptions</w:t>
      </w:r>
      <w:r w:rsidR="00555637">
        <w:rPr>
          <w:lang w:val="en-GB"/>
        </w:rPr>
        <w:t xml:space="preserve"> while simultaneously ensuring authors are paid.</w:t>
      </w:r>
      <w:r w:rsidR="00555637">
        <w:rPr>
          <w:rStyle w:val="FootnoteReference"/>
          <w:lang w:val="en-GB"/>
        </w:rPr>
        <w:footnoteReference w:id="141"/>
      </w:r>
      <w:r w:rsidR="000D36C8">
        <w:rPr>
          <w:lang w:val="en-GB"/>
        </w:rPr>
        <w:t xml:space="preserve"> </w:t>
      </w:r>
    </w:p>
    <w:p w14:paraId="04A1EE2C" w14:textId="64CF5159" w:rsidR="00555637" w:rsidRDefault="00555637" w:rsidP="00236E7E">
      <w:pPr>
        <w:pStyle w:val="TextBeitragab2Absatz"/>
        <w:jc w:val="both"/>
        <w:rPr>
          <w:lang w:val="en-GB"/>
        </w:rPr>
      </w:pPr>
      <w:r>
        <w:rPr>
          <w:lang w:val="en-GB"/>
        </w:rPr>
        <w:t>While the DSA generally has the potential to fill the procedural gaps left by art. 17 DSM Directive, it is when the legislation is view</w:t>
      </w:r>
      <w:r w:rsidR="00703E88">
        <w:rPr>
          <w:lang w:val="en-GB"/>
        </w:rPr>
        <w:t>ed</w:t>
      </w:r>
      <w:r>
        <w:rPr>
          <w:lang w:val="en-GB"/>
        </w:rPr>
        <w:t xml:space="preserve"> outside of the EU copyright system that the DSA provides insight into the horizontal application of fundamental rights to platforms and the necessary building blocks for a </w:t>
      </w:r>
      <w:r w:rsidR="00235937">
        <w:rPr>
          <w:lang w:val="en-GB"/>
        </w:rPr>
        <w:t xml:space="preserve">wider right </w:t>
      </w:r>
      <w:r>
        <w:rPr>
          <w:lang w:val="en-GB"/>
        </w:rPr>
        <w:t xml:space="preserve">to support creativity. </w:t>
      </w:r>
      <w:r w:rsidR="00235937">
        <w:rPr>
          <w:lang w:val="en-GB"/>
        </w:rPr>
        <w:t>If a societal constitutionalism lens is adopted it becomes clear that art. 14 DSA can expand to include a genuine counter-right that demands access to platforms for the purposes of artistic communication. Using a bottom-up approach, where the self-regulatory processes of creative communities form the norms mandating access, art. 14 has the breadth to consider authorial consent and authorial remuneration as key criteria which deigns access for users.</w:t>
      </w:r>
    </w:p>
    <w:p w14:paraId="3A6365F5" w14:textId="0A56656F" w:rsidR="000D36C8" w:rsidRPr="00236E7E" w:rsidRDefault="00235937" w:rsidP="00236E7E">
      <w:pPr>
        <w:pStyle w:val="TextBeitragab2Absatz"/>
        <w:jc w:val="both"/>
        <w:rPr>
          <w:lang w:val="en-GB"/>
        </w:rPr>
      </w:pPr>
      <w:r>
        <w:rPr>
          <w:lang w:val="en-GB"/>
        </w:rPr>
        <w:t xml:space="preserve">Though the capability of art. 14 to </w:t>
      </w:r>
      <w:r w:rsidR="0090245B">
        <w:rPr>
          <w:lang w:val="en-GB"/>
        </w:rPr>
        <w:t xml:space="preserve">encapsulate the values and norms of societal constitutions, namely the artistic system, is uncertain, this article contends that its inclusion demonstrates a key turning point in the safeguarding of creative autonomy and artistic communication relating to platforms. As demonstrated by Part C, the EU copyright system itself appears to sit at a crossroads concerning the proportional and justified approach to UGC takedowns; almost preferencing to wait for member state referrals to the CJEU to determine what the EU legislature meant when art. 17 was proposed, heavily debated, and passed. Considering these shortcomings, approaches like art. 14 DSA highlight the possibility of distancing creativity from a system characterized by </w:t>
      </w:r>
      <w:proofErr w:type="spellStart"/>
      <w:r w:rsidR="0090245B">
        <w:rPr>
          <w:lang w:val="en-GB"/>
        </w:rPr>
        <w:t>propertisation</w:t>
      </w:r>
      <w:proofErr w:type="spellEnd"/>
      <w:r w:rsidR="0090245B">
        <w:rPr>
          <w:lang w:val="en-GB"/>
        </w:rPr>
        <w:t xml:space="preserve"> and </w:t>
      </w:r>
      <w:proofErr w:type="gramStart"/>
      <w:r w:rsidR="0090245B">
        <w:rPr>
          <w:lang w:val="en-GB"/>
        </w:rPr>
        <w:t>taking into account</w:t>
      </w:r>
      <w:proofErr w:type="gramEnd"/>
      <w:r w:rsidR="0090245B">
        <w:rPr>
          <w:lang w:val="en-GB"/>
        </w:rPr>
        <w:t xml:space="preserve"> the societal values and norms of UGC by obliging platforms to respect fundamental rights.</w:t>
      </w:r>
    </w:p>
    <w:p w14:paraId="3551134A" w14:textId="4C385B83" w:rsidR="008B4F08" w:rsidRDefault="003C624D" w:rsidP="00F55ED5">
      <w:pPr>
        <w:pStyle w:val="Heading1"/>
        <w:numPr>
          <w:ilvl w:val="0"/>
          <w:numId w:val="0"/>
        </w:numPr>
        <w:jc w:val="both"/>
        <w:rPr>
          <w:lang w:val="en-GB"/>
        </w:rPr>
      </w:pPr>
      <w:bookmarkStart w:id="13" w:name="_Toc157606440"/>
      <w:r>
        <w:rPr>
          <w:lang w:val="en-GB"/>
        </w:rPr>
        <w:t>C</w:t>
      </w:r>
      <w:r w:rsidR="008B4F08" w:rsidRPr="009D0761">
        <w:rPr>
          <w:lang w:val="en-GB"/>
        </w:rPr>
        <w:t>onclusion</w:t>
      </w:r>
      <w:bookmarkEnd w:id="13"/>
    </w:p>
    <w:p w14:paraId="07E9F60E" w14:textId="29714E64" w:rsidR="00D96CD4" w:rsidRDefault="00417EE8" w:rsidP="00107D1F">
      <w:pPr>
        <w:pStyle w:val="TextBeitragab2Absatz"/>
        <w:jc w:val="both"/>
        <w:rPr>
          <w:lang w:val="en-GB"/>
        </w:rPr>
      </w:pPr>
      <w:r w:rsidRPr="00417EE8">
        <w:rPr>
          <w:lang w:val="en-GB"/>
        </w:rPr>
        <w:t>Thi</w:t>
      </w:r>
      <w:r>
        <w:rPr>
          <w:lang w:val="en-GB"/>
        </w:rPr>
        <w:t xml:space="preserve">s article has sought to restructure platform obligations to authors, users, and systemically, </w:t>
      </w:r>
      <w:r w:rsidR="00E56232">
        <w:rPr>
          <w:lang w:val="en-GB"/>
        </w:rPr>
        <w:t>the artistic system,</w:t>
      </w:r>
      <w:r>
        <w:rPr>
          <w:lang w:val="en-GB"/>
        </w:rPr>
        <w:t xml:space="preserve"> by centring the discussion on creative autonomy and artistic communication.</w:t>
      </w:r>
      <w:r w:rsidR="00D96CD4">
        <w:rPr>
          <w:lang w:val="en-GB"/>
        </w:rPr>
        <w:t xml:space="preserve"> </w:t>
      </w:r>
      <w:proofErr w:type="gramStart"/>
      <w:r w:rsidR="00D96CD4">
        <w:rPr>
          <w:lang w:val="en-GB"/>
        </w:rPr>
        <w:t xml:space="preserve">Adopting </w:t>
      </w:r>
      <w:r w:rsidR="00D96CD4">
        <w:rPr>
          <w:lang w:val="en-GB"/>
        </w:rPr>
        <w:lastRenderedPageBreak/>
        <w:t>systems theory as its lens, it</w:t>
      </w:r>
      <w:proofErr w:type="gramEnd"/>
      <w:r w:rsidR="00D96CD4">
        <w:rPr>
          <w:lang w:val="en-GB"/>
        </w:rPr>
        <w:t xml:space="preserve"> has reflected that the EU copyright system currently fails the cumulative and collaborative creativity occurring on platforms due namely to the introduction of art. 17 DSM Directive. Such an approach suggests that </w:t>
      </w:r>
      <w:proofErr w:type="gramStart"/>
      <w:r w:rsidR="00D96CD4">
        <w:rPr>
          <w:lang w:val="en-GB"/>
        </w:rPr>
        <w:t>in light of</w:t>
      </w:r>
      <w:proofErr w:type="gramEnd"/>
      <w:r w:rsidR="00D96CD4">
        <w:rPr>
          <w:lang w:val="en-GB"/>
        </w:rPr>
        <w:t xml:space="preserve"> the tension between the legal and artistic systems respectively, that law and society must adapt to co-exist. This means that despite the externalisation of society from the legal system, the EU copyright system must evolve to reflect the norms of digital UGC and its dissemination online.</w:t>
      </w:r>
    </w:p>
    <w:p w14:paraId="6C2F37FA" w14:textId="4CB64E23" w:rsidR="002F6185" w:rsidRDefault="00D96CD4" w:rsidP="00107D1F">
      <w:pPr>
        <w:pStyle w:val="TextBeitragab2Absatz"/>
        <w:jc w:val="both"/>
        <w:rPr>
          <w:lang w:val="en-GB"/>
        </w:rPr>
      </w:pPr>
      <w:r>
        <w:rPr>
          <w:lang w:val="en-GB"/>
        </w:rPr>
        <w:t>The first route forward is change inside the EU copyright system. This article has proposed that EU copyright law should authorise creative reuse and its subsequent communication on the condition of authorial remuneration.</w:t>
      </w:r>
      <w:r w:rsidR="002F6185">
        <w:rPr>
          <w:lang w:val="en-GB"/>
        </w:rPr>
        <w:t xml:space="preserve"> It identifies the doctrine of exhaustion as a helpful starting point given its use by the CJEU as a norm-balancing interpretive vehicle for tension between the free movement and goods and national IP rules. The article has emphasized the contextual assessment of consent within these cases to suggest that it form the foundation for allowing creative reuse. Authorial consent has emerged as a flexible, </w:t>
      </w:r>
      <w:proofErr w:type="gramStart"/>
      <w:r w:rsidR="002F6185">
        <w:rPr>
          <w:lang w:val="en-GB"/>
        </w:rPr>
        <w:t>practical</w:t>
      </w:r>
      <w:proofErr w:type="gramEnd"/>
      <w:r w:rsidR="002F6185">
        <w:rPr>
          <w:lang w:val="en-GB"/>
        </w:rPr>
        <w:t xml:space="preserve"> and proportional criterion which sets the boundaries for exhausting further control over a work, and in particular on the possible reputational harm that may result from creative reuse.</w:t>
      </w:r>
    </w:p>
    <w:p w14:paraId="2564D9F7" w14:textId="5B81BD61" w:rsidR="00417EE8" w:rsidRDefault="002F6185" w:rsidP="00107D1F">
      <w:pPr>
        <w:pStyle w:val="TextBeitragab2Absatz"/>
        <w:jc w:val="both"/>
        <w:rPr>
          <w:lang w:val="en-GB"/>
        </w:rPr>
      </w:pPr>
      <w:r>
        <w:rPr>
          <w:lang w:val="en-GB"/>
        </w:rPr>
        <w:t xml:space="preserve">Such harm, it has argued, requires remuneration within certain limits. Using creative autonomy as a guiding principle, when determining the scope of remuneration, </w:t>
      </w:r>
      <w:proofErr w:type="gramStart"/>
      <w:r>
        <w:rPr>
          <w:lang w:val="en-GB"/>
        </w:rPr>
        <w:t>it is clear that it</w:t>
      </w:r>
      <w:proofErr w:type="gramEnd"/>
      <w:r>
        <w:rPr>
          <w:lang w:val="en-GB"/>
        </w:rPr>
        <w:t xml:space="preserve"> must be reasonable. In the context of creative reuse, </w:t>
      </w:r>
      <w:proofErr w:type="spellStart"/>
      <w:r w:rsidRPr="007B0A09">
        <w:rPr>
          <w:lang w:val="en-GB"/>
        </w:rPr>
        <w:t>Reprobel</w:t>
      </w:r>
      <w:proofErr w:type="spellEnd"/>
      <w:r w:rsidRPr="007B0A09">
        <w:rPr>
          <w:lang w:val="en-GB"/>
        </w:rPr>
        <w:t xml:space="preserve"> </w:t>
      </w:r>
      <w:r>
        <w:rPr>
          <w:lang w:val="en-GB"/>
        </w:rPr>
        <w:t>has supported the limitation of remuneration to the notion of ‘actual harm’. This means that only authors have a claim to remuneration because exploiters, theoretically, are only harmed through competing copies of works. Additionally, the basis of their economic rights is not artistic contribution, but investment. If creative reuse is authorized by exhausting authorial consent, there should be no impact on this investment.</w:t>
      </w:r>
    </w:p>
    <w:p w14:paraId="28467682" w14:textId="799615B6" w:rsidR="002F6185" w:rsidRDefault="002F6185" w:rsidP="00107D1F">
      <w:pPr>
        <w:pStyle w:val="TextBeitragab2Absatz"/>
        <w:jc w:val="both"/>
        <w:rPr>
          <w:lang w:val="en-GB"/>
        </w:rPr>
      </w:pPr>
      <w:r>
        <w:rPr>
          <w:lang w:val="en-GB"/>
        </w:rPr>
        <w:t xml:space="preserve">Despite this possibility, the likelihood that it will be interpreted by the CJEU is slim, particularly given the increasing </w:t>
      </w:r>
      <w:proofErr w:type="spellStart"/>
      <w:r>
        <w:rPr>
          <w:lang w:val="en-GB"/>
        </w:rPr>
        <w:t>propertisation</w:t>
      </w:r>
      <w:proofErr w:type="spellEnd"/>
      <w:r>
        <w:rPr>
          <w:lang w:val="en-GB"/>
        </w:rPr>
        <w:t xml:space="preserve"> of the EU copyright system and the status of exploiters, generally. For this reason, the article has considered a second way forward, change outside of the EU copyright system</w:t>
      </w:r>
      <w:r w:rsidR="00B27E92">
        <w:rPr>
          <w:lang w:val="en-GB"/>
        </w:rPr>
        <w:t xml:space="preserve"> and suggested that the emphasis on constitutional support for enforcement can also be used to bolster social functions of copyright, namely creativity.</w:t>
      </w:r>
      <w:r w:rsidR="007B0A09">
        <w:rPr>
          <w:lang w:val="en-GB"/>
        </w:rPr>
        <w:t xml:space="preserve"> The article draws upon the indirect effect doctrine to suggest that the comparable function of platforms to public spaces that provide essential spaces for communication requires the horizontal application of fundamental rights, specifically freedom of expression. It also draws on the theory of societal constitutionalism to propose that this be structured through a wider right of access for artistic communication that platforms are obligated to safeguard.</w:t>
      </w:r>
    </w:p>
    <w:p w14:paraId="61597343" w14:textId="2430AD65" w:rsidR="007B0A09" w:rsidRDefault="007B0A09" w:rsidP="00107D1F">
      <w:pPr>
        <w:pStyle w:val="TextBeitragab2Absatz"/>
        <w:jc w:val="both"/>
        <w:rPr>
          <w:lang w:val="en-GB"/>
        </w:rPr>
      </w:pPr>
      <w:r>
        <w:rPr>
          <w:lang w:val="en-GB"/>
        </w:rPr>
        <w:t>The article has concluded that there is potential both inside and outside the EU copyright system to safeguard creative autonomy through similar mechanisms to authorial consent and authorial remuneration. More directly, the German implementation of art.17 DSM Directive, and the requirement for UGC to “stay up” during the redress and complaint process more generally, evidences a more wholistic approach to proportionally balancing copyright interests. Indeed, the pre-flagging by users as well as the red button for copyright holders demonstrates a comprehensive understanding of the creative requirement for control, substitution theory and the need for any authorisation, even in statute, to require authorial remuneration.</w:t>
      </w:r>
    </w:p>
    <w:p w14:paraId="054A45BC" w14:textId="1A039D3B" w:rsidR="00107D1F" w:rsidRDefault="00107D1F" w:rsidP="00107D1F">
      <w:pPr>
        <w:pStyle w:val="TextBeitragab2Absatz"/>
        <w:jc w:val="both"/>
        <w:rPr>
          <w:lang w:val="en-GB"/>
        </w:rPr>
      </w:pPr>
      <w:r>
        <w:rPr>
          <w:lang w:val="en-GB"/>
        </w:rPr>
        <w:t xml:space="preserve">Art. 14 DSA demonstrates an approach more closely aligned with the indirect effect doctrine and the theory of societal constitutionalism. This means that is has the capacity to reflect norms and values of the artistic system, namely creative autonomy, and artistic communication, as it requires platforms to consider the interests and fundamental rights related to users when </w:t>
      </w:r>
      <w:proofErr w:type="gramStart"/>
      <w:r>
        <w:rPr>
          <w:lang w:val="en-GB"/>
        </w:rPr>
        <w:t>making a decision</w:t>
      </w:r>
      <w:proofErr w:type="gramEnd"/>
      <w:r>
        <w:rPr>
          <w:lang w:val="en-GB"/>
        </w:rPr>
        <w:t xml:space="preserve"> on content moderation. While the boundaries and substance of art. 14 DSA need to be developed and elaborated on, this article suggests that it has the potential to help re-centre the discussion on safeguarding creativity online. It further represents an external escape clause to the EU copyright system that could impact the internal structuring of the EU copyright system, itself.</w:t>
      </w:r>
    </w:p>
    <w:p w14:paraId="5AD22947" w14:textId="6847BCC7" w:rsidR="00107D1F" w:rsidRDefault="00107D1F" w:rsidP="00107D1F">
      <w:pPr>
        <w:pStyle w:val="TextBeitragab2Absatz"/>
        <w:jc w:val="both"/>
        <w:rPr>
          <w:lang w:val="en-GB"/>
        </w:rPr>
      </w:pPr>
      <w:r>
        <w:rPr>
          <w:lang w:val="en-GB"/>
        </w:rPr>
        <w:lastRenderedPageBreak/>
        <w:t xml:space="preserve">While it is </w:t>
      </w:r>
      <w:r w:rsidR="00DE18B8">
        <w:rPr>
          <w:lang w:val="en-GB"/>
        </w:rPr>
        <w:t>preferable</w:t>
      </w:r>
      <w:r>
        <w:rPr>
          <w:lang w:val="en-GB"/>
        </w:rPr>
        <w:t xml:space="preserve"> for these changes to be founded within the EU copyright system, the increasing significance of societal constitutionalism within the digital environment, particularly platforms, demonstrates the striking need for the law to develop and adequately respond to both the growing status and influence of </w:t>
      </w:r>
      <w:r w:rsidR="007F3CB3">
        <w:rPr>
          <w:lang w:val="en-GB"/>
        </w:rPr>
        <w:t>platforms</w:t>
      </w:r>
      <w:r w:rsidR="00DE18B8">
        <w:rPr>
          <w:lang w:val="en-GB"/>
        </w:rPr>
        <w:t>. I</w:t>
      </w:r>
      <w:r w:rsidR="007F3CB3">
        <w:rPr>
          <w:lang w:val="en-GB"/>
        </w:rPr>
        <w:t>n terms of creativity,</w:t>
      </w:r>
      <w:r w:rsidR="00DE18B8">
        <w:rPr>
          <w:lang w:val="en-GB"/>
        </w:rPr>
        <w:t xml:space="preserve"> the artistic system already comprises the values and norms necessary to positively </w:t>
      </w:r>
      <w:r w:rsidR="007F3CB3">
        <w:rPr>
          <w:lang w:val="en-GB"/>
        </w:rPr>
        <w:t xml:space="preserve">impact </w:t>
      </w:r>
      <w:r w:rsidR="00DE18B8">
        <w:rPr>
          <w:lang w:val="en-GB"/>
        </w:rPr>
        <w:t>the</w:t>
      </w:r>
      <w:r w:rsidR="007F3CB3">
        <w:rPr>
          <w:lang w:val="en-GB"/>
        </w:rPr>
        <w:t xml:space="preserve"> regulation and behaviour </w:t>
      </w:r>
      <w:r w:rsidR="00DE18B8">
        <w:rPr>
          <w:lang w:val="en-GB"/>
        </w:rPr>
        <w:t xml:space="preserve">of platforms </w:t>
      </w:r>
      <w:r w:rsidR="007F3CB3">
        <w:rPr>
          <w:lang w:val="en-GB"/>
        </w:rPr>
        <w:t>on users who recreate.</w:t>
      </w:r>
    </w:p>
    <w:p w14:paraId="523E2A35" w14:textId="5DC061AD" w:rsidR="003F205E" w:rsidRPr="00C21D7C" w:rsidRDefault="006A7DAE" w:rsidP="001E3C9A">
      <w:pPr>
        <w:pStyle w:val="Heading1"/>
        <w:numPr>
          <w:ilvl w:val="0"/>
          <w:numId w:val="0"/>
        </w:numPr>
        <w:jc w:val="both"/>
        <w:rPr>
          <w:lang w:val="en-GB"/>
        </w:rPr>
      </w:pPr>
      <w:bookmarkStart w:id="14" w:name="_Toc157606441"/>
      <w:r w:rsidRPr="00C21D7C">
        <w:rPr>
          <w:lang w:val="en-GB"/>
        </w:rPr>
        <w:t>Summary</w:t>
      </w:r>
      <w:bookmarkEnd w:id="14"/>
      <w:r w:rsidR="00255E1D" w:rsidRPr="00C21D7C">
        <w:rPr>
          <w:lang w:val="en-GB"/>
        </w:rPr>
        <w:t xml:space="preserve"> </w:t>
      </w:r>
    </w:p>
    <w:p w14:paraId="3AD22F0D" w14:textId="6F72D75E" w:rsidR="00D97D00" w:rsidRDefault="00D97D00" w:rsidP="00D97D00">
      <w:pPr>
        <w:ind w:firstLine="227"/>
        <w:jc w:val="both"/>
        <w:rPr>
          <w:rFonts w:ascii="Times New Roman" w:hAnsi="Times New Roman"/>
          <w:bCs/>
          <w:lang w:val="en-GB"/>
        </w:rPr>
      </w:pPr>
      <w:r>
        <w:rPr>
          <w:rFonts w:ascii="Times New Roman" w:hAnsi="Times New Roman"/>
          <w:bCs/>
          <w:lang w:val="en-GB"/>
        </w:rPr>
        <w:t xml:space="preserve">This article discusses the impact of the regulation and behaviour of platforms on users who </w:t>
      </w:r>
      <w:r w:rsidR="00E56232">
        <w:rPr>
          <w:rFonts w:ascii="Times New Roman" w:hAnsi="Times New Roman"/>
          <w:bCs/>
          <w:lang w:val="en-GB"/>
        </w:rPr>
        <w:t>share creative reuse online</w:t>
      </w:r>
      <w:r>
        <w:rPr>
          <w:rFonts w:ascii="Times New Roman" w:hAnsi="Times New Roman"/>
          <w:bCs/>
          <w:lang w:val="en-GB"/>
        </w:rPr>
        <w:t xml:space="preserve">. </w:t>
      </w:r>
      <w:proofErr w:type="gramStart"/>
      <w:r>
        <w:rPr>
          <w:rFonts w:ascii="Times New Roman" w:hAnsi="Times New Roman"/>
          <w:bCs/>
          <w:lang w:val="en-GB"/>
        </w:rPr>
        <w:t>Adopting a systems theory lens, it</w:t>
      </w:r>
      <w:proofErr w:type="gramEnd"/>
      <w:r>
        <w:rPr>
          <w:rFonts w:ascii="Times New Roman" w:hAnsi="Times New Roman"/>
          <w:bCs/>
          <w:lang w:val="en-GB"/>
        </w:rPr>
        <w:t xml:space="preserve"> suggests that norms and values within the artistic system preference creative autonomy and the ability to share creativity online. Given the resulting</w:t>
      </w:r>
      <w:r w:rsidR="00E56232">
        <w:rPr>
          <w:rFonts w:ascii="Times New Roman" w:hAnsi="Times New Roman"/>
          <w:bCs/>
          <w:lang w:val="en-GB"/>
        </w:rPr>
        <w:t xml:space="preserve"> tension</w:t>
      </w:r>
      <w:r>
        <w:rPr>
          <w:rFonts w:ascii="Times New Roman" w:hAnsi="Times New Roman"/>
          <w:bCs/>
          <w:lang w:val="en-GB"/>
        </w:rPr>
        <w:t xml:space="preserve"> with the EU copyright system, the article identifies two possible ways forward: change either through the concept of consent inside the EU copyright system, or a departure point structured outside using the horizontal application of fundamental rights. These two approaches are then applied to the current EU regulatory landscape</w:t>
      </w:r>
      <w:r w:rsidR="00C414F4">
        <w:rPr>
          <w:rFonts w:ascii="Times New Roman" w:hAnsi="Times New Roman"/>
          <w:bCs/>
          <w:lang w:val="en-GB"/>
        </w:rPr>
        <w:t>, focusing on art. 17 D</w:t>
      </w:r>
      <w:r w:rsidR="00CE3563">
        <w:rPr>
          <w:rFonts w:ascii="Times New Roman" w:hAnsi="Times New Roman"/>
          <w:bCs/>
          <w:lang w:val="en-GB"/>
        </w:rPr>
        <w:t>igital Single Market</w:t>
      </w:r>
      <w:r w:rsidR="00C414F4">
        <w:rPr>
          <w:rFonts w:ascii="Times New Roman" w:hAnsi="Times New Roman"/>
          <w:bCs/>
          <w:lang w:val="en-GB"/>
        </w:rPr>
        <w:t xml:space="preserve"> Directive and art. 14 D</w:t>
      </w:r>
      <w:r w:rsidR="00CE3563">
        <w:rPr>
          <w:rFonts w:ascii="Times New Roman" w:hAnsi="Times New Roman"/>
          <w:bCs/>
          <w:lang w:val="en-GB"/>
        </w:rPr>
        <w:t>igital Services Act</w:t>
      </w:r>
      <w:r w:rsidR="00C414F4">
        <w:rPr>
          <w:rFonts w:ascii="Times New Roman" w:hAnsi="Times New Roman"/>
          <w:bCs/>
          <w:lang w:val="en-GB"/>
        </w:rPr>
        <w:t>. The discussion centres upon the extent that these approaches sufficiently safeguard creativity online and future steps.</w:t>
      </w:r>
    </w:p>
    <w:p w14:paraId="005E97B0" w14:textId="37B58ECF" w:rsidR="003C624D" w:rsidRPr="005A2C71" w:rsidRDefault="0046093A" w:rsidP="005A2C71">
      <w:pPr>
        <w:pStyle w:val="Heading1"/>
        <w:numPr>
          <w:ilvl w:val="0"/>
          <w:numId w:val="0"/>
        </w:numPr>
        <w:ind w:left="360" w:hanging="360"/>
        <w:jc w:val="both"/>
        <w:rPr>
          <w:lang w:val="en-GB"/>
        </w:rPr>
      </w:pPr>
      <w:bookmarkStart w:id="15" w:name="_Toc157606442"/>
      <w:r w:rsidRPr="005A2C71">
        <w:rPr>
          <w:lang w:val="en-GB"/>
        </w:rPr>
        <w:t>Author</w:t>
      </w:r>
      <w:r w:rsidR="008B4F08" w:rsidRPr="005A2C71">
        <w:rPr>
          <w:lang w:val="en-GB"/>
        </w:rPr>
        <w:t>’</w:t>
      </w:r>
      <w:r w:rsidRPr="005A2C71">
        <w:rPr>
          <w:lang w:val="en-GB"/>
        </w:rPr>
        <w:t>s full contact details</w:t>
      </w:r>
      <w:r w:rsidR="0038461B" w:rsidRPr="005A2C71">
        <w:rPr>
          <w:lang w:val="en-GB"/>
        </w:rPr>
        <w:t>:</w:t>
      </w:r>
      <w:bookmarkEnd w:id="15"/>
    </w:p>
    <w:p w14:paraId="74E506A1" w14:textId="765A46E4" w:rsidR="0038461B" w:rsidRPr="00C32024" w:rsidRDefault="00D7368E" w:rsidP="00C32024">
      <w:pPr>
        <w:pStyle w:val="TextBeitrag1Absatz"/>
        <w:rPr>
          <w:b/>
          <w:lang w:val="en-GB"/>
        </w:rPr>
      </w:pPr>
      <w:r w:rsidRPr="003C624D">
        <w:rPr>
          <w:lang w:val="en-GB"/>
        </w:rPr>
        <w:t>Georgia Jenkins</w:t>
      </w:r>
      <w:r w:rsidR="0038461B" w:rsidRPr="003C624D">
        <w:rPr>
          <w:lang w:val="en-GB"/>
        </w:rPr>
        <w:t xml:space="preserve">, </w:t>
      </w:r>
      <w:r w:rsidR="002B5D6A" w:rsidRPr="003C624D">
        <w:rPr>
          <w:lang w:val="en-GB"/>
        </w:rPr>
        <w:t>Kent Law School, University of Kent, Eliot Extension, CT</w:t>
      </w:r>
      <w:r w:rsidR="00754DCD" w:rsidRPr="003C624D">
        <w:rPr>
          <w:lang w:val="en-GB"/>
        </w:rPr>
        <w:t>2</w:t>
      </w:r>
      <w:r w:rsidR="002B5D6A" w:rsidRPr="003C624D">
        <w:rPr>
          <w:lang w:val="en-GB"/>
        </w:rPr>
        <w:t xml:space="preserve"> 7NS</w:t>
      </w:r>
      <w:r w:rsidR="0038461B" w:rsidRPr="003C624D">
        <w:rPr>
          <w:lang w:val="en-GB"/>
        </w:rPr>
        <w:t xml:space="preserve">, </w:t>
      </w:r>
      <w:r w:rsidR="00754DCD" w:rsidRPr="003C624D">
        <w:rPr>
          <w:lang w:val="en-GB"/>
        </w:rPr>
        <w:t>Canterbury g.jenkins@kent.ac.uk</w:t>
      </w:r>
    </w:p>
    <w:sectPr w:rsidR="0038461B" w:rsidRPr="00C32024" w:rsidSect="0079338D">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14DF" w14:textId="77777777" w:rsidR="0079338D" w:rsidRDefault="0079338D" w:rsidP="00924A3B">
      <w:pPr>
        <w:spacing w:after="0" w:line="240" w:lineRule="auto"/>
      </w:pPr>
      <w:r>
        <w:separator/>
      </w:r>
    </w:p>
  </w:endnote>
  <w:endnote w:type="continuationSeparator" w:id="0">
    <w:p w14:paraId="466F4736" w14:textId="77777777" w:rsidR="0079338D" w:rsidRDefault="0079338D" w:rsidP="0092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BA68" w14:textId="77777777" w:rsidR="0079338D" w:rsidRDefault="0079338D" w:rsidP="00924A3B">
      <w:pPr>
        <w:spacing w:after="0" w:line="240" w:lineRule="auto"/>
      </w:pPr>
      <w:r>
        <w:separator/>
      </w:r>
    </w:p>
  </w:footnote>
  <w:footnote w:type="continuationSeparator" w:id="0">
    <w:p w14:paraId="6DCA882E" w14:textId="77777777" w:rsidR="0079338D" w:rsidRDefault="0079338D" w:rsidP="00924A3B">
      <w:pPr>
        <w:spacing w:after="0" w:line="240" w:lineRule="auto"/>
      </w:pPr>
      <w:r>
        <w:continuationSeparator/>
      </w:r>
    </w:p>
  </w:footnote>
  <w:footnote w:id="1">
    <w:p w14:paraId="438619D9" w14:textId="0C4E5125" w:rsidR="00F50C68" w:rsidRPr="007A5B75" w:rsidRDefault="00F50C68" w:rsidP="00444D4E">
      <w:pPr>
        <w:pStyle w:val="FootnoteText"/>
        <w:rPr>
          <w:lang w:val="en-GB"/>
        </w:rPr>
      </w:pPr>
      <w:r w:rsidRPr="007A5B75">
        <w:rPr>
          <w:rStyle w:val="FootnoteReference"/>
          <w:lang w:val="en-GB"/>
        </w:rPr>
        <w:footnoteRef/>
      </w:r>
      <w:r w:rsidRPr="007A5B75">
        <w:rPr>
          <w:lang w:val="en-GB"/>
        </w:rPr>
        <w:t xml:space="preserve"> E.g. Publishers, </w:t>
      </w:r>
      <w:proofErr w:type="gramStart"/>
      <w:r w:rsidRPr="007A5B75">
        <w:rPr>
          <w:lang w:val="en-GB"/>
        </w:rPr>
        <w:t>producers</w:t>
      </w:r>
      <w:proofErr w:type="gramEnd"/>
      <w:r w:rsidRPr="007A5B75">
        <w:rPr>
          <w:lang w:val="en-GB"/>
        </w:rPr>
        <w:t xml:space="preserve"> and broadcasters.</w:t>
      </w:r>
      <w:r w:rsidR="00026D03" w:rsidRPr="007A5B75">
        <w:rPr>
          <w:lang w:val="en-GB"/>
        </w:rPr>
        <w:t xml:space="preserve"> </w:t>
      </w:r>
      <w:r w:rsidR="004A5A96" w:rsidRPr="007A5B75">
        <w:rPr>
          <w:lang w:val="en-GB"/>
        </w:rPr>
        <w:t>See</w:t>
      </w:r>
      <w:r w:rsidR="00026D03" w:rsidRPr="007A5B75">
        <w:rPr>
          <w:lang w:val="en-GB"/>
        </w:rPr>
        <w:t xml:space="preserve">, Guido </w:t>
      </w:r>
      <w:proofErr w:type="spellStart"/>
      <w:r w:rsidR="00026D03" w:rsidRPr="007A5B75">
        <w:rPr>
          <w:lang w:val="en-GB"/>
        </w:rPr>
        <w:t>Westkamp</w:t>
      </w:r>
      <w:proofErr w:type="spellEnd"/>
      <w:r w:rsidR="00026D03" w:rsidRPr="007A5B75">
        <w:rPr>
          <w:lang w:val="en-GB"/>
        </w:rPr>
        <w:t>, ‘The Three-Step Test and Copyright Limitations in Europe</w:t>
      </w:r>
      <w:r w:rsidR="00C24A9C" w:rsidRPr="007A5B75">
        <w:rPr>
          <w:lang w:val="en-GB"/>
        </w:rPr>
        <w:t xml:space="preserve">: European Copyright Law between Approximation and National Decision Making (2008) 56 J Copyright Soc’y USA 1; Guido </w:t>
      </w:r>
      <w:proofErr w:type="spellStart"/>
      <w:r w:rsidR="00C24A9C" w:rsidRPr="007A5B75">
        <w:rPr>
          <w:lang w:val="en-GB"/>
        </w:rPr>
        <w:t>Westkamp</w:t>
      </w:r>
      <w:proofErr w:type="spellEnd"/>
      <w:r w:rsidR="00C24A9C" w:rsidRPr="007A5B75">
        <w:rPr>
          <w:lang w:val="en-GB"/>
        </w:rPr>
        <w:t xml:space="preserve">, ‘One of several super rights? The (subtle) impact of the digital single market on a future EU copyright Architecture’ </w:t>
      </w:r>
      <w:r w:rsidR="0009448B" w:rsidRPr="007A5B75">
        <w:rPr>
          <w:lang w:val="en-GB"/>
        </w:rPr>
        <w:t xml:space="preserve">in Kung-Chung Liu and Reto M. Hilty (eds) </w:t>
      </w:r>
      <w:r w:rsidR="0009448B" w:rsidRPr="007A5B75">
        <w:rPr>
          <w:i/>
          <w:iCs/>
          <w:lang w:val="en-GB"/>
        </w:rPr>
        <w:t>Remuneration of Copyright Owners: Regulatory Challenges of New Business Mo</w:t>
      </w:r>
      <w:r w:rsidR="00BA467C" w:rsidRPr="007A5B75">
        <w:rPr>
          <w:i/>
          <w:iCs/>
          <w:lang w:val="en-GB"/>
        </w:rPr>
        <w:t xml:space="preserve">dels </w:t>
      </w:r>
      <w:r w:rsidR="00BA467C" w:rsidRPr="007A5B75">
        <w:rPr>
          <w:lang w:val="en-GB"/>
        </w:rPr>
        <w:t>(Springer 2017)</w:t>
      </w:r>
      <w:r w:rsidR="006E312C" w:rsidRPr="007A5B75">
        <w:rPr>
          <w:lang w:val="en-GB"/>
        </w:rPr>
        <w:t xml:space="preserve">; </w:t>
      </w:r>
      <w:r w:rsidR="004A5A96" w:rsidRPr="007A5B75">
        <w:rPr>
          <w:lang w:val="en-GB"/>
        </w:rPr>
        <w:t xml:space="preserve">and </w:t>
      </w:r>
      <w:r w:rsidR="006E312C" w:rsidRPr="007A5B75">
        <w:rPr>
          <w:lang w:val="en-GB"/>
        </w:rPr>
        <w:t xml:space="preserve">Jane C. Ginsburg, ‘The Author’s place in the Future of Copyright’ in Ruth </w:t>
      </w:r>
      <w:proofErr w:type="spellStart"/>
      <w:r w:rsidR="006E312C" w:rsidRPr="007A5B75">
        <w:rPr>
          <w:lang w:val="en-GB"/>
        </w:rPr>
        <w:t>Okediji</w:t>
      </w:r>
      <w:proofErr w:type="spellEnd"/>
      <w:r w:rsidR="006E312C" w:rsidRPr="007A5B75">
        <w:rPr>
          <w:lang w:val="en-GB"/>
        </w:rPr>
        <w:t xml:space="preserve"> (ed) </w:t>
      </w:r>
      <w:r w:rsidR="006E312C" w:rsidRPr="007A5B75">
        <w:rPr>
          <w:i/>
          <w:iCs/>
          <w:lang w:val="en-GB"/>
        </w:rPr>
        <w:t xml:space="preserve">Copyright in an Age of Exceptions and Limitations </w:t>
      </w:r>
      <w:r w:rsidR="006E312C" w:rsidRPr="007A5B75">
        <w:rPr>
          <w:lang w:val="en-GB"/>
        </w:rPr>
        <w:t>(Cambridge 2015)</w:t>
      </w:r>
      <w:r w:rsidR="004A5A96" w:rsidRPr="007A5B75">
        <w:rPr>
          <w:lang w:val="en-GB"/>
        </w:rPr>
        <w:t xml:space="preserve">. </w:t>
      </w:r>
    </w:p>
  </w:footnote>
  <w:footnote w:id="2">
    <w:p w14:paraId="0A51D10A" w14:textId="2B3297AF" w:rsidR="00797081" w:rsidRPr="007A5B75" w:rsidRDefault="00797081" w:rsidP="00444D4E">
      <w:pPr>
        <w:pStyle w:val="FootnoteText"/>
        <w:rPr>
          <w:lang w:val="en-GB"/>
        </w:rPr>
      </w:pPr>
      <w:r w:rsidRPr="007A5B75">
        <w:rPr>
          <w:rStyle w:val="FootnoteReference"/>
          <w:lang w:val="en-GB"/>
        </w:rPr>
        <w:footnoteRef/>
      </w:r>
      <w:r w:rsidRPr="007A5B75">
        <w:rPr>
          <w:lang w:val="en-GB"/>
        </w:rPr>
        <w:t xml:space="preserve"> </w:t>
      </w:r>
      <w:r w:rsidR="00523208" w:rsidRPr="007A5B75">
        <w:rPr>
          <w:lang w:val="en-GB"/>
        </w:rPr>
        <w:t>Directive (EU) 2019/790 of the European Parliament and of the Council of 17 April 2019 on copyright and related rights in the Digital Single Market and amending Directives 96/9/EC and 2001/29/EC [2019] OJ L 130/92</w:t>
      </w:r>
    </w:p>
  </w:footnote>
  <w:footnote w:id="3">
    <w:p w14:paraId="2BE89558" w14:textId="01032661" w:rsidR="00CB5A86" w:rsidRPr="007A5B75" w:rsidRDefault="00CB5A86" w:rsidP="00444D4E">
      <w:pPr>
        <w:pStyle w:val="FootnoteText"/>
        <w:rPr>
          <w:lang w:val="en-GB"/>
        </w:rPr>
      </w:pPr>
      <w:r w:rsidRPr="007A5B75">
        <w:rPr>
          <w:rStyle w:val="FootnoteReference"/>
          <w:lang w:val="en-GB"/>
        </w:rPr>
        <w:footnoteRef/>
      </w:r>
      <w:r w:rsidRPr="007A5B75">
        <w:rPr>
          <w:lang w:val="en-GB"/>
        </w:rPr>
        <w:t xml:space="preserve"> </w:t>
      </w:r>
      <w:r w:rsidR="00135241" w:rsidRPr="007A5B75">
        <w:rPr>
          <w:lang w:val="en-GB"/>
        </w:rPr>
        <w:t xml:space="preserve">IFPI, ‘Rewarding creativity: Fixing the value gap’ (IFPI, 13 December 2018) &lt; </w:t>
      </w:r>
      <w:r w:rsidR="001D7F8B" w:rsidRPr="007A5B75">
        <w:rPr>
          <w:lang w:val="en-GB"/>
        </w:rPr>
        <w:t>https://www.ifpi.org/rightsholders-unite-in-calling-for-an-effective-solution-to-the-value-gap/</w:t>
      </w:r>
      <w:r w:rsidR="00135241" w:rsidRPr="007A5B75">
        <w:rPr>
          <w:lang w:val="en-GB"/>
        </w:rPr>
        <w:t xml:space="preserve">&gt; accessed </w:t>
      </w:r>
      <w:r w:rsidR="001D7F8B" w:rsidRPr="007A5B75">
        <w:rPr>
          <w:lang w:val="en-GB"/>
        </w:rPr>
        <w:t>29 Jan. 2024</w:t>
      </w:r>
      <w:r w:rsidR="00135241" w:rsidRPr="007A5B75">
        <w:rPr>
          <w:lang w:val="en-GB"/>
        </w:rPr>
        <w:t>.</w:t>
      </w:r>
    </w:p>
  </w:footnote>
  <w:footnote w:id="4">
    <w:p w14:paraId="4E9A1498" w14:textId="77777777" w:rsidR="00E7028E" w:rsidRPr="007A5B75" w:rsidRDefault="007A723F" w:rsidP="00444D4E">
      <w:pPr>
        <w:pStyle w:val="FootnoteText"/>
        <w:rPr>
          <w:lang w:val="en-GB"/>
        </w:rPr>
      </w:pPr>
      <w:r w:rsidRPr="007A5B75">
        <w:rPr>
          <w:rStyle w:val="FootnoteReference"/>
          <w:lang w:val="en-GB"/>
        </w:rPr>
        <w:footnoteRef/>
      </w:r>
      <w:r w:rsidRPr="007A5B75">
        <w:rPr>
          <w:lang w:val="en-GB"/>
        </w:rPr>
        <w:t xml:space="preserve"> </w:t>
      </w:r>
      <w:r w:rsidR="00E7028E" w:rsidRPr="007A5B75">
        <w:rPr>
          <w:lang w:val="en-GB"/>
        </w:rPr>
        <w:t xml:space="preserve">Christophe Geiger and Bernd Justin </w:t>
      </w:r>
      <w:proofErr w:type="spellStart"/>
      <w:r w:rsidR="00E7028E" w:rsidRPr="007A5B75">
        <w:rPr>
          <w:lang w:val="en-GB"/>
        </w:rPr>
        <w:t>Jütte</w:t>
      </w:r>
      <w:proofErr w:type="spellEnd"/>
      <w:r w:rsidR="00E7028E" w:rsidRPr="007A5B75">
        <w:rPr>
          <w:lang w:val="en-GB"/>
        </w:rPr>
        <w:t xml:space="preserve">, ‘Platform Liability Under Art. 17 of the Copyright in the Digital </w:t>
      </w:r>
    </w:p>
    <w:p w14:paraId="0814F519" w14:textId="77777777" w:rsidR="00E7028E" w:rsidRPr="007A5B75" w:rsidRDefault="00E7028E" w:rsidP="00444D4E">
      <w:pPr>
        <w:pStyle w:val="FootnoteText"/>
        <w:rPr>
          <w:lang w:val="en-GB"/>
        </w:rPr>
      </w:pPr>
      <w:r w:rsidRPr="007A5B75">
        <w:rPr>
          <w:lang w:val="en-GB"/>
        </w:rPr>
        <w:t xml:space="preserve">Single Market Directive, Automated Filtering and Fundamental Rights: An Impossible Match’ (2021) 70 GRUR </w:t>
      </w:r>
    </w:p>
    <w:p w14:paraId="3A3137EB" w14:textId="77777777" w:rsidR="000A31C3" w:rsidRPr="007A5B75" w:rsidRDefault="00E7028E" w:rsidP="00444D4E">
      <w:pPr>
        <w:pStyle w:val="FootnoteText"/>
        <w:rPr>
          <w:lang w:val="en-GB"/>
        </w:rPr>
      </w:pPr>
      <w:r w:rsidRPr="007A5B75">
        <w:rPr>
          <w:lang w:val="en-GB"/>
        </w:rPr>
        <w:t xml:space="preserve">International 517; </w:t>
      </w:r>
      <w:r w:rsidR="000A31C3" w:rsidRPr="007A5B75">
        <w:rPr>
          <w:lang w:val="en-GB"/>
        </w:rPr>
        <w:t xml:space="preserve">Maxime Lambrecht, 'Free Speech by Design: Algorithmic Protection of Exceptions and </w:t>
      </w:r>
    </w:p>
    <w:p w14:paraId="0D3AF6DC" w14:textId="77777777" w:rsidR="000A31C3" w:rsidRPr="007A5B75" w:rsidRDefault="000A31C3" w:rsidP="00444D4E">
      <w:pPr>
        <w:pStyle w:val="FootnoteText"/>
        <w:rPr>
          <w:lang w:val="en-GB"/>
        </w:rPr>
      </w:pPr>
      <w:r w:rsidRPr="007A5B75">
        <w:rPr>
          <w:lang w:val="en-GB"/>
        </w:rPr>
        <w:t xml:space="preserve">Limitations in the Copyright DSM Directive' (2020) 11 J </w:t>
      </w:r>
      <w:proofErr w:type="spellStart"/>
      <w:r w:rsidRPr="007A5B75">
        <w:rPr>
          <w:lang w:val="en-GB"/>
        </w:rPr>
        <w:t>Intell</w:t>
      </w:r>
      <w:proofErr w:type="spellEnd"/>
      <w:r w:rsidRPr="007A5B75">
        <w:rPr>
          <w:lang w:val="en-GB"/>
        </w:rPr>
        <w:t xml:space="preserve"> Prop Info Tech &amp; Elec Com L 68; João Pedro </w:t>
      </w:r>
    </w:p>
    <w:p w14:paraId="2A1D0A26" w14:textId="77777777" w:rsidR="000A31C3" w:rsidRPr="007A5B75" w:rsidRDefault="000A31C3" w:rsidP="00444D4E">
      <w:pPr>
        <w:pStyle w:val="FootnoteText"/>
        <w:rPr>
          <w:lang w:val="en-GB"/>
        </w:rPr>
      </w:pPr>
      <w:r w:rsidRPr="007A5B75">
        <w:rPr>
          <w:lang w:val="en-GB"/>
        </w:rPr>
        <w:t xml:space="preserve">Quintais and Martin </w:t>
      </w:r>
      <w:proofErr w:type="spellStart"/>
      <w:r w:rsidRPr="007A5B75">
        <w:rPr>
          <w:lang w:val="en-GB"/>
        </w:rPr>
        <w:t>Husovec</w:t>
      </w:r>
      <w:proofErr w:type="spellEnd"/>
      <w:r w:rsidRPr="007A5B75">
        <w:rPr>
          <w:lang w:val="en-GB"/>
        </w:rPr>
        <w:t xml:space="preserve">, ‘How to license article 17 of the Copyright in the Digital Single Market </w:t>
      </w:r>
    </w:p>
    <w:p w14:paraId="371B1E6F" w14:textId="77777777" w:rsidR="000A31C3" w:rsidRPr="007A5B75" w:rsidRDefault="000A31C3" w:rsidP="00444D4E">
      <w:pPr>
        <w:pStyle w:val="FootnoteText"/>
        <w:rPr>
          <w:lang w:val="en-GB"/>
        </w:rPr>
      </w:pPr>
      <w:r w:rsidRPr="007A5B75">
        <w:rPr>
          <w:lang w:val="en-GB"/>
        </w:rPr>
        <w:t>Directive? Exploring the implementation options for the EU Rules on content-sharing platforms,’ (2021) 70</w:t>
      </w:r>
    </w:p>
    <w:p w14:paraId="2E8438B9" w14:textId="77777777" w:rsidR="00D64317" w:rsidRPr="007A5B75" w:rsidRDefault="000A31C3" w:rsidP="00444D4E">
      <w:pPr>
        <w:pStyle w:val="FootnoteText"/>
        <w:rPr>
          <w:lang w:val="en-GB"/>
        </w:rPr>
      </w:pPr>
      <w:r w:rsidRPr="007A5B75">
        <w:rPr>
          <w:lang w:val="en-GB"/>
        </w:rPr>
        <w:t>GRUR International 325</w:t>
      </w:r>
      <w:r w:rsidR="00D64317" w:rsidRPr="007A5B75">
        <w:rPr>
          <w:lang w:val="en-GB"/>
        </w:rPr>
        <w:t xml:space="preserve">; Martin </w:t>
      </w:r>
      <w:proofErr w:type="spellStart"/>
      <w:r w:rsidR="00D64317" w:rsidRPr="007A5B75">
        <w:rPr>
          <w:lang w:val="en-GB"/>
        </w:rPr>
        <w:t>Senftleben</w:t>
      </w:r>
      <w:proofErr w:type="spellEnd"/>
      <w:r w:rsidR="00D64317" w:rsidRPr="007A5B75">
        <w:rPr>
          <w:lang w:val="en-GB"/>
        </w:rPr>
        <w:t xml:space="preserve">, 'Institutionalized Algorithmic Enforcement - The Pros and Cons of </w:t>
      </w:r>
    </w:p>
    <w:p w14:paraId="6CE2A5DC" w14:textId="751120F6" w:rsidR="007A723F" w:rsidRPr="007A5B75" w:rsidRDefault="00D64317" w:rsidP="00444D4E">
      <w:pPr>
        <w:pStyle w:val="FootnoteText"/>
        <w:rPr>
          <w:lang w:val="en-GB"/>
        </w:rPr>
      </w:pPr>
      <w:r w:rsidRPr="007A5B75">
        <w:rPr>
          <w:lang w:val="en-GB"/>
        </w:rPr>
        <w:t>the EU Approach to UGC Platform Liability' (2020) 14 FIU L Rev 299</w:t>
      </w:r>
      <w:r w:rsidR="00F57ECD" w:rsidRPr="007A5B75">
        <w:rPr>
          <w:lang w:val="en-GB"/>
        </w:rPr>
        <w:t xml:space="preserve">; Sebastian Felix Schwemer and Jens Schovsbo, ‘What is Left of User Rights? – Algorithmic Copyright Enforcement and Free Speech in the Light of the Article 17 Regime’ in Paul </w:t>
      </w:r>
      <w:proofErr w:type="spellStart"/>
      <w:r w:rsidR="00F57ECD" w:rsidRPr="007A5B75">
        <w:rPr>
          <w:lang w:val="en-GB"/>
        </w:rPr>
        <w:t>Torremans</w:t>
      </w:r>
      <w:proofErr w:type="spellEnd"/>
      <w:r w:rsidR="00F57ECD" w:rsidRPr="007A5B75">
        <w:rPr>
          <w:lang w:val="en-GB"/>
        </w:rPr>
        <w:t xml:space="preserve"> (ed) Intellectual Property Law and Human Rights (Wolters Kluwer 2020).</w:t>
      </w:r>
    </w:p>
  </w:footnote>
  <w:footnote w:id="5">
    <w:p w14:paraId="60C7AD86" w14:textId="7B3E0081" w:rsidR="00F7182F" w:rsidRPr="007A5B75" w:rsidRDefault="00F7182F" w:rsidP="00444D4E">
      <w:pPr>
        <w:pStyle w:val="FootnoteText"/>
        <w:rPr>
          <w:lang w:val="en-GB"/>
        </w:rPr>
      </w:pPr>
      <w:r w:rsidRPr="007A5B75">
        <w:rPr>
          <w:rStyle w:val="FootnoteReference"/>
          <w:lang w:val="en-GB"/>
        </w:rPr>
        <w:footnoteRef/>
      </w:r>
      <w:r w:rsidRPr="007A5B75">
        <w:rPr>
          <w:lang w:val="en-GB"/>
        </w:rPr>
        <w:t xml:space="preserve"> Niklas Luhmann, </w:t>
      </w:r>
      <w:r w:rsidRPr="007A5B75">
        <w:rPr>
          <w:i/>
          <w:iCs/>
          <w:lang w:val="en-GB"/>
        </w:rPr>
        <w:t>Art as a Social System</w:t>
      </w:r>
      <w:r w:rsidRPr="007A5B75">
        <w:rPr>
          <w:lang w:val="en-GB"/>
        </w:rPr>
        <w:t xml:space="preserve">; Katarzyna </w:t>
      </w:r>
      <w:proofErr w:type="spellStart"/>
      <w:r w:rsidRPr="007A5B75">
        <w:rPr>
          <w:lang w:val="en-GB"/>
        </w:rPr>
        <w:t>Gracz</w:t>
      </w:r>
      <w:proofErr w:type="spellEnd"/>
      <w:r w:rsidRPr="007A5B75">
        <w:rPr>
          <w:lang w:val="en-GB"/>
        </w:rPr>
        <w:t>, ‘You wouldn’t steal a car’ vs ‘Information wants to be free’. Regulatory failure of copyright law through the prism of Systems Theory’ (PhD, EUI 2016); Gunther Teubner, Richard Nobles, David Schiff, 'The Autonomy of Law: An Introduction to Legal Autopoiesis' in: David Schiff and Richard Nobles (eds.), Jurisprudence, (Butterworth, London: 2003).</w:t>
      </w:r>
    </w:p>
  </w:footnote>
  <w:footnote w:id="6">
    <w:p w14:paraId="080066D1" w14:textId="77777777" w:rsidR="00243429" w:rsidRPr="007A5B75" w:rsidRDefault="00243429" w:rsidP="00444D4E">
      <w:pPr>
        <w:pStyle w:val="FootnoteText"/>
        <w:rPr>
          <w:lang w:val="en-GB"/>
        </w:rPr>
      </w:pPr>
      <w:r w:rsidRPr="007A5B75">
        <w:rPr>
          <w:rStyle w:val="FootnoteReference"/>
          <w:lang w:val="en-GB"/>
        </w:rPr>
        <w:footnoteRef/>
      </w:r>
      <w:r w:rsidRPr="007A5B75">
        <w:rPr>
          <w:lang w:val="en-GB"/>
        </w:rPr>
        <w:t xml:space="preserve"> Niva Elkin-Koren, ‘Copyright and its limits in the age of user-generated content’ in Eva </w:t>
      </w:r>
      <w:proofErr w:type="spellStart"/>
      <w:r w:rsidRPr="007A5B75">
        <w:rPr>
          <w:lang w:val="en-GB"/>
        </w:rPr>
        <w:t>Hemmungs</w:t>
      </w:r>
      <w:proofErr w:type="spellEnd"/>
      <w:r w:rsidRPr="007A5B75">
        <w:rPr>
          <w:lang w:val="en-GB"/>
        </w:rPr>
        <w:t xml:space="preserve"> </w:t>
      </w:r>
      <w:proofErr w:type="spellStart"/>
      <w:r w:rsidRPr="007A5B75">
        <w:rPr>
          <w:lang w:val="en-GB"/>
        </w:rPr>
        <w:t>Wirtén</w:t>
      </w:r>
      <w:proofErr w:type="spellEnd"/>
      <w:r w:rsidRPr="007A5B75">
        <w:rPr>
          <w:lang w:val="en-GB"/>
        </w:rPr>
        <w:t xml:space="preserve"> </w:t>
      </w:r>
    </w:p>
    <w:p w14:paraId="12751ABF" w14:textId="77777777" w:rsidR="00243429" w:rsidRPr="007A5B75" w:rsidRDefault="00243429" w:rsidP="00444D4E">
      <w:pPr>
        <w:pStyle w:val="FootnoteText"/>
        <w:rPr>
          <w:lang w:val="en-GB"/>
        </w:rPr>
      </w:pPr>
      <w:r w:rsidRPr="007A5B75">
        <w:rPr>
          <w:lang w:val="en-GB"/>
        </w:rPr>
        <w:t xml:space="preserve">and Maria Ryman (eds) </w:t>
      </w:r>
      <w:r w:rsidRPr="007A5B75">
        <w:rPr>
          <w:i/>
          <w:iCs/>
          <w:lang w:val="en-GB"/>
        </w:rPr>
        <w:t>Mashing up culture: The rise of users-generated content</w:t>
      </w:r>
      <w:r w:rsidRPr="007A5B75">
        <w:rPr>
          <w:lang w:val="en-GB"/>
        </w:rPr>
        <w:t xml:space="preserve"> (Department of ALM 2009) </w:t>
      </w:r>
    </w:p>
    <w:p w14:paraId="318FDB6B" w14:textId="6D17F1DD" w:rsidR="00243429" w:rsidRPr="007A5B75" w:rsidRDefault="00243429" w:rsidP="00444D4E">
      <w:pPr>
        <w:pStyle w:val="FootnoteText"/>
        <w:rPr>
          <w:lang w:val="en-GB"/>
        </w:rPr>
      </w:pPr>
      <w:r w:rsidRPr="007A5B75">
        <w:rPr>
          <w:lang w:val="en-GB"/>
        </w:rPr>
        <w:t>16.</w:t>
      </w:r>
      <w:r w:rsidR="00357F96" w:rsidRPr="007A5B75">
        <w:rPr>
          <w:lang w:val="en-GB"/>
        </w:rPr>
        <w:t xml:space="preserve"> Often referred to as user-generated content (UGC), this collaborative and cumulative creativity is underpinned by a self-regulatory nature. Commentary explains </w:t>
      </w:r>
      <w:proofErr w:type="gramStart"/>
      <w:r w:rsidR="00357F96" w:rsidRPr="007A5B75">
        <w:rPr>
          <w:lang w:val="en-GB"/>
        </w:rPr>
        <w:t>that,</w:t>
      </w:r>
      <w:proofErr w:type="gramEnd"/>
      <w:r w:rsidR="00357F96" w:rsidRPr="007A5B75">
        <w:rPr>
          <w:lang w:val="en-GB"/>
        </w:rPr>
        <w:t xml:space="preserve"> ““[R]</w:t>
      </w:r>
      <w:proofErr w:type="spellStart"/>
      <w:r w:rsidR="00357F96" w:rsidRPr="007A5B75">
        <w:rPr>
          <w:lang w:val="en-GB"/>
        </w:rPr>
        <w:t>emixing</w:t>
      </w:r>
      <w:proofErr w:type="spellEnd"/>
      <w:r w:rsidR="00357F96" w:rsidRPr="007A5B75">
        <w:rPr>
          <w:lang w:val="en-GB"/>
        </w:rPr>
        <w:t xml:space="preserve">… is not about copying artistic works; it is about modifying, embellishing, appending, reinventing, and mashing them together with other elements. Most of all remixing is about being a producer, participating in the creative enterprise, and sharing your creations with others”. See, Don Tapscott and Anthony D. Williams, </w:t>
      </w:r>
      <w:proofErr w:type="spellStart"/>
      <w:r w:rsidR="00357F96" w:rsidRPr="007A5B75">
        <w:rPr>
          <w:lang w:val="en-GB"/>
        </w:rPr>
        <w:t>Wikinomics</w:t>
      </w:r>
      <w:proofErr w:type="spellEnd"/>
      <w:r w:rsidR="00357F96" w:rsidRPr="007A5B75">
        <w:rPr>
          <w:lang w:val="en-GB"/>
        </w:rPr>
        <w:t>: How mass collaboration changes everything</w:t>
      </w:r>
      <w:r w:rsidR="00CC7A07" w:rsidRPr="007A5B75">
        <w:rPr>
          <w:lang w:val="en-GB"/>
        </w:rPr>
        <w:t xml:space="preserve"> </w:t>
      </w:r>
      <w:r w:rsidR="00357F96" w:rsidRPr="007A5B75">
        <w:rPr>
          <w:lang w:val="en-GB"/>
        </w:rPr>
        <w:t>(Portfolio: 2006) 125; Lawrence Lessig, Remix: Making Art and Commerce Thrive in the Hybrid Economy (Penguin Press 2008).</w:t>
      </w:r>
    </w:p>
  </w:footnote>
  <w:footnote w:id="7">
    <w:p w14:paraId="3590AEA0" w14:textId="3B47165C" w:rsidR="008124B3" w:rsidRPr="007A5B75" w:rsidRDefault="008124B3" w:rsidP="00444D4E">
      <w:pPr>
        <w:pStyle w:val="FootnoteText"/>
        <w:rPr>
          <w:lang w:val="en-GB"/>
        </w:rPr>
      </w:pPr>
      <w:r w:rsidRPr="007A5B75">
        <w:rPr>
          <w:rStyle w:val="FootnoteReference"/>
          <w:lang w:val="en-GB"/>
        </w:rPr>
        <w:footnoteRef/>
      </w:r>
      <w:r w:rsidRPr="007A5B75">
        <w:rPr>
          <w:lang w:val="en-GB"/>
        </w:rPr>
        <w:t xml:space="preserve"> </w:t>
      </w:r>
      <w:r w:rsidR="00CB1698" w:rsidRPr="007A5B75">
        <w:rPr>
          <w:lang w:val="en-GB"/>
        </w:rPr>
        <w:t xml:space="preserve">Generally, there are arguments found in Locke, Kant, and Rawls literature that assert that freedom of expression can be constructed as a natural right including the ability to reuse creative works to create future works for the sake of human flourishing. See, Amy Lai, The Right to Parody: Comparative Analysis of Copyright and Free Speech (Cambridge University Press 2019); Robert Merges, Justifying Intellectual Property (Harvard University Press 2011); Adam </w:t>
      </w:r>
      <w:proofErr w:type="spellStart"/>
      <w:r w:rsidR="00CB1698" w:rsidRPr="007A5B75">
        <w:rPr>
          <w:lang w:val="en-GB"/>
        </w:rPr>
        <w:t>Mossoff</w:t>
      </w:r>
      <w:proofErr w:type="spellEnd"/>
      <w:r w:rsidR="00CB1698" w:rsidRPr="007A5B75">
        <w:rPr>
          <w:lang w:val="en-GB"/>
        </w:rPr>
        <w:t>, ‘Saving Locke from Marx: The Labor Theory of Value in Intellectual Property Theory’ (2012) 29 Social Philosophy and Policy 283. Not that others reject the natural law approach to copyright and state that it violates Locke’s “No-Spoilage” Proviso. See, Carys Craig, ‘</w:t>
      </w:r>
      <w:proofErr w:type="gramStart"/>
      <w:r w:rsidR="00CB1698" w:rsidRPr="007A5B75">
        <w:rPr>
          <w:lang w:val="en-GB"/>
        </w:rPr>
        <w:t>Locke,  Labour</w:t>
      </w:r>
      <w:proofErr w:type="gramEnd"/>
      <w:r w:rsidR="00CB1698" w:rsidRPr="007A5B75">
        <w:rPr>
          <w:lang w:val="en-GB"/>
        </w:rPr>
        <w:t xml:space="preserve"> and Limiting the Author’s Right: A Warning against a Lockean Approach to Copyright Law’ (2002) 28 Queen’s Law Journal 1.</w:t>
      </w:r>
    </w:p>
  </w:footnote>
  <w:footnote w:id="8">
    <w:p w14:paraId="1DE575E4" w14:textId="2A268F87" w:rsidR="00DF4226" w:rsidRPr="007A5B75" w:rsidRDefault="00DF4226" w:rsidP="00444D4E">
      <w:pPr>
        <w:pStyle w:val="FootnoteText"/>
        <w:rPr>
          <w:lang w:val="en-GB"/>
        </w:rPr>
      </w:pPr>
      <w:r w:rsidRPr="007A5B75">
        <w:rPr>
          <w:rStyle w:val="FootnoteReference"/>
          <w:lang w:val="en-GB"/>
        </w:rPr>
        <w:footnoteRef/>
      </w:r>
      <w:r w:rsidRPr="007A5B75">
        <w:rPr>
          <w:lang w:val="en-GB"/>
        </w:rPr>
        <w:t xml:space="preserve"> See, Giancarlo F. </w:t>
      </w:r>
      <w:proofErr w:type="spellStart"/>
      <w:r w:rsidRPr="007A5B75">
        <w:rPr>
          <w:lang w:val="en-GB"/>
        </w:rPr>
        <w:t>Frosio</w:t>
      </w:r>
      <w:proofErr w:type="spellEnd"/>
      <w:r w:rsidRPr="007A5B75">
        <w:rPr>
          <w:lang w:val="en-GB"/>
        </w:rPr>
        <w:t xml:space="preserve">, ‘User patronage: The return of the gift in the “crowd society”’ (2015) </w:t>
      </w:r>
      <w:r w:rsidR="00A80067" w:rsidRPr="007A5B75">
        <w:rPr>
          <w:lang w:val="en-GB"/>
        </w:rPr>
        <w:t>5 Michigan State Law Review 1983.</w:t>
      </w:r>
      <w:r w:rsidR="00E115C8" w:rsidRPr="007A5B75">
        <w:rPr>
          <w:lang w:val="en-GB"/>
        </w:rPr>
        <w:t xml:space="preserve"> </w:t>
      </w:r>
      <w:proofErr w:type="spellStart"/>
      <w:r w:rsidR="00E115C8" w:rsidRPr="007A5B75">
        <w:rPr>
          <w:lang w:val="en-GB"/>
        </w:rPr>
        <w:t>Frosio</w:t>
      </w:r>
      <w:proofErr w:type="spellEnd"/>
      <w:r w:rsidR="00E115C8" w:rsidRPr="007A5B75">
        <w:rPr>
          <w:lang w:val="en-GB"/>
        </w:rPr>
        <w:t xml:space="preserve"> draws upon Gaultier’s social contract construct </w:t>
      </w:r>
      <w:r w:rsidR="000A2CBF" w:rsidRPr="007A5B75">
        <w:rPr>
          <w:lang w:val="en-GB"/>
        </w:rPr>
        <w:t xml:space="preserve">between authors and the public to propose that </w:t>
      </w:r>
      <w:r w:rsidR="00333B3F" w:rsidRPr="007A5B75">
        <w:rPr>
          <w:lang w:val="en-GB"/>
        </w:rPr>
        <w:t xml:space="preserve">digital crowdfunding may be the answer to </w:t>
      </w:r>
      <w:r w:rsidR="007F7F0C" w:rsidRPr="007A5B75">
        <w:rPr>
          <w:lang w:val="en-GB"/>
        </w:rPr>
        <w:t xml:space="preserve">a </w:t>
      </w:r>
      <w:r w:rsidR="007A5B75" w:rsidRPr="007A5B75">
        <w:rPr>
          <w:lang w:val="en-GB"/>
        </w:rPr>
        <w:t>balancing copyright interest</w:t>
      </w:r>
      <w:r w:rsidR="007F7F0C" w:rsidRPr="007A5B75">
        <w:rPr>
          <w:lang w:val="en-GB"/>
        </w:rPr>
        <w:t xml:space="preserve"> in the digital age.</w:t>
      </w:r>
    </w:p>
  </w:footnote>
  <w:footnote w:id="9">
    <w:p w14:paraId="59119BEF" w14:textId="77777777" w:rsidR="009D2C32" w:rsidRPr="007A5B75" w:rsidRDefault="009D2C32" w:rsidP="00444D4E">
      <w:pPr>
        <w:pStyle w:val="FootnoteText"/>
        <w:rPr>
          <w:lang w:val="en-GB"/>
        </w:rPr>
      </w:pPr>
      <w:r w:rsidRPr="007A5B75">
        <w:rPr>
          <w:rStyle w:val="FootnoteReference"/>
          <w:lang w:val="en-GB"/>
        </w:rPr>
        <w:footnoteRef/>
      </w:r>
      <w:r w:rsidRPr="007A5B75">
        <w:rPr>
          <w:lang w:val="en-GB"/>
        </w:rPr>
        <w:t xml:space="preserve"> Alexios Arvanitis and Konstantinos </w:t>
      </w:r>
      <w:proofErr w:type="spellStart"/>
      <w:r w:rsidRPr="007A5B75">
        <w:rPr>
          <w:lang w:val="en-GB"/>
        </w:rPr>
        <w:t>Kalliris</w:t>
      </w:r>
      <w:proofErr w:type="spellEnd"/>
      <w:r w:rsidRPr="007A5B75">
        <w:rPr>
          <w:lang w:val="en-GB"/>
        </w:rPr>
        <w:t xml:space="preserve">, ‘A self-determination theory account of self-authorship: </w:t>
      </w:r>
    </w:p>
    <w:p w14:paraId="13980C66" w14:textId="77777777" w:rsidR="009D2C32" w:rsidRPr="007A5B75" w:rsidRDefault="009D2C32" w:rsidP="00444D4E">
      <w:pPr>
        <w:pStyle w:val="FootnoteText"/>
        <w:rPr>
          <w:lang w:val="en-GB"/>
        </w:rPr>
      </w:pPr>
      <w:r w:rsidRPr="007A5B75">
        <w:rPr>
          <w:lang w:val="en-GB"/>
        </w:rPr>
        <w:t>Implications for law and public policy’ (2017) 30 Philosophical Psychology 763.</w:t>
      </w:r>
    </w:p>
  </w:footnote>
  <w:footnote w:id="10">
    <w:p w14:paraId="4B206019" w14:textId="77777777" w:rsidR="009D2C32" w:rsidRPr="007A5B75" w:rsidRDefault="009D2C32" w:rsidP="00444D4E">
      <w:pPr>
        <w:pStyle w:val="FootnoteText"/>
        <w:rPr>
          <w:lang w:val="en-GB"/>
        </w:rPr>
      </w:pPr>
      <w:r w:rsidRPr="007A5B75">
        <w:rPr>
          <w:rStyle w:val="FootnoteReference"/>
          <w:lang w:val="en-GB"/>
        </w:rPr>
        <w:footnoteRef/>
      </w:r>
      <w:r w:rsidRPr="007A5B75">
        <w:rPr>
          <w:lang w:val="en-GB"/>
        </w:rPr>
        <w:t xml:space="preserve"> Martin A. Roeder, ‘The Doctrine of Moral Right: A Study in the Law of Artists, </w:t>
      </w:r>
      <w:proofErr w:type="gramStart"/>
      <w:r w:rsidRPr="007A5B75">
        <w:rPr>
          <w:lang w:val="en-GB"/>
        </w:rPr>
        <w:t>Authors</w:t>
      </w:r>
      <w:proofErr w:type="gramEnd"/>
      <w:r w:rsidRPr="007A5B75">
        <w:rPr>
          <w:lang w:val="en-GB"/>
        </w:rPr>
        <w:t xml:space="preserve"> and Creators’ (1940) 53 Harvard Law Review 554.</w:t>
      </w:r>
    </w:p>
  </w:footnote>
  <w:footnote w:id="11">
    <w:p w14:paraId="34137E04" w14:textId="62AA1AAD" w:rsidR="009D2C32" w:rsidRPr="007A5B75" w:rsidRDefault="009D2C32" w:rsidP="00444D4E">
      <w:pPr>
        <w:pStyle w:val="FootnoteText"/>
        <w:rPr>
          <w:lang w:val="en-GB"/>
        </w:rPr>
      </w:pPr>
      <w:r w:rsidRPr="007A5B75">
        <w:rPr>
          <w:rStyle w:val="FootnoteReference"/>
          <w:lang w:val="en-GB"/>
        </w:rPr>
        <w:footnoteRef/>
      </w:r>
      <w:r w:rsidRPr="007A5B75">
        <w:rPr>
          <w:lang w:val="en-GB"/>
        </w:rPr>
        <w:t xml:space="preserve"> Martha Woodmansee and Peter </w:t>
      </w:r>
      <w:proofErr w:type="spellStart"/>
      <w:r w:rsidRPr="007A5B75">
        <w:rPr>
          <w:lang w:val="en-GB"/>
        </w:rPr>
        <w:t>Jaszi</w:t>
      </w:r>
      <w:proofErr w:type="spellEnd"/>
      <w:r w:rsidRPr="007A5B75">
        <w:rPr>
          <w:lang w:val="en-GB"/>
        </w:rPr>
        <w:t>,</w:t>
      </w:r>
      <w:r w:rsidRPr="007A5B75">
        <w:rPr>
          <w:i/>
          <w:iCs/>
          <w:lang w:val="en-GB"/>
        </w:rPr>
        <w:t xml:space="preserve"> The Construction of Authorship: Textual Appropriation in Law and Literature </w:t>
      </w:r>
      <w:r w:rsidRPr="007A5B75">
        <w:rPr>
          <w:lang w:val="en-GB"/>
        </w:rPr>
        <w:t>(Durham 1994)</w:t>
      </w:r>
      <w:r w:rsidR="00444D4E" w:rsidRPr="007A5B75">
        <w:rPr>
          <w:lang w:val="en-GB"/>
        </w:rPr>
        <w:t>.</w:t>
      </w:r>
    </w:p>
  </w:footnote>
  <w:footnote w:id="12">
    <w:p w14:paraId="2D380247" w14:textId="77777777" w:rsidR="00F54251" w:rsidRPr="007A5B75" w:rsidRDefault="00F54251" w:rsidP="00444D4E">
      <w:pPr>
        <w:pStyle w:val="FootnoteText"/>
        <w:rPr>
          <w:lang w:val="en-GB"/>
        </w:rPr>
      </w:pPr>
      <w:r w:rsidRPr="007A5B75">
        <w:rPr>
          <w:rStyle w:val="FootnoteReference"/>
          <w:lang w:val="en-GB"/>
        </w:rPr>
        <w:footnoteRef/>
      </w:r>
      <w:r w:rsidRPr="007A5B75">
        <w:rPr>
          <w:lang w:val="en-GB"/>
        </w:rPr>
        <w:t xml:space="preserve"> Though the latest expansion of exploitation rights, art. 17 DSM Directive, introduces specific liability for OCSSPs, alongside mandatory parody, </w:t>
      </w:r>
      <w:proofErr w:type="gramStart"/>
      <w:r w:rsidRPr="007A5B75">
        <w:rPr>
          <w:lang w:val="en-GB"/>
        </w:rPr>
        <w:t>pastiche</w:t>
      </w:r>
      <w:proofErr w:type="gramEnd"/>
      <w:r w:rsidRPr="007A5B75">
        <w:rPr>
          <w:lang w:val="en-GB"/>
        </w:rPr>
        <w:t xml:space="preserve"> and caricature exceptions, the CJEU’s decision in Poland also requires transpositions to allow a fair balance to be struck between the various fundamental rights protected by the Charter.</w:t>
      </w:r>
    </w:p>
  </w:footnote>
  <w:footnote w:id="13">
    <w:p w14:paraId="665DE2F3" w14:textId="205328D5" w:rsidR="00AC73AC" w:rsidRPr="007A5B75" w:rsidRDefault="00AC73AC" w:rsidP="00444D4E">
      <w:pPr>
        <w:pStyle w:val="FootnoteText"/>
        <w:rPr>
          <w:lang w:val="en-GB"/>
        </w:rPr>
      </w:pPr>
      <w:r w:rsidRPr="007A5B75">
        <w:rPr>
          <w:rStyle w:val="FootnoteReference"/>
          <w:lang w:val="en-GB"/>
        </w:rPr>
        <w:footnoteRef/>
      </w:r>
      <w:r w:rsidRPr="007A5B75">
        <w:rPr>
          <w:lang w:val="en-GB"/>
        </w:rPr>
        <w:t xml:space="preserve"> </w:t>
      </w:r>
      <w:r w:rsidR="0021503A" w:rsidRPr="007A5B75">
        <w:rPr>
          <w:lang w:val="en-GB"/>
        </w:rPr>
        <w:t>C-201/13</w:t>
      </w:r>
      <w:r w:rsidR="0021503A" w:rsidRPr="007A5B75">
        <w:rPr>
          <w:i/>
          <w:iCs/>
          <w:lang w:val="en-GB"/>
        </w:rPr>
        <w:t xml:space="preserve"> </w:t>
      </w:r>
      <w:proofErr w:type="spellStart"/>
      <w:r w:rsidR="0021503A" w:rsidRPr="007A5B75">
        <w:rPr>
          <w:i/>
          <w:iCs/>
          <w:lang w:val="en-GB"/>
        </w:rPr>
        <w:t>Deckmyn</w:t>
      </w:r>
      <w:proofErr w:type="spellEnd"/>
      <w:r w:rsidR="0021503A" w:rsidRPr="007A5B75">
        <w:rPr>
          <w:i/>
          <w:iCs/>
          <w:lang w:val="en-GB"/>
        </w:rPr>
        <w:t xml:space="preserve"> and </w:t>
      </w:r>
      <w:proofErr w:type="spellStart"/>
      <w:r w:rsidR="0021503A" w:rsidRPr="007A5B75">
        <w:rPr>
          <w:i/>
          <w:iCs/>
          <w:lang w:val="en-GB"/>
        </w:rPr>
        <w:t>Vrijheidsfonds</w:t>
      </w:r>
      <w:proofErr w:type="spellEnd"/>
      <w:r w:rsidR="0021503A" w:rsidRPr="007A5B75">
        <w:rPr>
          <w:i/>
          <w:iCs/>
          <w:lang w:val="en-GB"/>
        </w:rPr>
        <w:t xml:space="preserve"> </w:t>
      </w:r>
      <w:r w:rsidR="0021503A" w:rsidRPr="007A5B75">
        <w:rPr>
          <w:lang w:val="en-GB"/>
        </w:rPr>
        <w:t>ECLI:EU:</w:t>
      </w:r>
      <w:proofErr w:type="gramStart"/>
      <w:r w:rsidR="0021503A" w:rsidRPr="007A5B75">
        <w:rPr>
          <w:lang w:val="en-GB"/>
        </w:rPr>
        <w:t>C:2014:2132</w:t>
      </w:r>
      <w:proofErr w:type="gramEnd"/>
      <w:r w:rsidR="0021503A" w:rsidRPr="007A5B75">
        <w:rPr>
          <w:lang w:val="en-GB"/>
        </w:rPr>
        <w:t xml:space="preserve"> </w:t>
      </w:r>
      <w:r w:rsidR="00595D99" w:rsidRPr="007A5B75">
        <w:rPr>
          <w:lang w:val="en-GB"/>
        </w:rPr>
        <w:t>at [17].</w:t>
      </w:r>
    </w:p>
  </w:footnote>
  <w:footnote w:id="14">
    <w:p w14:paraId="2E1EA434" w14:textId="658807FD" w:rsidR="00F54251" w:rsidRPr="007A5B75" w:rsidRDefault="00F54251" w:rsidP="00595D99">
      <w:pPr>
        <w:pStyle w:val="FootnoteText"/>
        <w:rPr>
          <w:lang w:val="en-GB"/>
        </w:rPr>
      </w:pPr>
      <w:r w:rsidRPr="007A5B75">
        <w:rPr>
          <w:rStyle w:val="FootnoteReference"/>
          <w:lang w:val="en-GB"/>
        </w:rPr>
        <w:footnoteRef/>
      </w:r>
      <w:r w:rsidRPr="007A5B75">
        <w:rPr>
          <w:lang w:val="en-GB"/>
        </w:rPr>
        <w:t xml:space="preserve"> </w:t>
      </w:r>
      <w:r w:rsidR="00595D99" w:rsidRPr="007A5B75">
        <w:rPr>
          <w:lang w:val="en-GB"/>
        </w:rPr>
        <w:t xml:space="preserve">C-469/17 </w:t>
      </w:r>
      <w:r w:rsidR="00595D99" w:rsidRPr="007A5B75">
        <w:rPr>
          <w:i/>
          <w:iCs/>
          <w:lang w:val="en-GB"/>
        </w:rPr>
        <w:t xml:space="preserve">Funke </w:t>
      </w:r>
      <w:proofErr w:type="spellStart"/>
      <w:r w:rsidR="00595D99" w:rsidRPr="007A5B75">
        <w:rPr>
          <w:i/>
          <w:iCs/>
          <w:lang w:val="en-GB"/>
        </w:rPr>
        <w:t>Medien</w:t>
      </w:r>
      <w:proofErr w:type="spellEnd"/>
      <w:r w:rsidR="00595D99" w:rsidRPr="007A5B75">
        <w:rPr>
          <w:i/>
          <w:iCs/>
          <w:lang w:val="en-GB"/>
        </w:rPr>
        <w:t xml:space="preserve"> NRW GmbH v </w:t>
      </w:r>
      <w:proofErr w:type="spellStart"/>
      <w:r w:rsidR="00595D99" w:rsidRPr="007A5B75">
        <w:rPr>
          <w:i/>
          <w:iCs/>
          <w:lang w:val="en-GB"/>
        </w:rPr>
        <w:t>Bundesrepublik</w:t>
      </w:r>
      <w:proofErr w:type="spellEnd"/>
      <w:r w:rsidR="00595D99" w:rsidRPr="007A5B75">
        <w:rPr>
          <w:i/>
          <w:iCs/>
          <w:lang w:val="en-GB"/>
        </w:rPr>
        <w:t xml:space="preserve"> Deutschland</w:t>
      </w:r>
      <w:r w:rsidR="00595D99" w:rsidRPr="007A5B75">
        <w:rPr>
          <w:lang w:val="en-GB"/>
        </w:rPr>
        <w:t xml:space="preserve"> [2019], ECLI:EU:C:2019:623 at [73]-[74]; C-516/17 </w:t>
      </w:r>
      <w:r w:rsidR="00595D99" w:rsidRPr="007A5B75">
        <w:rPr>
          <w:i/>
          <w:iCs/>
          <w:lang w:val="en-GB"/>
        </w:rPr>
        <w:t>Spiegel Online GmbH v Volker Beck</w:t>
      </w:r>
      <w:r w:rsidR="00595D99" w:rsidRPr="007A5B75">
        <w:rPr>
          <w:lang w:val="en-GB"/>
        </w:rPr>
        <w:t xml:space="preserve"> [2019], ECLI:EU:C:2019:625 at [47]-[49].</w:t>
      </w:r>
    </w:p>
  </w:footnote>
  <w:footnote w:id="15">
    <w:p w14:paraId="069D9C48" w14:textId="3C3F439C" w:rsidR="00D2444F" w:rsidRPr="007A5B75" w:rsidRDefault="00D2444F" w:rsidP="00444D4E">
      <w:pPr>
        <w:pStyle w:val="FootnoteText"/>
        <w:rPr>
          <w:lang w:val="en-GB"/>
        </w:rPr>
      </w:pPr>
      <w:r w:rsidRPr="007A5B75">
        <w:rPr>
          <w:rStyle w:val="FootnoteReference"/>
          <w:lang w:val="en-GB"/>
        </w:rPr>
        <w:footnoteRef/>
      </w:r>
      <w:r w:rsidRPr="007A5B75">
        <w:rPr>
          <w:lang w:val="en-GB"/>
        </w:rPr>
        <w:t xml:space="preserve"> </w:t>
      </w:r>
      <w:r w:rsidR="006518C0" w:rsidRPr="007A5B75">
        <w:rPr>
          <w:lang w:val="en-GB"/>
        </w:rPr>
        <w:t xml:space="preserve">C-15/74 </w:t>
      </w:r>
      <w:proofErr w:type="spellStart"/>
      <w:r w:rsidR="006518C0" w:rsidRPr="007A5B75">
        <w:rPr>
          <w:i/>
          <w:iCs/>
          <w:lang w:val="en-GB"/>
        </w:rPr>
        <w:t>Centrafarm</w:t>
      </w:r>
      <w:proofErr w:type="spellEnd"/>
      <w:r w:rsidR="006518C0" w:rsidRPr="007A5B75">
        <w:rPr>
          <w:i/>
          <w:iCs/>
          <w:lang w:val="en-GB"/>
        </w:rPr>
        <w:t xml:space="preserve"> BV and Adriaan De </w:t>
      </w:r>
      <w:proofErr w:type="spellStart"/>
      <w:r w:rsidR="006518C0" w:rsidRPr="007A5B75">
        <w:rPr>
          <w:i/>
          <w:iCs/>
          <w:lang w:val="en-GB"/>
        </w:rPr>
        <w:t>Peijper</w:t>
      </w:r>
      <w:proofErr w:type="spellEnd"/>
      <w:r w:rsidR="006518C0" w:rsidRPr="007A5B75">
        <w:rPr>
          <w:i/>
          <w:iCs/>
          <w:lang w:val="en-GB"/>
        </w:rPr>
        <w:t xml:space="preserve"> v Sterling Drug Inc</w:t>
      </w:r>
      <w:r w:rsidR="006518C0" w:rsidRPr="007A5B75">
        <w:rPr>
          <w:lang w:val="en-GB"/>
        </w:rPr>
        <w:t xml:space="preserve">. ECLI:EU:C: 1974:114; C-119/75 </w:t>
      </w:r>
      <w:r w:rsidR="006518C0" w:rsidRPr="007A5B75">
        <w:rPr>
          <w:i/>
          <w:iCs/>
          <w:lang w:val="en-GB"/>
        </w:rPr>
        <w:t>Terrapin v Terranova</w:t>
      </w:r>
      <w:r w:rsidR="006518C0" w:rsidRPr="007A5B75">
        <w:rPr>
          <w:lang w:val="en-GB"/>
        </w:rPr>
        <w:t xml:space="preserve"> ECLI:EU:C: 1976:94; C-187/80 </w:t>
      </w:r>
      <w:r w:rsidR="006518C0" w:rsidRPr="007A5B75">
        <w:rPr>
          <w:i/>
          <w:iCs/>
          <w:lang w:val="en-GB"/>
        </w:rPr>
        <w:t xml:space="preserve">Merck &amp; Co. Inc. v </w:t>
      </w:r>
      <w:proofErr w:type="spellStart"/>
      <w:r w:rsidR="006518C0" w:rsidRPr="007A5B75">
        <w:rPr>
          <w:i/>
          <w:iCs/>
          <w:lang w:val="en-GB"/>
        </w:rPr>
        <w:t>Stephar</w:t>
      </w:r>
      <w:proofErr w:type="spellEnd"/>
      <w:r w:rsidR="006518C0" w:rsidRPr="007A5B75">
        <w:rPr>
          <w:lang w:val="en-GB"/>
        </w:rPr>
        <w:t xml:space="preserve"> BV ECLI:EU:C: 1981:180</w:t>
      </w:r>
    </w:p>
  </w:footnote>
  <w:footnote w:id="16">
    <w:p w14:paraId="05EB2BDA" w14:textId="38CF98CE" w:rsidR="00A040AB" w:rsidRPr="007A5B75" w:rsidRDefault="00A040AB" w:rsidP="00444D4E">
      <w:pPr>
        <w:pStyle w:val="FootnoteText"/>
        <w:rPr>
          <w:lang w:val="en-GB"/>
        </w:rPr>
      </w:pPr>
      <w:r w:rsidRPr="007A5B75">
        <w:rPr>
          <w:rStyle w:val="FootnoteReference"/>
          <w:lang w:val="en-GB"/>
        </w:rPr>
        <w:footnoteRef/>
      </w:r>
      <w:r w:rsidRPr="007A5B75">
        <w:rPr>
          <w:lang w:val="en-GB"/>
        </w:rPr>
        <w:t xml:space="preserve"> </w:t>
      </w:r>
      <w:r w:rsidR="003A6759" w:rsidRPr="007A5B75">
        <w:rPr>
          <w:lang w:val="en-GB"/>
        </w:rPr>
        <w:t xml:space="preserve">Joined cases C-55/80 and 57/80 </w:t>
      </w:r>
      <w:r w:rsidR="003A6759" w:rsidRPr="007A5B75">
        <w:rPr>
          <w:i/>
          <w:iCs/>
          <w:lang w:val="en-GB"/>
        </w:rPr>
        <w:t>Musik-</w:t>
      </w:r>
      <w:proofErr w:type="spellStart"/>
      <w:r w:rsidR="003A6759" w:rsidRPr="007A5B75">
        <w:rPr>
          <w:i/>
          <w:iCs/>
          <w:lang w:val="en-GB"/>
        </w:rPr>
        <w:t>Vertrieb</w:t>
      </w:r>
      <w:proofErr w:type="spellEnd"/>
      <w:r w:rsidR="003A6759" w:rsidRPr="007A5B75">
        <w:rPr>
          <w:i/>
          <w:iCs/>
          <w:lang w:val="en-GB"/>
        </w:rPr>
        <w:t xml:space="preserve"> </w:t>
      </w:r>
      <w:proofErr w:type="spellStart"/>
      <w:r w:rsidR="003A6759" w:rsidRPr="007A5B75">
        <w:rPr>
          <w:i/>
          <w:iCs/>
          <w:lang w:val="en-GB"/>
        </w:rPr>
        <w:t>membran</w:t>
      </w:r>
      <w:proofErr w:type="spellEnd"/>
      <w:r w:rsidR="003A6759" w:rsidRPr="007A5B75">
        <w:rPr>
          <w:i/>
          <w:iCs/>
          <w:lang w:val="en-GB"/>
        </w:rPr>
        <w:t xml:space="preserve"> GmbH and K-</w:t>
      </w:r>
      <w:proofErr w:type="spellStart"/>
      <w:r w:rsidR="003A6759" w:rsidRPr="007A5B75">
        <w:rPr>
          <w:i/>
          <w:iCs/>
          <w:lang w:val="en-GB"/>
        </w:rPr>
        <w:t>tel</w:t>
      </w:r>
      <w:proofErr w:type="spellEnd"/>
      <w:r w:rsidR="003A6759" w:rsidRPr="007A5B75">
        <w:rPr>
          <w:i/>
          <w:iCs/>
          <w:lang w:val="en-GB"/>
        </w:rPr>
        <w:t xml:space="preserve"> International v GEMA</w:t>
      </w:r>
      <w:r w:rsidR="00581509" w:rsidRPr="007A5B75">
        <w:rPr>
          <w:i/>
          <w:iCs/>
          <w:lang w:val="en-GB"/>
        </w:rPr>
        <w:t xml:space="preserve"> </w:t>
      </w:r>
      <w:r w:rsidR="003A6759" w:rsidRPr="007A5B75">
        <w:rPr>
          <w:lang w:val="en-GB"/>
        </w:rPr>
        <w:t>ECLI:EU:</w:t>
      </w:r>
      <w:proofErr w:type="gramStart"/>
      <w:r w:rsidR="003A6759" w:rsidRPr="007A5B75">
        <w:rPr>
          <w:lang w:val="en-GB"/>
        </w:rPr>
        <w:t>C:1981:10</w:t>
      </w:r>
      <w:proofErr w:type="gramEnd"/>
      <w:r w:rsidR="00581509" w:rsidRPr="007A5B75">
        <w:rPr>
          <w:lang w:val="en-GB"/>
        </w:rPr>
        <w:t xml:space="preserve"> (‘</w:t>
      </w:r>
      <w:r w:rsidR="00581509" w:rsidRPr="007A5B75">
        <w:rPr>
          <w:i/>
          <w:iCs/>
          <w:lang w:val="en-GB"/>
        </w:rPr>
        <w:t xml:space="preserve">Musik </w:t>
      </w:r>
      <w:proofErr w:type="spellStart"/>
      <w:r w:rsidR="00581509" w:rsidRPr="007A5B75">
        <w:rPr>
          <w:i/>
          <w:iCs/>
          <w:lang w:val="en-GB"/>
        </w:rPr>
        <w:t>Vertrieb</w:t>
      </w:r>
      <w:proofErr w:type="spellEnd"/>
      <w:r w:rsidR="00581509" w:rsidRPr="007A5B75">
        <w:rPr>
          <w:lang w:val="en-GB"/>
        </w:rPr>
        <w:t>’)</w:t>
      </w:r>
      <w:r w:rsidR="003A6759" w:rsidRPr="007A5B75">
        <w:rPr>
          <w:lang w:val="en-GB"/>
        </w:rPr>
        <w:t>.</w:t>
      </w:r>
    </w:p>
  </w:footnote>
  <w:footnote w:id="17">
    <w:p w14:paraId="148D746D" w14:textId="3EC9DF0D" w:rsidR="0051251C" w:rsidRPr="007A5B75" w:rsidRDefault="0051251C" w:rsidP="00444D4E">
      <w:pPr>
        <w:pStyle w:val="FootnoteText"/>
        <w:rPr>
          <w:lang w:val="en-GB"/>
        </w:rPr>
      </w:pPr>
      <w:r w:rsidRPr="007A5B75">
        <w:rPr>
          <w:rStyle w:val="FootnoteReference"/>
          <w:lang w:val="en-GB"/>
        </w:rPr>
        <w:footnoteRef/>
      </w:r>
      <w:r w:rsidRPr="007A5B75">
        <w:rPr>
          <w:lang w:val="en-GB"/>
        </w:rPr>
        <w:t xml:space="preserve"> </w:t>
      </w:r>
      <w:r w:rsidRPr="007A5B75">
        <w:rPr>
          <w:i/>
          <w:iCs/>
          <w:lang w:val="en-GB"/>
        </w:rPr>
        <w:t xml:space="preserve">Musik </w:t>
      </w:r>
      <w:proofErr w:type="spellStart"/>
      <w:r w:rsidRPr="007A5B75">
        <w:rPr>
          <w:i/>
          <w:iCs/>
          <w:lang w:val="en-GB"/>
        </w:rPr>
        <w:t>Vertrieb</w:t>
      </w:r>
      <w:proofErr w:type="spellEnd"/>
      <w:r w:rsidRPr="007A5B75">
        <w:rPr>
          <w:lang w:val="en-GB"/>
        </w:rPr>
        <w:t xml:space="preserve"> at </w:t>
      </w:r>
      <w:r w:rsidR="00FF2F4C" w:rsidRPr="007A5B75">
        <w:rPr>
          <w:lang w:val="en-GB"/>
        </w:rPr>
        <w:t>[18].</w:t>
      </w:r>
    </w:p>
  </w:footnote>
  <w:footnote w:id="18">
    <w:p w14:paraId="57DC8545" w14:textId="0C02F6B7" w:rsidR="00FF2F4C" w:rsidRPr="007A5B75" w:rsidRDefault="00FF2F4C" w:rsidP="00444D4E">
      <w:pPr>
        <w:pStyle w:val="FootnoteText"/>
        <w:rPr>
          <w:lang w:val="en-GB"/>
        </w:rPr>
      </w:pPr>
      <w:r w:rsidRPr="007A5B75">
        <w:rPr>
          <w:rStyle w:val="FootnoteReference"/>
          <w:lang w:val="en-GB"/>
        </w:rPr>
        <w:footnoteRef/>
      </w:r>
      <w:r w:rsidRPr="007A5B75">
        <w:rPr>
          <w:lang w:val="en-GB"/>
        </w:rPr>
        <w:t xml:space="preserve"> Ibid.</w:t>
      </w:r>
    </w:p>
  </w:footnote>
  <w:footnote w:id="19">
    <w:p w14:paraId="0A1AF86F" w14:textId="77777777" w:rsidR="00FB75A1" w:rsidRPr="007A5B75" w:rsidRDefault="003D6BF6" w:rsidP="00444D4E">
      <w:pPr>
        <w:pStyle w:val="FootnoteText"/>
        <w:rPr>
          <w:i/>
          <w:iCs/>
          <w:lang w:val="en-GB"/>
        </w:rPr>
      </w:pPr>
      <w:r w:rsidRPr="007A5B75">
        <w:rPr>
          <w:rStyle w:val="FootnoteReference"/>
          <w:lang w:val="en-GB"/>
        </w:rPr>
        <w:footnoteRef/>
      </w:r>
      <w:r w:rsidRPr="007A5B75">
        <w:rPr>
          <w:lang w:val="en-GB"/>
        </w:rPr>
        <w:t xml:space="preserve"> </w:t>
      </w:r>
      <w:r w:rsidR="00FB75A1" w:rsidRPr="007A5B75">
        <w:rPr>
          <w:lang w:val="en-GB"/>
        </w:rPr>
        <w:t xml:space="preserve">Case C-62/79 </w:t>
      </w:r>
      <w:r w:rsidR="00FB75A1" w:rsidRPr="007A5B75">
        <w:rPr>
          <w:i/>
          <w:iCs/>
          <w:lang w:val="en-GB"/>
        </w:rPr>
        <w:t xml:space="preserve">SA Compagnie </w:t>
      </w:r>
      <w:proofErr w:type="spellStart"/>
      <w:r w:rsidR="00FB75A1" w:rsidRPr="007A5B75">
        <w:rPr>
          <w:i/>
          <w:iCs/>
          <w:lang w:val="en-GB"/>
        </w:rPr>
        <w:t>gindrale</w:t>
      </w:r>
      <w:proofErr w:type="spellEnd"/>
      <w:r w:rsidR="00FB75A1" w:rsidRPr="007A5B75">
        <w:rPr>
          <w:i/>
          <w:iCs/>
          <w:lang w:val="en-GB"/>
        </w:rPr>
        <w:t xml:space="preserve"> pour la diffusion de la television, </w:t>
      </w:r>
      <w:proofErr w:type="spellStart"/>
      <w:r w:rsidR="00FB75A1" w:rsidRPr="007A5B75">
        <w:rPr>
          <w:i/>
          <w:iCs/>
          <w:lang w:val="en-GB"/>
        </w:rPr>
        <w:t>Coditel</w:t>
      </w:r>
      <w:proofErr w:type="spellEnd"/>
      <w:r w:rsidR="00FB75A1" w:rsidRPr="007A5B75">
        <w:rPr>
          <w:i/>
          <w:iCs/>
          <w:lang w:val="en-GB"/>
        </w:rPr>
        <w:t xml:space="preserve">, and others v Cine </w:t>
      </w:r>
      <w:proofErr w:type="spellStart"/>
      <w:r w:rsidR="00FB75A1" w:rsidRPr="007A5B75">
        <w:rPr>
          <w:i/>
          <w:iCs/>
          <w:lang w:val="en-GB"/>
        </w:rPr>
        <w:t>Vog</w:t>
      </w:r>
      <w:proofErr w:type="spellEnd"/>
      <w:r w:rsidR="00FB75A1" w:rsidRPr="007A5B75">
        <w:rPr>
          <w:i/>
          <w:iCs/>
          <w:lang w:val="en-GB"/>
        </w:rPr>
        <w:t xml:space="preserve"> </w:t>
      </w:r>
    </w:p>
    <w:p w14:paraId="47B98361" w14:textId="5ED73FC1" w:rsidR="00FB75A1" w:rsidRPr="007A5B75" w:rsidRDefault="00FB75A1" w:rsidP="00444D4E">
      <w:pPr>
        <w:pStyle w:val="FootnoteText"/>
        <w:rPr>
          <w:lang w:val="en-GB"/>
        </w:rPr>
      </w:pPr>
      <w:r w:rsidRPr="007A5B75">
        <w:rPr>
          <w:i/>
          <w:iCs/>
          <w:lang w:val="en-GB"/>
        </w:rPr>
        <w:t>Films and others</w:t>
      </w:r>
      <w:r w:rsidRPr="007A5B75">
        <w:rPr>
          <w:lang w:val="en-GB"/>
        </w:rPr>
        <w:t xml:space="preserve"> [1980] ECR 1-0881; Case C-262/81 </w:t>
      </w:r>
      <w:proofErr w:type="spellStart"/>
      <w:r w:rsidRPr="007A5B75">
        <w:rPr>
          <w:i/>
          <w:iCs/>
          <w:lang w:val="en-GB"/>
        </w:rPr>
        <w:t>Coditelv</w:t>
      </w:r>
      <w:proofErr w:type="spellEnd"/>
      <w:r w:rsidRPr="007A5B75">
        <w:rPr>
          <w:i/>
          <w:iCs/>
          <w:lang w:val="en-GB"/>
        </w:rPr>
        <w:t xml:space="preserve"> CinA/</w:t>
      </w:r>
      <w:proofErr w:type="spellStart"/>
      <w:r w:rsidRPr="007A5B75">
        <w:rPr>
          <w:i/>
          <w:iCs/>
          <w:lang w:val="en-GB"/>
        </w:rPr>
        <w:t>og</w:t>
      </w:r>
      <w:proofErr w:type="spellEnd"/>
      <w:r w:rsidRPr="007A5B75">
        <w:rPr>
          <w:i/>
          <w:iCs/>
          <w:lang w:val="en-GB"/>
        </w:rPr>
        <w:t xml:space="preserve"> </w:t>
      </w:r>
      <w:proofErr w:type="spellStart"/>
      <w:proofErr w:type="gramStart"/>
      <w:r w:rsidRPr="007A5B75">
        <w:rPr>
          <w:i/>
          <w:iCs/>
          <w:lang w:val="en-GB"/>
        </w:rPr>
        <w:t>FilmsI</w:t>
      </w:r>
      <w:proofErr w:type="spellEnd"/>
      <w:r w:rsidRPr="007A5B75">
        <w:rPr>
          <w:lang w:val="en-GB"/>
        </w:rPr>
        <w:t xml:space="preserve">  [</w:t>
      </w:r>
      <w:proofErr w:type="gramEnd"/>
      <w:r w:rsidRPr="007A5B75">
        <w:rPr>
          <w:lang w:val="en-GB"/>
        </w:rPr>
        <w:t xml:space="preserve">1982] </w:t>
      </w:r>
    </w:p>
    <w:p w14:paraId="4DAADDB1" w14:textId="7C4FD05E" w:rsidR="003D6BF6" w:rsidRPr="007A5B75" w:rsidRDefault="00FB75A1" w:rsidP="00444D4E">
      <w:pPr>
        <w:pStyle w:val="FootnoteText"/>
        <w:rPr>
          <w:lang w:val="en-GB"/>
        </w:rPr>
      </w:pPr>
      <w:r w:rsidRPr="007A5B75">
        <w:rPr>
          <w:lang w:val="en-GB"/>
        </w:rPr>
        <w:t>ECR 1-3381.</w:t>
      </w:r>
      <w:r w:rsidR="00825A5B" w:rsidRPr="007A5B75">
        <w:rPr>
          <w:lang w:val="en-GB"/>
        </w:rPr>
        <w:t xml:space="preserve"> Here, the CJEU considered the characteristics of the cinematographic industry and markets in the EU as reasonable factors to find that </w:t>
      </w:r>
      <w:r w:rsidR="004831FF" w:rsidRPr="007A5B75">
        <w:rPr>
          <w:lang w:val="en-GB"/>
        </w:rPr>
        <w:t xml:space="preserve">the exclusive licence at issue failed to </w:t>
      </w:r>
      <w:r w:rsidR="00750A83" w:rsidRPr="007A5B75">
        <w:rPr>
          <w:lang w:val="en-GB"/>
        </w:rPr>
        <w:t xml:space="preserve">prevent, </w:t>
      </w:r>
      <w:proofErr w:type="gramStart"/>
      <w:r w:rsidR="00750A83" w:rsidRPr="007A5B75">
        <w:rPr>
          <w:lang w:val="en-GB"/>
        </w:rPr>
        <w:t>restrict</w:t>
      </w:r>
      <w:proofErr w:type="gramEnd"/>
      <w:r w:rsidR="00750A83" w:rsidRPr="007A5B75">
        <w:rPr>
          <w:lang w:val="en-GB"/>
        </w:rPr>
        <w:t xml:space="preserve"> or distort competition.</w:t>
      </w:r>
    </w:p>
  </w:footnote>
  <w:footnote w:id="20">
    <w:p w14:paraId="67F28B45" w14:textId="77777777" w:rsidR="00F73CF2" w:rsidRPr="007A5B75" w:rsidRDefault="009F5247" w:rsidP="00F73CF2">
      <w:pPr>
        <w:pStyle w:val="FootnoteText"/>
        <w:rPr>
          <w:i/>
          <w:iCs/>
          <w:lang w:val="en-GB"/>
        </w:rPr>
      </w:pPr>
      <w:r w:rsidRPr="007A5B75">
        <w:rPr>
          <w:rStyle w:val="FootnoteReference"/>
          <w:lang w:val="en-GB"/>
        </w:rPr>
        <w:footnoteRef/>
      </w:r>
      <w:r w:rsidRPr="007A5B75">
        <w:rPr>
          <w:lang w:val="en-GB"/>
        </w:rPr>
        <w:t xml:space="preserve"> </w:t>
      </w:r>
      <w:r w:rsidR="00F73CF2" w:rsidRPr="007A5B75">
        <w:rPr>
          <w:lang w:val="en-GB"/>
        </w:rPr>
        <w:t>Case C-484/18</w:t>
      </w:r>
      <w:r w:rsidR="00F73CF2" w:rsidRPr="007A5B75">
        <w:rPr>
          <w:i/>
          <w:iCs/>
          <w:lang w:val="en-GB"/>
        </w:rPr>
        <w:t xml:space="preserve"> Société de perception et de distribution des droits des artistes-</w:t>
      </w:r>
      <w:proofErr w:type="spellStart"/>
      <w:r w:rsidR="00F73CF2" w:rsidRPr="007A5B75">
        <w:rPr>
          <w:i/>
          <w:iCs/>
          <w:lang w:val="en-GB"/>
        </w:rPr>
        <w:t>interprètes</w:t>
      </w:r>
      <w:proofErr w:type="spellEnd"/>
      <w:r w:rsidR="00F73CF2" w:rsidRPr="007A5B75">
        <w:rPr>
          <w:i/>
          <w:iCs/>
          <w:lang w:val="en-GB"/>
        </w:rPr>
        <w:t xml:space="preserve"> de la musique et de </w:t>
      </w:r>
    </w:p>
    <w:p w14:paraId="349359E2" w14:textId="5F597012" w:rsidR="009F5247" w:rsidRPr="007A5B75" w:rsidRDefault="00F73CF2" w:rsidP="00F73CF2">
      <w:pPr>
        <w:pStyle w:val="FootnoteText"/>
        <w:rPr>
          <w:lang w:val="en-GB"/>
        </w:rPr>
      </w:pPr>
      <w:r w:rsidRPr="007A5B75">
        <w:rPr>
          <w:i/>
          <w:iCs/>
          <w:lang w:val="en-GB"/>
        </w:rPr>
        <w:t>la danse (</w:t>
      </w:r>
      <w:proofErr w:type="spellStart"/>
      <w:r w:rsidRPr="007A5B75">
        <w:rPr>
          <w:i/>
          <w:iCs/>
          <w:lang w:val="en-GB"/>
        </w:rPr>
        <w:t>Spedidam</w:t>
      </w:r>
      <w:proofErr w:type="spellEnd"/>
      <w:r w:rsidRPr="007A5B75">
        <w:rPr>
          <w:i/>
          <w:iCs/>
          <w:lang w:val="en-GB"/>
        </w:rPr>
        <w:t xml:space="preserve">), PG, GF v </w:t>
      </w:r>
      <w:proofErr w:type="spellStart"/>
      <w:r w:rsidRPr="007A5B75">
        <w:rPr>
          <w:i/>
          <w:iCs/>
          <w:lang w:val="en-GB"/>
        </w:rPr>
        <w:t>Institut</w:t>
      </w:r>
      <w:proofErr w:type="spellEnd"/>
      <w:r w:rsidRPr="007A5B75">
        <w:rPr>
          <w:i/>
          <w:iCs/>
          <w:lang w:val="en-GB"/>
        </w:rPr>
        <w:t xml:space="preserve"> national de </w:t>
      </w:r>
      <w:proofErr w:type="spellStart"/>
      <w:r w:rsidRPr="007A5B75">
        <w:rPr>
          <w:i/>
          <w:iCs/>
          <w:lang w:val="en-GB"/>
        </w:rPr>
        <w:t>l’audiovisuel</w:t>
      </w:r>
      <w:proofErr w:type="spellEnd"/>
      <w:r w:rsidRPr="007A5B75">
        <w:rPr>
          <w:i/>
          <w:iCs/>
          <w:lang w:val="en-GB"/>
        </w:rPr>
        <w:t xml:space="preserve"> (INA) </w:t>
      </w:r>
      <w:r w:rsidRPr="007A5B75">
        <w:rPr>
          <w:lang w:val="en-GB"/>
        </w:rPr>
        <w:t>ECLI:EU:C:2019:970</w:t>
      </w:r>
      <w:r w:rsidR="009F5247" w:rsidRPr="007A5B75">
        <w:rPr>
          <w:lang w:val="en-GB"/>
        </w:rPr>
        <w:t xml:space="preserve"> at </w:t>
      </w:r>
      <w:r w:rsidR="0008079F" w:rsidRPr="007A5B75">
        <w:rPr>
          <w:lang w:val="en-GB"/>
        </w:rPr>
        <w:t>[37]-[39].</w:t>
      </w:r>
    </w:p>
  </w:footnote>
  <w:footnote w:id="21">
    <w:p w14:paraId="330E116E" w14:textId="3557D078" w:rsidR="00105CA3" w:rsidRPr="007A5B75" w:rsidRDefault="00105CA3">
      <w:pPr>
        <w:pStyle w:val="FootnoteText"/>
        <w:rPr>
          <w:lang w:val="en-GB"/>
        </w:rPr>
      </w:pPr>
      <w:r w:rsidRPr="007A5B75">
        <w:rPr>
          <w:rStyle w:val="FootnoteReference"/>
          <w:lang w:val="en-GB"/>
        </w:rPr>
        <w:footnoteRef/>
      </w:r>
      <w:r w:rsidRPr="007A5B75">
        <w:rPr>
          <w:lang w:val="en-GB"/>
        </w:rPr>
        <w:t xml:space="preserve"> </w:t>
      </w:r>
      <w:r w:rsidR="00835162" w:rsidRPr="007A5B75">
        <w:rPr>
          <w:lang w:val="en-GB"/>
        </w:rPr>
        <w:t xml:space="preserve">Cass. </w:t>
      </w:r>
      <w:proofErr w:type="spellStart"/>
      <w:r w:rsidR="00835162" w:rsidRPr="007A5B75">
        <w:rPr>
          <w:lang w:val="en-GB"/>
        </w:rPr>
        <w:t>Civ</w:t>
      </w:r>
      <w:proofErr w:type="spellEnd"/>
      <w:r w:rsidR="00835162" w:rsidRPr="007A5B75">
        <w:rPr>
          <w:lang w:val="en-GB"/>
        </w:rPr>
        <w:t xml:space="preserve">, 22 May 2019, no. 18-12718 - </w:t>
      </w:r>
      <w:r w:rsidR="00835162" w:rsidRPr="007A5B75">
        <w:rPr>
          <w:i/>
          <w:iCs/>
          <w:lang w:val="en-GB"/>
        </w:rPr>
        <w:t>Le Point</w:t>
      </w:r>
      <w:r w:rsidR="00835162" w:rsidRPr="007A5B75">
        <w:rPr>
          <w:lang w:val="en-GB"/>
        </w:rPr>
        <w:t xml:space="preserve">; </w:t>
      </w:r>
      <w:r w:rsidR="00EB2976" w:rsidRPr="007A5B75">
        <w:rPr>
          <w:lang w:val="en-GB"/>
        </w:rPr>
        <w:t xml:space="preserve">BGH, GRUR 2016, 1157 – Auf </w:t>
      </w:r>
      <w:proofErr w:type="spellStart"/>
      <w:r w:rsidR="00EB2976" w:rsidRPr="007A5B75">
        <w:rPr>
          <w:lang w:val="en-GB"/>
        </w:rPr>
        <w:t>fett</w:t>
      </w:r>
      <w:proofErr w:type="spellEnd"/>
      <w:r w:rsidR="00EB2976" w:rsidRPr="007A5B75">
        <w:rPr>
          <w:lang w:val="en-GB"/>
        </w:rPr>
        <w:t xml:space="preserve"> </w:t>
      </w:r>
      <w:proofErr w:type="spellStart"/>
      <w:r w:rsidR="00EB2976" w:rsidRPr="007A5B75">
        <w:rPr>
          <w:lang w:val="en-GB"/>
        </w:rPr>
        <w:t>getrimmt</w:t>
      </w:r>
      <w:proofErr w:type="spellEnd"/>
      <w:r w:rsidR="00EB2976" w:rsidRPr="007A5B75">
        <w:rPr>
          <w:lang w:val="en-GB"/>
        </w:rPr>
        <w:t xml:space="preserve"> (</w:t>
      </w:r>
      <w:r w:rsidR="00EB2976" w:rsidRPr="007A5B75">
        <w:rPr>
          <w:i/>
          <w:iCs/>
          <w:lang w:val="en-GB"/>
        </w:rPr>
        <w:t>Fat-cropped</w:t>
      </w:r>
      <w:r w:rsidR="00EB2976" w:rsidRPr="007A5B75">
        <w:rPr>
          <w:lang w:val="en-GB"/>
        </w:rPr>
        <w:t>).</w:t>
      </w:r>
    </w:p>
  </w:footnote>
  <w:footnote w:id="22">
    <w:p w14:paraId="61F52CC4" w14:textId="77777777" w:rsidR="004D5A31" w:rsidRPr="007A5B75" w:rsidRDefault="0010061B" w:rsidP="00444D4E">
      <w:pPr>
        <w:pStyle w:val="FootnoteText"/>
        <w:rPr>
          <w:lang w:val="en-GB"/>
        </w:rPr>
      </w:pPr>
      <w:r w:rsidRPr="007A5B75">
        <w:rPr>
          <w:rStyle w:val="FootnoteReference"/>
          <w:lang w:val="en-GB"/>
        </w:rPr>
        <w:footnoteRef/>
      </w:r>
      <w:r w:rsidRPr="007A5B75">
        <w:rPr>
          <w:lang w:val="en-GB"/>
        </w:rPr>
        <w:t xml:space="preserve"> See, </w:t>
      </w:r>
      <w:r w:rsidR="004D5A31" w:rsidRPr="007A5B75">
        <w:rPr>
          <w:lang w:val="en-GB"/>
        </w:rPr>
        <w:t xml:space="preserve">1993 TGI Paris, 15 October, 155 RIDA 225 – </w:t>
      </w:r>
      <w:r w:rsidR="004D5A31" w:rsidRPr="007A5B75">
        <w:rPr>
          <w:i/>
          <w:iCs/>
          <w:lang w:val="en-GB"/>
        </w:rPr>
        <w:t>Godot</w:t>
      </w:r>
      <w:r w:rsidR="004D5A31" w:rsidRPr="007A5B75">
        <w:rPr>
          <w:lang w:val="en-GB"/>
        </w:rPr>
        <w:t xml:space="preserve">; Cass. </w:t>
      </w:r>
      <w:proofErr w:type="spellStart"/>
      <w:r w:rsidR="004D5A31" w:rsidRPr="007A5B75">
        <w:rPr>
          <w:lang w:val="en-GB"/>
        </w:rPr>
        <w:t>Civ</w:t>
      </w:r>
      <w:proofErr w:type="spellEnd"/>
      <w:r w:rsidR="004D5A31" w:rsidRPr="007A5B75">
        <w:rPr>
          <w:lang w:val="en-GB"/>
        </w:rPr>
        <w:t>, 28 May 1991, 149 RIDA 197 (1991) –</w:t>
      </w:r>
    </w:p>
    <w:p w14:paraId="15C350FE" w14:textId="77777777" w:rsidR="004D5A31" w:rsidRPr="007A5B75" w:rsidRDefault="004D5A31" w:rsidP="00444D4E">
      <w:pPr>
        <w:pStyle w:val="FootnoteText"/>
        <w:rPr>
          <w:lang w:val="en-GB"/>
        </w:rPr>
      </w:pPr>
      <w:r w:rsidRPr="007A5B75">
        <w:rPr>
          <w:i/>
          <w:iCs/>
          <w:lang w:val="en-GB"/>
        </w:rPr>
        <w:t>Asphalt Jungle</w:t>
      </w:r>
      <w:r w:rsidRPr="007A5B75">
        <w:rPr>
          <w:lang w:val="en-GB"/>
        </w:rPr>
        <w:t xml:space="preserve">; 1995 CA Versailles, 10 December, 164 RIDA 256 - </w:t>
      </w:r>
      <w:r w:rsidRPr="007A5B75">
        <w:rPr>
          <w:i/>
          <w:iCs/>
          <w:lang w:val="en-GB"/>
        </w:rPr>
        <w:t>Turner Entertainment Company</w:t>
      </w:r>
      <w:r w:rsidRPr="007A5B75">
        <w:rPr>
          <w:lang w:val="en-GB"/>
        </w:rPr>
        <w:t xml:space="preserve">; Cass. </w:t>
      </w:r>
      <w:proofErr w:type="spellStart"/>
      <w:r w:rsidRPr="007A5B75">
        <w:rPr>
          <w:lang w:val="en-GB"/>
        </w:rPr>
        <w:t>Civ</w:t>
      </w:r>
      <w:proofErr w:type="spellEnd"/>
      <w:r w:rsidRPr="007A5B75">
        <w:rPr>
          <w:lang w:val="en-GB"/>
        </w:rPr>
        <w:t xml:space="preserve">, </w:t>
      </w:r>
    </w:p>
    <w:p w14:paraId="56BDA181" w14:textId="76C93A4A" w:rsidR="0010061B" w:rsidRPr="007A5B75" w:rsidRDefault="004D5A31" w:rsidP="00444D4E">
      <w:pPr>
        <w:pStyle w:val="FootnoteText"/>
        <w:rPr>
          <w:lang w:val="en-GB"/>
        </w:rPr>
      </w:pPr>
      <w:r w:rsidRPr="007A5B75">
        <w:rPr>
          <w:lang w:val="en-GB"/>
        </w:rPr>
        <w:t xml:space="preserve">12 July 2012, nos. 11-15.165 and 11-15.188 - </w:t>
      </w:r>
      <w:r w:rsidRPr="007A5B75">
        <w:rPr>
          <w:i/>
          <w:iCs/>
          <w:lang w:val="en-GB"/>
        </w:rPr>
        <w:t>La société Google France and Others v. La société Aufeminin.com and Others</w:t>
      </w:r>
      <w:r w:rsidRPr="007A5B75">
        <w:rPr>
          <w:lang w:val="en-GB"/>
        </w:rPr>
        <w:t xml:space="preserve">; 2018 CA-Versailles, 16 March 2018, RG 15/06029 – </w:t>
      </w:r>
      <w:r w:rsidRPr="007A5B75">
        <w:rPr>
          <w:i/>
          <w:iCs/>
          <w:lang w:val="en-GB"/>
        </w:rPr>
        <w:t>Malka v Klasen</w:t>
      </w:r>
      <w:r w:rsidRPr="007A5B75">
        <w:rPr>
          <w:lang w:val="en-GB"/>
        </w:rPr>
        <w:t xml:space="preserve">; </w:t>
      </w:r>
      <w:r w:rsidR="00822D89" w:rsidRPr="007A5B75">
        <w:rPr>
          <w:lang w:val="en-GB"/>
        </w:rPr>
        <w:t xml:space="preserve">Christophe Geiger, Contemporary Art on Trial – The Fundamental Right to Free Artistic Expression and the Regulation of the Use of Images by Copyright Law’ in Thomas Dreier and Tiziana Andina (eds.) Digital Ethics – The Issue of Images (Nomos, 2021); </w:t>
      </w:r>
      <w:r w:rsidRPr="007A5B75">
        <w:rPr>
          <w:lang w:val="en-GB"/>
        </w:rPr>
        <w:t xml:space="preserve"> Jonathan Griffiths, ‘Not such a timid thing: The United Kingdom’s Integrity Right and Freedom of Expression’ in Jonathan Griffiths and Uma </w:t>
      </w:r>
      <w:proofErr w:type="spellStart"/>
      <w:r w:rsidRPr="007A5B75">
        <w:rPr>
          <w:lang w:val="en-GB"/>
        </w:rPr>
        <w:t>Suthersanen</w:t>
      </w:r>
      <w:proofErr w:type="spellEnd"/>
      <w:r w:rsidRPr="007A5B75">
        <w:rPr>
          <w:lang w:val="en-GB"/>
        </w:rPr>
        <w:t xml:space="preserve"> (eds) Copyright and Free Speech (OUP 2005)</w:t>
      </w:r>
      <w:r w:rsidR="00822D89" w:rsidRPr="007A5B75">
        <w:rPr>
          <w:lang w:val="en-GB"/>
        </w:rPr>
        <w:t xml:space="preserve">; Alan Hui and Frédéric </w:t>
      </w:r>
      <w:proofErr w:type="spellStart"/>
      <w:r w:rsidR="00822D89" w:rsidRPr="007A5B75">
        <w:rPr>
          <w:lang w:val="en-GB"/>
        </w:rPr>
        <w:t>Döhl</w:t>
      </w:r>
      <w:proofErr w:type="spellEnd"/>
      <w:r w:rsidR="00822D89" w:rsidRPr="007A5B75">
        <w:rPr>
          <w:lang w:val="en-GB"/>
        </w:rPr>
        <w:t xml:space="preserve">, ‘Collateral Damage: Reuse in the Arts and the New Role of Quotation Provisions in Countries with Free Use Provisions after the ECJ’s Pelham, Funke </w:t>
      </w:r>
      <w:proofErr w:type="spellStart"/>
      <w:r w:rsidR="00822D89" w:rsidRPr="007A5B75">
        <w:rPr>
          <w:lang w:val="en-GB"/>
        </w:rPr>
        <w:t>Medien</w:t>
      </w:r>
      <w:proofErr w:type="spellEnd"/>
      <w:r w:rsidR="00822D89" w:rsidRPr="007A5B75">
        <w:rPr>
          <w:lang w:val="en-GB"/>
        </w:rPr>
        <w:t xml:space="preserve"> and Spiegel Online Judgments’ (2021) 52 IIC 852.</w:t>
      </w:r>
    </w:p>
  </w:footnote>
  <w:footnote w:id="23">
    <w:p w14:paraId="1E2538AC" w14:textId="4ACF958F" w:rsidR="00822D89" w:rsidRPr="007A5B75" w:rsidRDefault="00822D89" w:rsidP="00444D4E">
      <w:pPr>
        <w:pStyle w:val="FootnoteText"/>
        <w:rPr>
          <w:lang w:val="en-GB"/>
        </w:rPr>
      </w:pPr>
      <w:r w:rsidRPr="007A5B75">
        <w:rPr>
          <w:rStyle w:val="FootnoteReference"/>
          <w:lang w:val="en-GB"/>
        </w:rPr>
        <w:footnoteRef/>
      </w:r>
      <w:r w:rsidRPr="007A5B75">
        <w:rPr>
          <w:lang w:val="en-GB"/>
        </w:rPr>
        <w:t xml:space="preserve"> </w:t>
      </w:r>
      <w:r w:rsidR="00760C09" w:rsidRPr="007A5B75">
        <w:rPr>
          <w:lang w:val="en-GB"/>
        </w:rPr>
        <w:t xml:space="preserve">OLG Jena, 2015, 2 U 674/14 – </w:t>
      </w:r>
      <w:r w:rsidR="00760C09" w:rsidRPr="007A5B75">
        <w:rPr>
          <w:i/>
          <w:iCs/>
          <w:lang w:val="en-GB"/>
        </w:rPr>
        <w:t>Helene Fischer</w:t>
      </w:r>
      <w:r w:rsidR="00760C09" w:rsidRPr="007A5B75">
        <w:rPr>
          <w:lang w:val="en-GB"/>
        </w:rPr>
        <w:t>.</w:t>
      </w:r>
    </w:p>
  </w:footnote>
  <w:footnote w:id="24">
    <w:p w14:paraId="5CF93865" w14:textId="73B232BF" w:rsidR="004B5034" w:rsidRPr="007A5B75" w:rsidRDefault="004B5034" w:rsidP="00444D4E">
      <w:pPr>
        <w:pStyle w:val="FootnoteText"/>
        <w:rPr>
          <w:lang w:val="en-GB"/>
        </w:rPr>
      </w:pPr>
      <w:r w:rsidRPr="007A5B75">
        <w:rPr>
          <w:rStyle w:val="FootnoteReference"/>
          <w:lang w:val="en-GB"/>
        </w:rPr>
        <w:footnoteRef/>
      </w:r>
      <w:r w:rsidRPr="007A5B75">
        <w:rPr>
          <w:lang w:val="en-GB"/>
        </w:rPr>
        <w:t xml:space="preserve"> Stefan Michel, ‘You Can’t Always Get What You Want? A Comparative Analysis of the Legal Means </w:t>
      </w:r>
      <w:r w:rsidR="00CC7A07" w:rsidRPr="007A5B75">
        <w:rPr>
          <w:lang w:val="en-GB"/>
        </w:rPr>
        <w:t>to Oppose</w:t>
      </w:r>
      <w:r w:rsidRPr="007A5B75">
        <w:rPr>
          <w:lang w:val="en-GB"/>
        </w:rPr>
        <w:t xml:space="preserve"> the Use of Campaign Music’ (2018) 18 J. Marshall Rev. </w:t>
      </w:r>
      <w:proofErr w:type="spellStart"/>
      <w:r w:rsidRPr="007A5B75">
        <w:rPr>
          <w:lang w:val="en-GB"/>
        </w:rPr>
        <w:t>Intell</w:t>
      </w:r>
      <w:proofErr w:type="spellEnd"/>
      <w:r w:rsidRPr="007A5B75">
        <w:rPr>
          <w:lang w:val="en-GB"/>
        </w:rPr>
        <w:t>. Prop. L. 169, 190.</w:t>
      </w:r>
    </w:p>
  </w:footnote>
  <w:footnote w:id="25">
    <w:p w14:paraId="7C1C5F0A" w14:textId="398DE12A" w:rsidR="00045816" w:rsidRPr="007A5B75" w:rsidRDefault="00045816" w:rsidP="00444D4E">
      <w:pPr>
        <w:pStyle w:val="FootnoteText"/>
        <w:rPr>
          <w:lang w:val="en-GB"/>
        </w:rPr>
      </w:pPr>
      <w:r w:rsidRPr="007A5B75">
        <w:rPr>
          <w:rStyle w:val="FootnoteReference"/>
          <w:lang w:val="en-GB"/>
        </w:rPr>
        <w:footnoteRef/>
      </w:r>
      <w:r w:rsidRPr="007A5B75">
        <w:rPr>
          <w:lang w:val="en-GB"/>
        </w:rPr>
        <w:t xml:space="preserve"> Ibid.</w:t>
      </w:r>
    </w:p>
  </w:footnote>
  <w:footnote w:id="26">
    <w:p w14:paraId="1BE07BF1" w14:textId="01F33CBD" w:rsidR="00A44600" w:rsidRPr="007A5B75" w:rsidRDefault="00A44600" w:rsidP="00444D4E">
      <w:pPr>
        <w:pStyle w:val="FootnoteText"/>
        <w:rPr>
          <w:lang w:val="en-GB"/>
        </w:rPr>
      </w:pPr>
      <w:r w:rsidRPr="007A5B75">
        <w:rPr>
          <w:rStyle w:val="FootnoteReference"/>
          <w:lang w:val="en-GB"/>
        </w:rPr>
        <w:footnoteRef/>
      </w:r>
      <w:r w:rsidRPr="007A5B75">
        <w:rPr>
          <w:lang w:val="en-GB"/>
        </w:rPr>
        <w:t xml:space="preserve"> </w:t>
      </w:r>
      <w:r w:rsidR="0076570F" w:rsidRPr="007A5B75">
        <w:rPr>
          <w:lang w:val="en-GB"/>
        </w:rPr>
        <w:t xml:space="preserve">C-487/07 </w:t>
      </w:r>
      <w:r w:rsidR="0076570F" w:rsidRPr="007A5B75">
        <w:rPr>
          <w:i/>
          <w:iCs/>
          <w:lang w:val="en-GB"/>
        </w:rPr>
        <w:t xml:space="preserve">L’Oreal SA and Others v </w:t>
      </w:r>
      <w:proofErr w:type="spellStart"/>
      <w:r w:rsidR="0076570F" w:rsidRPr="007A5B75">
        <w:rPr>
          <w:i/>
          <w:iCs/>
          <w:lang w:val="en-GB"/>
        </w:rPr>
        <w:t>Bellure</w:t>
      </w:r>
      <w:proofErr w:type="spellEnd"/>
      <w:r w:rsidR="0076570F" w:rsidRPr="007A5B75">
        <w:rPr>
          <w:i/>
          <w:iCs/>
          <w:lang w:val="en-GB"/>
        </w:rPr>
        <w:t xml:space="preserve"> and Others</w:t>
      </w:r>
      <w:r w:rsidR="0076570F" w:rsidRPr="007A5B75">
        <w:rPr>
          <w:lang w:val="en-GB"/>
        </w:rPr>
        <w:t xml:space="preserve"> ECLI:EU:</w:t>
      </w:r>
      <w:proofErr w:type="gramStart"/>
      <w:r w:rsidR="0076570F" w:rsidRPr="007A5B75">
        <w:rPr>
          <w:lang w:val="en-GB"/>
        </w:rPr>
        <w:t>C:2009:378</w:t>
      </w:r>
      <w:proofErr w:type="gramEnd"/>
      <w:r w:rsidR="001D3EBB" w:rsidRPr="007A5B75">
        <w:rPr>
          <w:lang w:val="en-GB"/>
        </w:rPr>
        <w:t>at [40]</w:t>
      </w:r>
    </w:p>
  </w:footnote>
  <w:footnote w:id="27">
    <w:p w14:paraId="52019DDC" w14:textId="77777777" w:rsidR="00D34CC4" w:rsidRPr="007A5B75" w:rsidRDefault="00473257" w:rsidP="00444D4E">
      <w:pPr>
        <w:pStyle w:val="FootnoteText"/>
        <w:rPr>
          <w:lang w:val="en-GB"/>
        </w:rPr>
      </w:pPr>
      <w:r w:rsidRPr="007A5B75">
        <w:rPr>
          <w:rStyle w:val="FootnoteReference"/>
          <w:lang w:val="en-GB"/>
        </w:rPr>
        <w:footnoteRef/>
      </w:r>
      <w:r w:rsidRPr="007A5B75">
        <w:rPr>
          <w:lang w:val="en-GB"/>
        </w:rPr>
        <w:t xml:space="preserve"> </w:t>
      </w:r>
      <w:r w:rsidR="00D34CC4" w:rsidRPr="007A5B75">
        <w:rPr>
          <w:lang w:val="en-GB"/>
        </w:rPr>
        <w:t xml:space="preserve">Michael Handler, 'What Can Harm the Reputation of a Trademark: A Critical Re-Evaluation of Dilution by </w:t>
      </w:r>
    </w:p>
    <w:p w14:paraId="7C7AFE1B" w14:textId="2FCA35D6" w:rsidR="00473257" w:rsidRPr="007A5B75" w:rsidRDefault="00D34CC4" w:rsidP="00444D4E">
      <w:pPr>
        <w:pStyle w:val="FootnoteText"/>
        <w:rPr>
          <w:lang w:val="en-GB"/>
        </w:rPr>
      </w:pPr>
      <w:proofErr w:type="spellStart"/>
      <w:r w:rsidRPr="007A5B75">
        <w:rPr>
          <w:lang w:val="en-GB"/>
        </w:rPr>
        <w:t>Tarnishment</w:t>
      </w:r>
      <w:proofErr w:type="spellEnd"/>
      <w:r w:rsidRPr="007A5B75">
        <w:rPr>
          <w:lang w:val="en-GB"/>
        </w:rPr>
        <w:t>' (2016) 106 Trademark Rep 639, 672.</w:t>
      </w:r>
    </w:p>
  </w:footnote>
  <w:footnote w:id="28">
    <w:p w14:paraId="4727E14F" w14:textId="564CDB84" w:rsidR="003C7CCB" w:rsidRPr="007A5B75" w:rsidRDefault="003C7CCB" w:rsidP="00444D4E">
      <w:pPr>
        <w:pStyle w:val="FootnoteText"/>
        <w:rPr>
          <w:lang w:val="en-GB"/>
        </w:rPr>
      </w:pPr>
      <w:r w:rsidRPr="007A5B75">
        <w:rPr>
          <w:rStyle w:val="FootnoteReference"/>
          <w:lang w:val="en-GB"/>
        </w:rPr>
        <w:footnoteRef/>
      </w:r>
      <w:r w:rsidRPr="007A5B75">
        <w:rPr>
          <w:lang w:val="en-GB"/>
        </w:rPr>
        <w:t xml:space="preserve"> L’Oréal v </w:t>
      </w:r>
      <w:proofErr w:type="spellStart"/>
      <w:r w:rsidRPr="007A5B75">
        <w:rPr>
          <w:lang w:val="en-GB"/>
        </w:rPr>
        <w:t>Bellure</w:t>
      </w:r>
      <w:proofErr w:type="spellEnd"/>
      <w:r w:rsidRPr="007A5B75">
        <w:rPr>
          <w:lang w:val="en-GB"/>
        </w:rPr>
        <w:t xml:space="preserve"> at [49].</w:t>
      </w:r>
    </w:p>
  </w:footnote>
  <w:footnote w:id="29">
    <w:p w14:paraId="6EE17F4C" w14:textId="1603055D" w:rsidR="00D73704" w:rsidRPr="007A5B75" w:rsidRDefault="00D73704" w:rsidP="00444D4E">
      <w:pPr>
        <w:pStyle w:val="FootnoteText"/>
        <w:rPr>
          <w:lang w:val="en-GB"/>
        </w:rPr>
      </w:pPr>
      <w:r w:rsidRPr="007A5B75">
        <w:rPr>
          <w:rStyle w:val="FootnoteReference"/>
          <w:lang w:val="en-GB"/>
        </w:rPr>
        <w:footnoteRef/>
      </w:r>
      <w:r w:rsidRPr="007A5B75">
        <w:rPr>
          <w:lang w:val="en-GB"/>
        </w:rPr>
        <w:t xml:space="preserve"> </w:t>
      </w:r>
      <w:r w:rsidR="001B3BA0" w:rsidRPr="007A5B75">
        <w:rPr>
          <w:lang w:val="en-GB"/>
        </w:rPr>
        <w:t xml:space="preserve">Case T-111/16 Judgment of the General Court (Second Chamber) </w:t>
      </w:r>
      <w:r w:rsidR="001B3BA0" w:rsidRPr="007A5B75">
        <w:rPr>
          <w:i/>
          <w:iCs/>
          <w:lang w:val="en-GB"/>
        </w:rPr>
        <w:t>Prada SA v EUIPO</w:t>
      </w:r>
      <w:r w:rsidR="001B3BA0" w:rsidRPr="007A5B75">
        <w:rPr>
          <w:lang w:val="en-GB"/>
        </w:rPr>
        <w:t xml:space="preserve"> ECLI:</w:t>
      </w:r>
      <w:proofErr w:type="gramStart"/>
      <w:r w:rsidR="001B3BA0" w:rsidRPr="007A5B75">
        <w:rPr>
          <w:lang w:val="en-GB"/>
        </w:rPr>
        <w:t>EU:T</w:t>
      </w:r>
      <w:proofErr w:type="gramEnd"/>
      <w:r w:rsidR="001B3BA0" w:rsidRPr="007A5B75">
        <w:rPr>
          <w:lang w:val="en-GB"/>
        </w:rPr>
        <w:t>:2018:328.</w:t>
      </w:r>
    </w:p>
  </w:footnote>
  <w:footnote w:id="30">
    <w:p w14:paraId="60FA1AC4" w14:textId="48905334" w:rsidR="001B3BA0" w:rsidRPr="007A5B75" w:rsidRDefault="001B3BA0" w:rsidP="00444D4E">
      <w:pPr>
        <w:pStyle w:val="FootnoteText"/>
        <w:rPr>
          <w:lang w:val="en-GB"/>
        </w:rPr>
      </w:pPr>
      <w:r w:rsidRPr="007A5B75">
        <w:rPr>
          <w:rStyle w:val="FootnoteReference"/>
          <w:lang w:val="en-GB"/>
        </w:rPr>
        <w:footnoteRef/>
      </w:r>
      <w:r w:rsidRPr="007A5B75">
        <w:rPr>
          <w:lang w:val="en-GB"/>
        </w:rPr>
        <w:t xml:space="preserve"> Ibid [54].</w:t>
      </w:r>
    </w:p>
  </w:footnote>
  <w:footnote w:id="31">
    <w:p w14:paraId="4D9D702E" w14:textId="284B26F4" w:rsidR="00C2584E" w:rsidRPr="007A5B75" w:rsidRDefault="00C2584E" w:rsidP="00532B04">
      <w:pPr>
        <w:pStyle w:val="FootnoteText"/>
        <w:rPr>
          <w:lang w:val="en-GB"/>
        </w:rPr>
      </w:pPr>
      <w:r w:rsidRPr="007A5B75">
        <w:rPr>
          <w:rStyle w:val="FootnoteReference"/>
          <w:lang w:val="en-GB"/>
        </w:rPr>
        <w:footnoteRef/>
      </w:r>
      <w:r w:rsidRPr="007A5B75">
        <w:rPr>
          <w:lang w:val="en-GB"/>
        </w:rPr>
        <w:t xml:space="preserve"> </w:t>
      </w:r>
      <w:r w:rsidR="00532B04" w:rsidRPr="007A5B75">
        <w:rPr>
          <w:lang w:val="en-GB"/>
        </w:rPr>
        <w:t>Directive 2001/29/EC of the European Parliament and of the Council of 22 May 2001 on the harmonisation of certain aspects of copyright and related rights in the information society [2001] OJ L 167/10</w:t>
      </w:r>
      <w:r w:rsidRPr="007A5B75">
        <w:rPr>
          <w:lang w:val="en-GB"/>
        </w:rPr>
        <w:t>, recital 10</w:t>
      </w:r>
      <w:r w:rsidR="00532B04" w:rsidRPr="007A5B75">
        <w:rPr>
          <w:lang w:val="en-GB"/>
        </w:rPr>
        <w:t>.</w:t>
      </w:r>
    </w:p>
  </w:footnote>
  <w:footnote w:id="32">
    <w:p w14:paraId="68E543E9" w14:textId="302A365E" w:rsidR="006D2ACA" w:rsidRPr="007A5B75" w:rsidRDefault="006D2ACA" w:rsidP="00444D4E">
      <w:pPr>
        <w:pStyle w:val="FootnoteText"/>
        <w:rPr>
          <w:lang w:val="en-GB"/>
        </w:rPr>
      </w:pPr>
      <w:r w:rsidRPr="007A5B75">
        <w:rPr>
          <w:rStyle w:val="FootnoteReference"/>
          <w:lang w:val="en-GB"/>
        </w:rPr>
        <w:footnoteRef/>
      </w:r>
      <w:r w:rsidRPr="007A5B75">
        <w:rPr>
          <w:lang w:val="en-GB"/>
        </w:rPr>
        <w:t xml:space="preserve"> In </w:t>
      </w:r>
      <w:r w:rsidR="00F91266" w:rsidRPr="007A5B75">
        <w:rPr>
          <w:lang w:val="en-GB"/>
        </w:rPr>
        <w:t>C-419/13</w:t>
      </w:r>
      <w:r w:rsidR="00F91266" w:rsidRPr="007A5B75">
        <w:rPr>
          <w:i/>
          <w:iCs/>
          <w:lang w:val="en-GB"/>
        </w:rPr>
        <w:t xml:space="preserve"> Art &amp; </w:t>
      </w:r>
      <w:proofErr w:type="spellStart"/>
      <w:r w:rsidR="00F91266" w:rsidRPr="007A5B75">
        <w:rPr>
          <w:i/>
          <w:iCs/>
          <w:lang w:val="en-GB"/>
        </w:rPr>
        <w:t>Allposters</w:t>
      </w:r>
      <w:proofErr w:type="spellEnd"/>
      <w:r w:rsidR="00F91266" w:rsidRPr="007A5B75">
        <w:rPr>
          <w:i/>
          <w:iCs/>
          <w:lang w:val="en-GB"/>
        </w:rPr>
        <w:t xml:space="preserve"> International BV v </w:t>
      </w:r>
      <w:proofErr w:type="spellStart"/>
      <w:r w:rsidR="00F91266" w:rsidRPr="007A5B75">
        <w:rPr>
          <w:i/>
          <w:iCs/>
          <w:lang w:val="en-GB"/>
        </w:rPr>
        <w:t>Stichting</w:t>
      </w:r>
      <w:proofErr w:type="spellEnd"/>
      <w:r w:rsidR="00F91266" w:rsidRPr="007A5B75">
        <w:rPr>
          <w:i/>
          <w:iCs/>
          <w:lang w:val="en-GB"/>
        </w:rPr>
        <w:t xml:space="preserve"> </w:t>
      </w:r>
      <w:proofErr w:type="spellStart"/>
      <w:r w:rsidR="00F91266" w:rsidRPr="007A5B75">
        <w:rPr>
          <w:i/>
          <w:iCs/>
          <w:lang w:val="en-GB"/>
        </w:rPr>
        <w:t>Pictoright</w:t>
      </w:r>
      <w:proofErr w:type="spellEnd"/>
      <w:r w:rsidR="00F91266" w:rsidRPr="007A5B75">
        <w:rPr>
          <w:i/>
          <w:iCs/>
          <w:lang w:val="en-GB"/>
        </w:rPr>
        <w:t xml:space="preserve">, </w:t>
      </w:r>
      <w:r w:rsidR="00F91266" w:rsidRPr="007A5B75">
        <w:rPr>
          <w:lang w:val="en-GB"/>
        </w:rPr>
        <w:t>EU:C2015:27</w:t>
      </w:r>
      <w:r w:rsidRPr="007A5B75">
        <w:rPr>
          <w:i/>
          <w:iCs/>
          <w:lang w:val="en-GB"/>
        </w:rPr>
        <w:t xml:space="preserve"> </w:t>
      </w:r>
      <w:r w:rsidRPr="007A5B75">
        <w:rPr>
          <w:lang w:val="en-GB"/>
        </w:rPr>
        <w:t xml:space="preserve">this was in relation to the work’s exploitation in a new commercial market. </w:t>
      </w:r>
      <w:r w:rsidR="007243DA" w:rsidRPr="007A5B75">
        <w:rPr>
          <w:lang w:val="en-GB"/>
        </w:rPr>
        <w:t xml:space="preserve">[31] and </w:t>
      </w:r>
      <w:r w:rsidRPr="007A5B75">
        <w:rPr>
          <w:lang w:val="en-GB"/>
        </w:rPr>
        <w:t>[43].</w:t>
      </w:r>
    </w:p>
  </w:footnote>
  <w:footnote w:id="33">
    <w:p w14:paraId="20D717CE" w14:textId="2B62A1A8" w:rsidR="00C2584E" w:rsidRPr="007A5B75" w:rsidRDefault="00C2584E" w:rsidP="00444D4E">
      <w:pPr>
        <w:pStyle w:val="FootnoteText"/>
        <w:rPr>
          <w:lang w:val="en-GB"/>
        </w:rPr>
      </w:pPr>
      <w:r w:rsidRPr="007A5B75">
        <w:rPr>
          <w:rStyle w:val="FootnoteReference"/>
          <w:lang w:val="en-GB"/>
        </w:rPr>
        <w:footnoteRef/>
      </w:r>
      <w:r w:rsidRPr="007A5B75">
        <w:rPr>
          <w:lang w:val="en-GB"/>
        </w:rPr>
        <w:t xml:space="preserve"> </w:t>
      </w:r>
      <w:r w:rsidR="006347DA" w:rsidRPr="007A5B75">
        <w:rPr>
          <w:lang w:val="en-GB"/>
        </w:rPr>
        <w:t xml:space="preserve">C-128/11 </w:t>
      </w:r>
      <w:proofErr w:type="spellStart"/>
      <w:r w:rsidR="006347DA" w:rsidRPr="007A5B75">
        <w:rPr>
          <w:i/>
          <w:iCs/>
          <w:lang w:val="en-GB"/>
        </w:rPr>
        <w:t>UsedSoft</w:t>
      </w:r>
      <w:proofErr w:type="spellEnd"/>
      <w:r w:rsidR="006347DA" w:rsidRPr="007A5B75">
        <w:rPr>
          <w:i/>
          <w:iCs/>
          <w:lang w:val="en-GB"/>
        </w:rPr>
        <w:t xml:space="preserve"> GmbH v Oracle International Corp.</w:t>
      </w:r>
      <w:r w:rsidR="006347DA" w:rsidRPr="007A5B75">
        <w:rPr>
          <w:lang w:val="en-GB"/>
        </w:rPr>
        <w:t xml:space="preserve"> EU:</w:t>
      </w:r>
      <w:proofErr w:type="gramStart"/>
      <w:r w:rsidR="006347DA" w:rsidRPr="007A5B75">
        <w:rPr>
          <w:lang w:val="en-GB"/>
        </w:rPr>
        <w:t>C:2012:407</w:t>
      </w:r>
      <w:proofErr w:type="gramEnd"/>
      <w:r w:rsidR="006347DA" w:rsidRPr="007A5B75">
        <w:rPr>
          <w:lang w:val="en-GB"/>
        </w:rPr>
        <w:t xml:space="preserve"> </w:t>
      </w:r>
      <w:r w:rsidRPr="007A5B75">
        <w:rPr>
          <w:lang w:val="en-GB"/>
        </w:rPr>
        <w:t>at [63].</w:t>
      </w:r>
    </w:p>
  </w:footnote>
  <w:footnote w:id="34">
    <w:p w14:paraId="52F3B96C" w14:textId="19806D1F" w:rsidR="001A7589" w:rsidRPr="007A5B75" w:rsidRDefault="001A7589" w:rsidP="00444D4E">
      <w:pPr>
        <w:pStyle w:val="FootnoteText"/>
        <w:rPr>
          <w:lang w:val="en-GB"/>
        </w:rPr>
      </w:pPr>
      <w:r w:rsidRPr="007A5B75">
        <w:rPr>
          <w:rStyle w:val="FootnoteReference"/>
          <w:lang w:val="en-GB"/>
        </w:rPr>
        <w:footnoteRef/>
      </w:r>
      <w:r w:rsidRPr="007A5B75">
        <w:rPr>
          <w:lang w:val="en-GB"/>
        </w:rPr>
        <w:t xml:space="preserve"> </w:t>
      </w:r>
      <w:r w:rsidR="00063453" w:rsidRPr="007A5B75">
        <w:rPr>
          <w:lang w:val="en-GB"/>
        </w:rPr>
        <w:t xml:space="preserve">C-572/13 </w:t>
      </w:r>
      <w:r w:rsidR="00063453" w:rsidRPr="007A5B75">
        <w:rPr>
          <w:i/>
          <w:iCs/>
          <w:lang w:val="en-GB"/>
        </w:rPr>
        <w:t xml:space="preserve">Hewlett-Packard Belgium SPRL v </w:t>
      </w:r>
      <w:proofErr w:type="spellStart"/>
      <w:r w:rsidR="00063453" w:rsidRPr="007A5B75">
        <w:rPr>
          <w:i/>
          <w:iCs/>
          <w:lang w:val="en-GB"/>
        </w:rPr>
        <w:t>Reprobel</w:t>
      </w:r>
      <w:proofErr w:type="spellEnd"/>
      <w:r w:rsidR="00063453" w:rsidRPr="007A5B75">
        <w:rPr>
          <w:i/>
          <w:iCs/>
          <w:lang w:val="en-GB"/>
        </w:rPr>
        <w:t xml:space="preserve"> SCRL</w:t>
      </w:r>
      <w:r w:rsidR="00063453" w:rsidRPr="007A5B75">
        <w:rPr>
          <w:lang w:val="en-GB"/>
        </w:rPr>
        <w:t xml:space="preserve"> ECLI:EU:C: 2015:750</w:t>
      </w:r>
      <w:r w:rsidRPr="007A5B75">
        <w:rPr>
          <w:i/>
          <w:iCs/>
          <w:lang w:val="en-GB"/>
        </w:rPr>
        <w:t xml:space="preserve"> </w:t>
      </w:r>
      <w:r w:rsidRPr="007A5B75">
        <w:rPr>
          <w:lang w:val="en-GB"/>
        </w:rPr>
        <w:t>at [36].</w:t>
      </w:r>
    </w:p>
  </w:footnote>
  <w:footnote w:id="35">
    <w:p w14:paraId="488634F5" w14:textId="77777777" w:rsidR="00CF18D9" w:rsidRPr="007A5B75" w:rsidRDefault="00D20F17" w:rsidP="00CF18D9">
      <w:pPr>
        <w:pStyle w:val="FootnoteText"/>
        <w:rPr>
          <w:lang w:val="en-GB"/>
        </w:rPr>
      </w:pPr>
      <w:r w:rsidRPr="007A5B75">
        <w:rPr>
          <w:rStyle w:val="FootnoteReference"/>
          <w:lang w:val="en-GB"/>
        </w:rPr>
        <w:footnoteRef/>
      </w:r>
      <w:r w:rsidRPr="007A5B75">
        <w:rPr>
          <w:lang w:val="en-GB"/>
        </w:rPr>
        <w:t xml:space="preserve"> </w:t>
      </w:r>
      <w:proofErr w:type="spellStart"/>
      <w:r w:rsidR="00CF18D9" w:rsidRPr="007A5B75">
        <w:rPr>
          <w:lang w:val="en-GB"/>
        </w:rPr>
        <w:t>Commision</w:t>
      </w:r>
      <w:proofErr w:type="spellEnd"/>
      <w:r w:rsidR="00CF18D9" w:rsidRPr="007A5B75">
        <w:rPr>
          <w:lang w:val="en-GB"/>
        </w:rPr>
        <w:t>, ‘Communication on Guidance on Article 17 of Directive 2019/790 on Copyright in</w:t>
      </w:r>
    </w:p>
    <w:p w14:paraId="1822ECA4" w14:textId="2160532B" w:rsidR="00D20F17" w:rsidRPr="007A5B75" w:rsidRDefault="00CF18D9" w:rsidP="00CF18D9">
      <w:pPr>
        <w:pStyle w:val="FootnoteText"/>
        <w:rPr>
          <w:lang w:val="en-GB"/>
        </w:rPr>
      </w:pPr>
      <w:r w:rsidRPr="007A5B75">
        <w:rPr>
          <w:lang w:val="en-GB"/>
        </w:rPr>
        <w:t xml:space="preserve">the Digital Single Market’ </w:t>
      </w:r>
      <w:proofErr w:type="gramStart"/>
      <w:r w:rsidRPr="007A5B75">
        <w:rPr>
          <w:lang w:val="en-GB"/>
        </w:rPr>
        <w:t>COM(</w:t>
      </w:r>
      <w:proofErr w:type="gramEnd"/>
      <w:r w:rsidRPr="007A5B75">
        <w:rPr>
          <w:lang w:val="en-GB"/>
        </w:rPr>
        <w:t xml:space="preserve">2021) 288 final, 21; </w:t>
      </w:r>
      <w:r w:rsidR="00337678" w:rsidRPr="007A5B75">
        <w:rPr>
          <w:lang w:val="en-GB"/>
        </w:rPr>
        <w:t xml:space="preserve">Opinion of AG Saugmandsgaard </w:t>
      </w:r>
      <w:proofErr w:type="spellStart"/>
      <w:r w:rsidR="00337678" w:rsidRPr="007A5B75">
        <w:rPr>
          <w:lang w:val="en-GB"/>
        </w:rPr>
        <w:t>Øe</w:t>
      </w:r>
      <w:proofErr w:type="spellEnd"/>
      <w:r w:rsidR="00337678" w:rsidRPr="007A5B75">
        <w:rPr>
          <w:lang w:val="en-GB"/>
        </w:rPr>
        <w:t xml:space="preserve"> Case C-401/19 </w:t>
      </w:r>
      <w:r w:rsidR="00337678" w:rsidRPr="007A5B75">
        <w:rPr>
          <w:i/>
          <w:iCs/>
          <w:lang w:val="en-GB"/>
        </w:rPr>
        <w:t xml:space="preserve">Republic of Poland v European Parliament, Council of the European Union </w:t>
      </w:r>
      <w:r w:rsidR="00337678" w:rsidRPr="007A5B75">
        <w:rPr>
          <w:lang w:val="en-GB"/>
        </w:rPr>
        <w:t>ECLI:EU:C:2021:613</w:t>
      </w:r>
      <w:r w:rsidRPr="007A5B75">
        <w:rPr>
          <w:lang w:val="en-GB"/>
        </w:rPr>
        <w:t>.</w:t>
      </w:r>
    </w:p>
  </w:footnote>
  <w:footnote w:id="36">
    <w:p w14:paraId="74259F25" w14:textId="10CFFEB9" w:rsidR="00D20F17" w:rsidRPr="007A5B75" w:rsidRDefault="00D20F17" w:rsidP="00444D4E">
      <w:pPr>
        <w:pStyle w:val="FootnoteText"/>
        <w:rPr>
          <w:lang w:val="en-GB"/>
        </w:rPr>
      </w:pPr>
      <w:r w:rsidRPr="007A5B75">
        <w:rPr>
          <w:rStyle w:val="FootnoteReference"/>
          <w:lang w:val="en-GB"/>
        </w:rPr>
        <w:footnoteRef/>
      </w:r>
      <w:r w:rsidRPr="007A5B75">
        <w:rPr>
          <w:lang w:val="en-GB"/>
        </w:rPr>
        <w:t xml:space="preserve"> </w:t>
      </w:r>
      <w:r w:rsidR="0081423A" w:rsidRPr="007A5B75">
        <w:rPr>
          <w:lang w:val="en-GB"/>
        </w:rPr>
        <w:t>C-401/19 Poland v Parliament and Council [2022], ECLI:EU:C:2022:297 at [</w:t>
      </w:r>
      <w:r w:rsidR="004B0A4A" w:rsidRPr="007A5B75">
        <w:rPr>
          <w:lang w:val="en-GB"/>
        </w:rPr>
        <w:t>76].</w:t>
      </w:r>
    </w:p>
  </w:footnote>
  <w:footnote w:id="37">
    <w:p w14:paraId="32DAF4B0" w14:textId="7157D2A3" w:rsidR="00DE085D" w:rsidRPr="007A5B75" w:rsidRDefault="00DE085D" w:rsidP="00444D4E">
      <w:pPr>
        <w:pStyle w:val="FootnoteText"/>
        <w:rPr>
          <w:lang w:val="en-GB"/>
        </w:rPr>
      </w:pPr>
      <w:r w:rsidRPr="007A5B75">
        <w:rPr>
          <w:rStyle w:val="FootnoteReference"/>
          <w:lang w:val="en-GB"/>
        </w:rPr>
        <w:footnoteRef/>
      </w:r>
      <w:r w:rsidRPr="007A5B75">
        <w:rPr>
          <w:lang w:val="en-GB"/>
        </w:rPr>
        <w:t xml:space="preserve"> There is a theoretical risk that </w:t>
      </w:r>
      <w:r w:rsidR="00267C6A" w:rsidRPr="007A5B75">
        <w:rPr>
          <w:lang w:val="en-GB"/>
        </w:rPr>
        <w:t xml:space="preserve">if </w:t>
      </w:r>
      <w:r w:rsidRPr="007A5B75">
        <w:rPr>
          <w:lang w:val="en-GB"/>
        </w:rPr>
        <w:t>member state</w:t>
      </w:r>
      <w:r w:rsidR="00267C6A" w:rsidRPr="007A5B75">
        <w:rPr>
          <w:lang w:val="en-GB"/>
        </w:rPr>
        <w:t>s</w:t>
      </w:r>
      <w:r w:rsidRPr="007A5B75">
        <w:rPr>
          <w:lang w:val="en-GB"/>
        </w:rPr>
        <w:t xml:space="preserve"> transpose it strictly, only providing these exceptions for OCSSP-related copyright infringement, and not for platforms falling outside this definition that may be liable pursuant to art. 3 Information Society Directive.</w:t>
      </w:r>
    </w:p>
  </w:footnote>
  <w:footnote w:id="38">
    <w:p w14:paraId="5F4906B3" w14:textId="1147A583" w:rsidR="009E3C83" w:rsidRPr="007A5B75" w:rsidRDefault="009E3C83" w:rsidP="000A1B02">
      <w:pPr>
        <w:pStyle w:val="FootnoteText"/>
        <w:rPr>
          <w:lang w:val="en-GB"/>
        </w:rPr>
      </w:pPr>
      <w:r w:rsidRPr="007A5B75">
        <w:rPr>
          <w:rStyle w:val="FootnoteReference"/>
          <w:lang w:val="en-GB"/>
        </w:rPr>
        <w:footnoteRef/>
      </w:r>
      <w:r w:rsidRPr="007A5B75">
        <w:rPr>
          <w:lang w:val="en-GB"/>
        </w:rPr>
        <w:t xml:space="preserve"> </w:t>
      </w:r>
      <w:r w:rsidR="000A1B02" w:rsidRPr="007A5B75">
        <w:rPr>
          <w:lang w:val="en-GB"/>
        </w:rPr>
        <w:t xml:space="preserve">Martin </w:t>
      </w:r>
      <w:proofErr w:type="spellStart"/>
      <w:r w:rsidR="000A1B02" w:rsidRPr="007A5B75">
        <w:rPr>
          <w:lang w:val="en-GB"/>
        </w:rPr>
        <w:t>Senftleben</w:t>
      </w:r>
      <w:proofErr w:type="spellEnd"/>
      <w:r w:rsidR="000A1B02" w:rsidRPr="007A5B75">
        <w:rPr>
          <w:lang w:val="en-GB"/>
        </w:rPr>
        <w:t>, ‘User-Generated Content – Towards a New Use Privilege in EU Copyright Law’ in Tanya Aplin (ed) Research Handbook on Intellectual Property and Digital Technologies (Edward Elgar 2019).</w:t>
      </w:r>
    </w:p>
  </w:footnote>
  <w:footnote w:id="39">
    <w:p w14:paraId="64803255" w14:textId="13B1D130" w:rsidR="003E259B" w:rsidRPr="007A5B75" w:rsidRDefault="003E259B" w:rsidP="00AA3024">
      <w:pPr>
        <w:pStyle w:val="FootnoteText"/>
        <w:rPr>
          <w:lang w:val="en-GB"/>
        </w:rPr>
      </w:pPr>
      <w:r w:rsidRPr="007A5B75">
        <w:rPr>
          <w:rStyle w:val="FootnoteReference"/>
          <w:lang w:val="en-GB"/>
        </w:rPr>
        <w:footnoteRef/>
      </w:r>
      <w:r w:rsidRPr="007A5B75">
        <w:rPr>
          <w:lang w:val="en-GB"/>
        </w:rPr>
        <w:t xml:space="preserve"> Jane C. Ginsburg, ‘Fair Use for Free, or Permitted-but-Paid?’ (2014) 29 Berkeley Tech. L. J. 1383</w:t>
      </w:r>
      <w:r w:rsidR="00DC40CB" w:rsidRPr="007A5B75">
        <w:rPr>
          <w:lang w:val="en-GB"/>
        </w:rPr>
        <w:t xml:space="preserve">; </w:t>
      </w:r>
      <w:r w:rsidR="00AA3024" w:rsidRPr="007A5B75">
        <w:rPr>
          <w:lang w:val="en-GB"/>
        </w:rPr>
        <w:t>Christophe Geiger, ‘Building an Ethical Framework for Intellectual Property in the EU: Time to Revise the Charter of Fundamental Rights’ in</w:t>
      </w:r>
      <w:r w:rsidR="006B55A0" w:rsidRPr="007A5B75">
        <w:rPr>
          <w:lang w:val="en-GB"/>
        </w:rPr>
        <w:t xml:space="preserve"> </w:t>
      </w:r>
      <w:r w:rsidR="00AA3024" w:rsidRPr="007A5B75">
        <w:rPr>
          <w:lang w:val="en-GB"/>
        </w:rPr>
        <w:t xml:space="preserve">Gustavo </w:t>
      </w:r>
      <w:proofErr w:type="spellStart"/>
      <w:r w:rsidR="00AA3024" w:rsidRPr="007A5B75">
        <w:rPr>
          <w:lang w:val="en-GB"/>
        </w:rPr>
        <w:t>Ghidini</w:t>
      </w:r>
      <w:proofErr w:type="spellEnd"/>
      <w:r w:rsidR="00AA3024" w:rsidRPr="007A5B75">
        <w:rPr>
          <w:lang w:val="en-GB"/>
        </w:rPr>
        <w:t xml:space="preserve"> and Valeria Falce (eds) </w:t>
      </w:r>
      <w:r w:rsidR="00AA3024" w:rsidRPr="007A5B75">
        <w:rPr>
          <w:i/>
          <w:iCs/>
          <w:lang w:val="en-GB"/>
        </w:rPr>
        <w:t xml:space="preserve">Innovation law and Policy, Which Reforms for IP Law? </w:t>
      </w:r>
      <w:r w:rsidR="00AA3024" w:rsidRPr="007A5B75">
        <w:rPr>
          <w:lang w:val="en-GB"/>
        </w:rPr>
        <w:t>(Edward Elgar 2022) p.</w:t>
      </w:r>
      <w:r w:rsidR="00DC40CB" w:rsidRPr="007A5B75">
        <w:rPr>
          <w:lang w:val="en-GB"/>
        </w:rPr>
        <w:t xml:space="preserve">449; Christoph Geiger, ‘Statutory Licences as Enabler of Creative Uses’ in R.M. Hilty and K.-C. Liu (eds) </w:t>
      </w:r>
      <w:r w:rsidR="00DC40CB" w:rsidRPr="007A5B75">
        <w:rPr>
          <w:i/>
          <w:iCs/>
          <w:lang w:val="en-GB"/>
        </w:rPr>
        <w:t>Remuneration of Copyright Owners</w:t>
      </w:r>
      <w:r w:rsidR="00DC40CB" w:rsidRPr="007A5B75">
        <w:rPr>
          <w:lang w:val="en-GB"/>
        </w:rPr>
        <w:t xml:space="preserve"> (Springer 2017); Reto M. Hilty and Sylvie </w:t>
      </w:r>
      <w:proofErr w:type="spellStart"/>
      <w:r w:rsidR="00DC40CB" w:rsidRPr="007A5B75">
        <w:rPr>
          <w:lang w:val="en-GB"/>
        </w:rPr>
        <w:t>Nérisson</w:t>
      </w:r>
      <w:proofErr w:type="spellEnd"/>
      <w:r w:rsidR="00DC40CB" w:rsidRPr="007A5B75">
        <w:rPr>
          <w:lang w:val="en-GB"/>
        </w:rPr>
        <w:t xml:space="preserve">, ‘Collective Copyright Management and Digitization: The European Experience’ in </w:t>
      </w:r>
      <w:r w:rsidR="00DC40CB" w:rsidRPr="007A5B75">
        <w:rPr>
          <w:i/>
          <w:iCs/>
          <w:lang w:val="en-GB"/>
        </w:rPr>
        <w:t>Handbook on the Digital Creative Economy</w:t>
      </w:r>
      <w:r w:rsidR="00DC40CB" w:rsidRPr="007A5B75">
        <w:rPr>
          <w:lang w:val="en-GB"/>
        </w:rPr>
        <w:t xml:space="preserve"> (Edward Elgar 2013) 222-234; Warren Chik, ‘Paying it Forward: The Case for a Specific Statutory Limitation on Exclusive Rights for User-Generated Content Under Copyright Law’ (2011) 11 J. Marshall Rev. </w:t>
      </w:r>
      <w:proofErr w:type="spellStart"/>
      <w:r w:rsidR="00DC40CB" w:rsidRPr="007A5B75">
        <w:rPr>
          <w:lang w:val="en-GB"/>
        </w:rPr>
        <w:t>Intell</w:t>
      </w:r>
      <w:proofErr w:type="spellEnd"/>
      <w:r w:rsidR="00DC40CB" w:rsidRPr="007A5B75">
        <w:rPr>
          <w:lang w:val="en-GB"/>
        </w:rPr>
        <w:t xml:space="preserve">. Prop. L. 240. Also see, João Pedro Quintais, </w:t>
      </w:r>
      <w:r w:rsidR="00DC40CB" w:rsidRPr="007A5B75">
        <w:rPr>
          <w:i/>
          <w:iCs/>
          <w:lang w:val="en-GB"/>
        </w:rPr>
        <w:t>Copyright in the Age of Online Access. Alternative Compensation Systems in EU Law</w:t>
      </w:r>
      <w:r w:rsidR="00DC40CB" w:rsidRPr="007A5B75">
        <w:rPr>
          <w:lang w:val="en-GB"/>
        </w:rPr>
        <w:t xml:space="preserve"> (Kluwer Law International 2017) 399. Quintais proposes an alternative compensation scheme designed to ensure access to works and fair remuneration through a statutory licensing construct dependent on non-commercial use of works online.</w:t>
      </w:r>
    </w:p>
  </w:footnote>
  <w:footnote w:id="40">
    <w:p w14:paraId="1B77443E" w14:textId="54CD5F3C" w:rsidR="00C2584E" w:rsidRPr="007A5B75" w:rsidRDefault="00C2584E" w:rsidP="00444D4E">
      <w:pPr>
        <w:pStyle w:val="FootnoteText"/>
        <w:rPr>
          <w:lang w:val="en-GB"/>
        </w:rPr>
      </w:pPr>
      <w:r w:rsidRPr="007A5B75">
        <w:rPr>
          <w:rStyle w:val="FootnoteReference"/>
          <w:lang w:val="en-GB"/>
        </w:rPr>
        <w:footnoteRef/>
      </w:r>
      <w:r w:rsidRPr="007A5B75">
        <w:rPr>
          <w:lang w:val="en-GB"/>
        </w:rPr>
        <w:t xml:space="preserve"> Geiger [n </w:t>
      </w:r>
      <w:r w:rsidR="00AA3024" w:rsidRPr="007A5B75">
        <w:rPr>
          <w:lang w:val="en-GB"/>
        </w:rPr>
        <w:t>39</w:t>
      </w:r>
      <w:r w:rsidRPr="007A5B75">
        <w:rPr>
          <w:lang w:val="en-GB"/>
        </w:rPr>
        <w:t>] 446.</w:t>
      </w:r>
    </w:p>
  </w:footnote>
  <w:footnote w:id="41">
    <w:p w14:paraId="1003B6C3" w14:textId="15E64476" w:rsidR="00C2584E" w:rsidRPr="007A5B75" w:rsidRDefault="00C2584E" w:rsidP="00444D4E">
      <w:pPr>
        <w:pStyle w:val="FootnoteText"/>
        <w:rPr>
          <w:lang w:val="en-GB"/>
        </w:rPr>
      </w:pPr>
      <w:r w:rsidRPr="007A5B75">
        <w:rPr>
          <w:rStyle w:val="FootnoteReference"/>
          <w:lang w:val="en-GB"/>
        </w:rPr>
        <w:footnoteRef/>
      </w:r>
      <w:r w:rsidRPr="007A5B75">
        <w:rPr>
          <w:lang w:val="en-GB"/>
        </w:rPr>
        <w:t xml:space="preserve"> Ibid a 387.</w:t>
      </w:r>
    </w:p>
  </w:footnote>
  <w:footnote w:id="42">
    <w:p w14:paraId="126E12E4" w14:textId="77777777" w:rsidR="00C2584E" w:rsidRPr="007A5B75" w:rsidRDefault="00C2584E" w:rsidP="00444D4E">
      <w:pPr>
        <w:pStyle w:val="FootnoteText"/>
        <w:rPr>
          <w:lang w:val="en-GB"/>
        </w:rPr>
      </w:pPr>
      <w:r w:rsidRPr="007A5B75">
        <w:rPr>
          <w:rStyle w:val="FootnoteReference"/>
          <w:lang w:val="en-GB"/>
        </w:rPr>
        <w:footnoteRef/>
      </w:r>
      <w:r w:rsidRPr="007A5B75">
        <w:rPr>
          <w:lang w:val="en-GB"/>
        </w:rPr>
        <w:t xml:space="preserve"> Peter K. Yu, ‘Increased Copyright Flexibilities for User-Generated Creativity’ in Gustavo </w:t>
      </w:r>
      <w:proofErr w:type="spellStart"/>
      <w:r w:rsidRPr="007A5B75">
        <w:rPr>
          <w:lang w:val="en-GB"/>
        </w:rPr>
        <w:t>Ghidini</w:t>
      </w:r>
      <w:proofErr w:type="spellEnd"/>
      <w:r w:rsidRPr="007A5B75">
        <w:rPr>
          <w:lang w:val="en-GB"/>
        </w:rPr>
        <w:t xml:space="preserve"> and Valeria Falce (eds) </w:t>
      </w:r>
      <w:r w:rsidRPr="007A5B75">
        <w:rPr>
          <w:i/>
          <w:iCs/>
          <w:lang w:val="en-GB"/>
        </w:rPr>
        <w:t>Reforming Intellectual Property</w:t>
      </w:r>
      <w:r w:rsidRPr="007A5B75">
        <w:rPr>
          <w:lang w:val="en-GB"/>
        </w:rPr>
        <w:t xml:space="preserve"> (Edward Elgar 2022) 310, citing Jack M. Balkin, ‘Digital Speech and Democratic Culture: A Theory of Freedom of Expression for the Information Society’ (2004) 79 New York University Law Review 1, 4-5.</w:t>
      </w:r>
    </w:p>
  </w:footnote>
  <w:footnote w:id="43">
    <w:p w14:paraId="1D8F1E8F" w14:textId="77777777" w:rsidR="00C2584E" w:rsidRPr="007A5B75" w:rsidRDefault="00C2584E" w:rsidP="00444D4E">
      <w:pPr>
        <w:pStyle w:val="FootnoteText"/>
        <w:rPr>
          <w:lang w:val="en-GB"/>
        </w:rPr>
      </w:pPr>
      <w:r w:rsidRPr="007A5B75">
        <w:rPr>
          <w:rStyle w:val="FootnoteReference"/>
          <w:lang w:val="en-GB"/>
        </w:rPr>
        <w:footnoteRef/>
      </w:r>
      <w:r w:rsidRPr="007A5B75">
        <w:rPr>
          <w:lang w:val="en-GB"/>
        </w:rPr>
        <w:t xml:space="preserve"> Niva Elkin-Koren, ‘Copyright in the Digital </w:t>
      </w:r>
      <w:proofErr w:type="spellStart"/>
      <w:r w:rsidRPr="007A5B75">
        <w:rPr>
          <w:lang w:val="en-GB"/>
        </w:rPr>
        <w:t>Ecoystem</w:t>
      </w:r>
      <w:proofErr w:type="spellEnd"/>
      <w:r w:rsidRPr="007A5B75">
        <w:rPr>
          <w:lang w:val="en-GB"/>
        </w:rPr>
        <w:t xml:space="preserve">: A User Rights Approach’ in Ruth L. </w:t>
      </w:r>
      <w:proofErr w:type="spellStart"/>
      <w:r w:rsidRPr="007A5B75">
        <w:rPr>
          <w:lang w:val="en-GB"/>
        </w:rPr>
        <w:t>Okediji</w:t>
      </w:r>
      <w:proofErr w:type="spellEnd"/>
      <w:r w:rsidRPr="007A5B75">
        <w:rPr>
          <w:lang w:val="en-GB"/>
        </w:rPr>
        <w:t xml:space="preserve"> (ed) </w:t>
      </w:r>
      <w:r w:rsidRPr="007A5B75">
        <w:rPr>
          <w:i/>
          <w:iCs/>
          <w:lang w:val="en-GB"/>
        </w:rPr>
        <w:t>Copyright Law in the Age of Limitations and Exceptions</w:t>
      </w:r>
      <w:r w:rsidRPr="007A5B75">
        <w:rPr>
          <w:lang w:val="en-GB"/>
        </w:rPr>
        <w:t xml:space="preserve"> (Cambridge University Press: 2017) 145.</w:t>
      </w:r>
    </w:p>
  </w:footnote>
  <w:footnote w:id="44">
    <w:p w14:paraId="6D4D4394" w14:textId="532677AF" w:rsidR="00307BBC" w:rsidRPr="007A5B75" w:rsidRDefault="00307BBC">
      <w:pPr>
        <w:pStyle w:val="FootnoteText"/>
        <w:rPr>
          <w:lang w:val="en-GB"/>
        </w:rPr>
      </w:pPr>
      <w:r w:rsidRPr="007A5B75">
        <w:rPr>
          <w:rStyle w:val="FootnoteReference"/>
          <w:lang w:val="en-GB"/>
        </w:rPr>
        <w:footnoteRef/>
      </w:r>
      <w:r w:rsidRPr="007A5B75">
        <w:rPr>
          <w:lang w:val="en-GB"/>
        </w:rPr>
        <w:t xml:space="preserve"> </w:t>
      </w:r>
      <w:r w:rsidR="004F5B4E" w:rsidRPr="007A5B75">
        <w:rPr>
          <w:lang w:val="en-GB"/>
        </w:rPr>
        <w:t xml:space="preserve">See, Pamela Samuelson, ‘The Quest for a Sound Conception of Copyright’s Derivative Work Right’ (2013) </w:t>
      </w:r>
      <w:r w:rsidR="00527904" w:rsidRPr="007A5B75">
        <w:rPr>
          <w:lang w:val="en-GB"/>
        </w:rPr>
        <w:t xml:space="preserve">101 Georgetown Law Journal 1505 </w:t>
      </w:r>
      <w:r w:rsidR="00267B44" w:rsidRPr="007A5B75">
        <w:rPr>
          <w:lang w:val="en-GB"/>
        </w:rPr>
        <w:t xml:space="preserve">which </w:t>
      </w:r>
      <w:r w:rsidR="00F87861" w:rsidRPr="007A5B75">
        <w:rPr>
          <w:lang w:val="en-GB"/>
        </w:rPr>
        <w:t xml:space="preserve">criticises the </w:t>
      </w:r>
      <w:r w:rsidR="00411815" w:rsidRPr="007A5B75">
        <w:rPr>
          <w:lang w:val="en-GB"/>
        </w:rPr>
        <w:t>in</w:t>
      </w:r>
      <w:r w:rsidR="00F87861" w:rsidRPr="007A5B75">
        <w:rPr>
          <w:lang w:val="en-GB"/>
        </w:rPr>
        <w:t xml:space="preserve">ability of a derivative work to </w:t>
      </w:r>
      <w:r w:rsidR="00411815" w:rsidRPr="007A5B75">
        <w:rPr>
          <w:lang w:val="en-GB"/>
        </w:rPr>
        <w:t>substitute a copy from a US perspective.</w:t>
      </w:r>
    </w:p>
  </w:footnote>
  <w:footnote w:id="45">
    <w:p w14:paraId="04815284" w14:textId="2538196A" w:rsidR="00BA3021" w:rsidRPr="007A5B75" w:rsidRDefault="00BA3021">
      <w:pPr>
        <w:pStyle w:val="FootnoteText"/>
        <w:rPr>
          <w:lang w:val="en-GB"/>
        </w:rPr>
      </w:pPr>
      <w:r w:rsidRPr="007A5B75">
        <w:rPr>
          <w:rStyle w:val="FootnoteReference"/>
          <w:lang w:val="en-GB"/>
        </w:rPr>
        <w:footnoteRef/>
      </w:r>
      <w:r w:rsidRPr="007A5B75">
        <w:rPr>
          <w:lang w:val="en-GB"/>
        </w:rPr>
        <w:t xml:space="preserve"> </w:t>
      </w:r>
      <w:r w:rsidR="0076592A" w:rsidRPr="007A5B75">
        <w:rPr>
          <w:lang w:val="en-GB"/>
        </w:rPr>
        <w:t xml:space="preserve">Caterina Sganga, ‘Multilevel constitutionalism and the </w:t>
      </w:r>
      <w:proofErr w:type="spellStart"/>
      <w:r w:rsidR="0076592A" w:rsidRPr="007A5B75">
        <w:rPr>
          <w:lang w:val="en-GB"/>
        </w:rPr>
        <w:t>propertisation</w:t>
      </w:r>
      <w:proofErr w:type="spellEnd"/>
      <w:r w:rsidR="0076592A" w:rsidRPr="007A5B75">
        <w:rPr>
          <w:lang w:val="en-GB"/>
        </w:rPr>
        <w:t xml:space="preserve"> of EU copyright: at an even higher protection or a new structural limitation’ in Tuomas </w:t>
      </w:r>
      <w:proofErr w:type="spellStart"/>
      <w:r w:rsidR="0076592A" w:rsidRPr="007A5B75">
        <w:rPr>
          <w:lang w:val="en-GB"/>
        </w:rPr>
        <w:t>Mylly</w:t>
      </w:r>
      <w:proofErr w:type="spellEnd"/>
      <w:r w:rsidR="0076592A" w:rsidRPr="007A5B75">
        <w:rPr>
          <w:lang w:val="en-GB"/>
        </w:rPr>
        <w:t xml:space="preserve"> and Jonathan Griffiths (eds) </w:t>
      </w:r>
      <w:r w:rsidR="0076592A" w:rsidRPr="007A5B75">
        <w:rPr>
          <w:i/>
          <w:iCs/>
          <w:lang w:val="en-GB"/>
        </w:rPr>
        <w:t>Global Intellectual Pr</w:t>
      </w:r>
      <w:r w:rsidR="00B01E70" w:rsidRPr="007A5B75">
        <w:rPr>
          <w:i/>
          <w:iCs/>
          <w:lang w:val="en-GB"/>
        </w:rPr>
        <w:t xml:space="preserve">operty Protection and the New Constitutionalism: Hedging Exclusive Rights </w:t>
      </w:r>
      <w:r w:rsidR="00B01E70" w:rsidRPr="007A5B75">
        <w:rPr>
          <w:lang w:val="en-GB"/>
        </w:rPr>
        <w:t>(OUP 2021)</w:t>
      </w:r>
      <w:r w:rsidR="00D24017" w:rsidRPr="007A5B75">
        <w:rPr>
          <w:lang w:val="en-GB"/>
        </w:rPr>
        <w:t xml:space="preserve">; Alexander </w:t>
      </w:r>
      <w:proofErr w:type="spellStart"/>
      <w:r w:rsidR="00D24017" w:rsidRPr="007A5B75">
        <w:rPr>
          <w:lang w:val="en-GB"/>
        </w:rPr>
        <w:t>Peukert</w:t>
      </w:r>
      <w:proofErr w:type="spellEnd"/>
      <w:r w:rsidR="00D24017" w:rsidRPr="007A5B75">
        <w:rPr>
          <w:lang w:val="en-GB"/>
        </w:rPr>
        <w:t xml:space="preserve">, ‘Intellectual Property as an End in Itself’ (2011) 32 EIPR 67, 71; </w:t>
      </w:r>
      <w:r w:rsidR="00E468BE" w:rsidRPr="007A5B75">
        <w:rPr>
          <w:lang w:val="en-GB"/>
        </w:rPr>
        <w:t xml:space="preserve">Giancarlo </w:t>
      </w:r>
      <w:proofErr w:type="spellStart"/>
      <w:r w:rsidR="00E468BE" w:rsidRPr="007A5B75">
        <w:rPr>
          <w:lang w:val="en-GB"/>
        </w:rPr>
        <w:t>Frosio</w:t>
      </w:r>
      <w:proofErr w:type="spellEnd"/>
      <w:r w:rsidR="00E468BE" w:rsidRPr="007A5B75">
        <w:rPr>
          <w:lang w:val="en-GB"/>
        </w:rPr>
        <w:t xml:space="preserve">, </w:t>
      </w:r>
      <w:r w:rsidR="00E468BE" w:rsidRPr="007A5B75">
        <w:rPr>
          <w:i/>
          <w:iCs/>
          <w:lang w:val="en-GB"/>
        </w:rPr>
        <w:t xml:space="preserve">Reconciling Copyright with Cumulative Creativity. The Third Paradigm. </w:t>
      </w:r>
      <w:r w:rsidR="00E468BE" w:rsidRPr="007A5B75">
        <w:rPr>
          <w:lang w:val="en-GB"/>
        </w:rPr>
        <w:t>(Elgar 2018) p. 18</w:t>
      </w:r>
      <w:r w:rsidR="00414C72" w:rsidRPr="007A5B75">
        <w:rPr>
          <w:lang w:val="en-GB"/>
        </w:rPr>
        <w:t xml:space="preserve">7; Jessica Litman, ‘What we don’t see when we see copyright as property’ (2018) 77 Cambridge Law Journal </w:t>
      </w:r>
      <w:r w:rsidR="00112930" w:rsidRPr="007A5B75">
        <w:rPr>
          <w:lang w:val="en-GB"/>
        </w:rPr>
        <w:t>536; Julie. E Cohen, ‘Copyright as Property in the Post-Industrial Economy: A Research Agenda’ (2011) Georgetown Public Law and Legal Theory Research Paper No. 11-</w:t>
      </w:r>
      <w:r w:rsidR="002E588E" w:rsidRPr="007A5B75">
        <w:rPr>
          <w:lang w:val="en-GB"/>
        </w:rPr>
        <w:t xml:space="preserve">25; Séverine </w:t>
      </w:r>
      <w:proofErr w:type="spellStart"/>
      <w:r w:rsidR="002E588E" w:rsidRPr="007A5B75">
        <w:rPr>
          <w:lang w:val="en-GB"/>
        </w:rPr>
        <w:t>Dusollier</w:t>
      </w:r>
      <w:proofErr w:type="spellEnd"/>
      <w:r w:rsidR="002E588E" w:rsidRPr="007A5B75">
        <w:rPr>
          <w:lang w:val="en-GB"/>
        </w:rPr>
        <w:t xml:space="preserve">, ‘Unlimiting limitations in intellectual property’ in G. </w:t>
      </w:r>
      <w:proofErr w:type="spellStart"/>
      <w:r w:rsidR="002E588E" w:rsidRPr="007A5B75">
        <w:rPr>
          <w:lang w:val="en-GB"/>
        </w:rPr>
        <w:t>Ghidini</w:t>
      </w:r>
      <w:proofErr w:type="spellEnd"/>
      <w:r w:rsidR="002E588E" w:rsidRPr="007A5B75">
        <w:rPr>
          <w:lang w:val="en-GB"/>
        </w:rPr>
        <w:t xml:space="preserve"> and V. Falce (eds) </w:t>
      </w:r>
      <w:r w:rsidR="002E588E" w:rsidRPr="007A5B75">
        <w:rPr>
          <w:i/>
          <w:iCs/>
          <w:lang w:val="en-GB"/>
        </w:rPr>
        <w:t xml:space="preserve">Reforming Intellectual Property </w:t>
      </w:r>
      <w:r w:rsidR="002E588E" w:rsidRPr="007A5B75">
        <w:rPr>
          <w:lang w:val="en-GB"/>
        </w:rPr>
        <w:t>(Elgar 2022).</w:t>
      </w:r>
    </w:p>
  </w:footnote>
  <w:footnote w:id="46">
    <w:p w14:paraId="20C69BE5" w14:textId="13FE6FCB" w:rsidR="005C1CB5" w:rsidRPr="007A5B75" w:rsidRDefault="005C1CB5">
      <w:pPr>
        <w:pStyle w:val="FootnoteText"/>
        <w:rPr>
          <w:lang w:val="en-GB"/>
        </w:rPr>
      </w:pPr>
      <w:r w:rsidRPr="007A5B75">
        <w:rPr>
          <w:rStyle w:val="FootnoteReference"/>
          <w:lang w:val="en-GB"/>
        </w:rPr>
        <w:footnoteRef/>
      </w:r>
      <w:r w:rsidRPr="007A5B75">
        <w:rPr>
          <w:lang w:val="en-GB"/>
        </w:rPr>
        <w:t xml:space="preserve"> </w:t>
      </w:r>
      <w:r w:rsidR="000D2DE0" w:rsidRPr="007A5B75">
        <w:rPr>
          <w:lang w:val="en-GB"/>
        </w:rPr>
        <w:t>Sganga [n 45]</w:t>
      </w:r>
      <w:r w:rsidR="00366C61" w:rsidRPr="007A5B75">
        <w:rPr>
          <w:lang w:val="en-GB"/>
        </w:rPr>
        <w:t xml:space="preserve">; Séverine </w:t>
      </w:r>
      <w:proofErr w:type="spellStart"/>
      <w:r w:rsidR="00366C61" w:rsidRPr="007A5B75">
        <w:rPr>
          <w:lang w:val="en-GB"/>
        </w:rPr>
        <w:t>Dusollier</w:t>
      </w:r>
      <w:proofErr w:type="spellEnd"/>
      <w:r w:rsidR="00366C61" w:rsidRPr="007A5B75">
        <w:rPr>
          <w:lang w:val="en-GB"/>
        </w:rPr>
        <w:t>, ‘Sharing Access to Intellectual Property through Private Ordering’ (2007) 82 Chicago Kent Law Review 1391, 1393-4.</w:t>
      </w:r>
    </w:p>
  </w:footnote>
  <w:footnote w:id="47">
    <w:p w14:paraId="5FB64585" w14:textId="09EA66E1" w:rsidR="009F2F00" w:rsidRPr="007A5B75" w:rsidRDefault="009F2F00">
      <w:pPr>
        <w:pStyle w:val="FootnoteText"/>
        <w:rPr>
          <w:lang w:val="en-GB"/>
        </w:rPr>
      </w:pPr>
      <w:r w:rsidRPr="007A5B75">
        <w:rPr>
          <w:rStyle w:val="FootnoteReference"/>
          <w:lang w:val="en-GB"/>
        </w:rPr>
        <w:footnoteRef/>
      </w:r>
      <w:r w:rsidRPr="007A5B75">
        <w:rPr>
          <w:lang w:val="en-GB"/>
        </w:rPr>
        <w:t xml:space="preserve"> </w:t>
      </w:r>
      <w:r w:rsidR="00D871D7" w:rsidRPr="007A5B75">
        <w:rPr>
          <w:i/>
          <w:iCs/>
          <w:lang w:val="en-GB"/>
        </w:rPr>
        <w:t xml:space="preserve">Funke </w:t>
      </w:r>
      <w:proofErr w:type="spellStart"/>
      <w:r w:rsidR="00D871D7" w:rsidRPr="007A5B75">
        <w:rPr>
          <w:i/>
          <w:iCs/>
          <w:lang w:val="en-GB"/>
        </w:rPr>
        <w:t>Medien</w:t>
      </w:r>
      <w:proofErr w:type="spellEnd"/>
      <w:r w:rsidR="00D871D7" w:rsidRPr="007A5B75">
        <w:rPr>
          <w:lang w:val="en-GB"/>
        </w:rPr>
        <w:t xml:space="preserve"> at [71]; </w:t>
      </w:r>
      <w:r w:rsidR="00D871D7" w:rsidRPr="007A5B75">
        <w:rPr>
          <w:i/>
          <w:iCs/>
          <w:lang w:val="en-GB"/>
        </w:rPr>
        <w:t>Spiegel Online</w:t>
      </w:r>
      <w:r w:rsidR="00D871D7" w:rsidRPr="007A5B75">
        <w:rPr>
          <w:lang w:val="en-GB"/>
        </w:rPr>
        <w:t xml:space="preserve"> at [55].</w:t>
      </w:r>
    </w:p>
  </w:footnote>
  <w:footnote w:id="48">
    <w:p w14:paraId="6C7FA18E" w14:textId="6A23511E" w:rsidR="005F111A" w:rsidRPr="007A5B75" w:rsidRDefault="005F111A">
      <w:pPr>
        <w:pStyle w:val="FootnoteText"/>
        <w:rPr>
          <w:lang w:val="en-GB"/>
        </w:rPr>
      </w:pPr>
      <w:r w:rsidRPr="007A5B75">
        <w:rPr>
          <w:rStyle w:val="FootnoteReference"/>
          <w:lang w:val="en-GB"/>
        </w:rPr>
        <w:footnoteRef/>
      </w:r>
      <w:r w:rsidRPr="007A5B75">
        <w:rPr>
          <w:lang w:val="en-GB"/>
        </w:rPr>
        <w:t xml:space="preserve"> Sganga [n 45</w:t>
      </w:r>
      <w:r w:rsidR="00C00075" w:rsidRPr="007A5B75">
        <w:rPr>
          <w:lang w:val="en-GB"/>
        </w:rPr>
        <w:t>]</w:t>
      </w:r>
      <w:r w:rsidR="00E43A12" w:rsidRPr="007A5B75">
        <w:rPr>
          <w:lang w:val="en-GB"/>
        </w:rPr>
        <w:t>;</w:t>
      </w:r>
      <w:r w:rsidR="006254A8" w:rsidRPr="007A5B75">
        <w:rPr>
          <w:lang w:val="en-GB"/>
        </w:rPr>
        <w:t xml:space="preserve"> </w:t>
      </w:r>
      <w:r w:rsidR="00EC3253" w:rsidRPr="007A5B75">
        <w:rPr>
          <w:lang w:val="en-GB"/>
        </w:rPr>
        <w:t>Schwemer and Schovsbo [n 4]</w:t>
      </w:r>
      <w:r w:rsidR="00E43A12" w:rsidRPr="007A5B75">
        <w:rPr>
          <w:lang w:val="en-GB"/>
        </w:rPr>
        <w:t>.</w:t>
      </w:r>
    </w:p>
  </w:footnote>
  <w:footnote w:id="49">
    <w:p w14:paraId="5D9BAF49" w14:textId="77777777" w:rsidR="009D34AC" w:rsidRPr="007A5B75" w:rsidRDefault="00E31BCB" w:rsidP="009D34AC">
      <w:pPr>
        <w:pStyle w:val="FootnoteText"/>
        <w:rPr>
          <w:i/>
          <w:iCs/>
          <w:lang w:val="en-GB"/>
        </w:rPr>
      </w:pPr>
      <w:r w:rsidRPr="007A5B75">
        <w:rPr>
          <w:rStyle w:val="FootnoteReference"/>
          <w:lang w:val="en-GB"/>
        </w:rPr>
        <w:footnoteRef/>
      </w:r>
      <w:r w:rsidRPr="007A5B75">
        <w:rPr>
          <w:lang w:val="en-GB"/>
        </w:rPr>
        <w:t xml:space="preserve"> </w:t>
      </w:r>
      <w:r w:rsidR="009D34AC" w:rsidRPr="007A5B75">
        <w:rPr>
          <w:lang w:val="en-GB"/>
        </w:rPr>
        <w:t xml:space="preserve">Giovanni De Gregorio, </w:t>
      </w:r>
      <w:r w:rsidR="009D34AC" w:rsidRPr="007A5B75">
        <w:rPr>
          <w:i/>
          <w:iCs/>
          <w:lang w:val="en-GB"/>
        </w:rPr>
        <w:t xml:space="preserve">Digital Constitutionalism in Europe: Reframing Rights and Powers in the </w:t>
      </w:r>
    </w:p>
    <w:p w14:paraId="38A05917" w14:textId="77777777" w:rsidR="009D34AC" w:rsidRPr="007A5B75" w:rsidRDefault="009D34AC" w:rsidP="009D34AC">
      <w:pPr>
        <w:pStyle w:val="FootnoteText"/>
        <w:rPr>
          <w:lang w:val="en-GB"/>
        </w:rPr>
      </w:pPr>
      <w:r w:rsidRPr="007A5B75">
        <w:rPr>
          <w:i/>
          <w:iCs/>
          <w:lang w:val="en-GB"/>
        </w:rPr>
        <w:t>Algorithmic Society</w:t>
      </w:r>
      <w:r w:rsidRPr="007A5B75">
        <w:rPr>
          <w:lang w:val="en-GB"/>
        </w:rPr>
        <w:t xml:space="preserve"> (Cambridge University Press 2022); Lex Gill, Dennis Redeker and </w:t>
      </w:r>
      <w:proofErr w:type="spellStart"/>
      <w:r w:rsidRPr="007A5B75">
        <w:rPr>
          <w:lang w:val="en-GB"/>
        </w:rPr>
        <w:t>Urs</w:t>
      </w:r>
      <w:proofErr w:type="spellEnd"/>
      <w:r w:rsidRPr="007A5B75">
        <w:rPr>
          <w:lang w:val="en-GB"/>
        </w:rPr>
        <w:t xml:space="preserve"> Gasser, ‘Towards </w:t>
      </w:r>
    </w:p>
    <w:p w14:paraId="7A868B76" w14:textId="77777777" w:rsidR="009D34AC" w:rsidRPr="007A5B75" w:rsidRDefault="009D34AC" w:rsidP="009D34AC">
      <w:pPr>
        <w:pStyle w:val="FootnoteText"/>
        <w:rPr>
          <w:lang w:val="en-GB"/>
        </w:rPr>
      </w:pPr>
      <w:r w:rsidRPr="007A5B75">
        <w:rPr>
          <w:lang w:val="en-GB"/>
        </w:rPr>
        <w:t xml:space="preserve">Digital Constitutionalism? Mapping Attempts to Craft an Internet Bill of Rights’ (2015) Berkman Centre </w:t>
      </w:r>
    </w:p>
    <w:p w14:paraId="19EA79C3" w14:textId="16A13258" w:rsidR="00E31BCB" w:rsidRPr="007A5B75" w:rsidRDefault="009D34AC" w:rsidP="009D34AC">
      <w:pPr>
        <w:pStyle w:val="FootnoteText"/>
        <w:rPr>
          <w:lang w:val="en-GB"/>
        </w:rPr>
      </w:pPr>
      <w:r w:rsidRPr="007A5B75">
        <w:rPr>
          <w:lang w:val="en-GB"/>
        </w:rPr>
        <w:t>Research Publication No. 2015-15.</w:t>
      </w:r>
    </w:p>
  </w:footnote>
  <w:footnote w:id="50">
    <w:p w14:paraId="46F835DC" w14:textId="77777777" w:rsidR="0010047C" w:rsidRPr="007A5B75" w:rsidRDefault="00E74E7C" w:rsidP="0010047C">
      <w:pPr>
        <w:pStyle w:val="FootnoteText"/>
        <w:rPr>
          <w:lang w:val="en-GB"/>
        </w:rPr>
      </w:pPr>
      <w:r w:rsidRPr="007A5B75">
        <w:rPr>
          <w:rStyle w:val="FootnoteReference"/>
          <w:lang w:val="en-GB"/>
        </w:rPr>
        <w:footnoteRef/>
      </w:r>
      <w:r w:rsidRPr="007A5B75">
        <w:rPr>
          <w:lang w:val="en-GB"/>
        </w:rPr>
        <w:t xml:space="preserve"> </w:t>
      </w:r>
      <w:r w:rsidR="0010047C" w:rsidRPr="007A5B75">
        <w:rPr>
          <w:lang w:val="en-GB"/>
        </w:rPr>
        <w:t xml:space="preserve">Giancarlo </w:t>
      </w:r>
      <w:proofErr w:type="spellStart"/>
      <w:r w:rsidR="0010047C" w:rsidRPr="007A5B75">
        <w:rPr>
          <w:lang w:val="en-GB"/>
        </w:rPr>
        <w:t>Frosio</w:t>
      </w:r>
      <w:proofErr w:type="spellEnd"/>
      <w:r w:rsidR="0010047C" w:rsidRPr="007A5B75">
        <w:rPr>
          <w:lang w:val="en-GB"/>
        </w:rPr>
        <w:t xml:space="preserve">, ‘Reforming the C-DSM Reform: A User-Based Copyright Theory for Commonplace </w:t>
      </w:r>
    </w:p>
    <w:p w14:paraId="566D037F" w14:textId="5B910185" w:rsidR="00E74E7C" w:rsidRPr="007A5B75" w:rsidRDefault="0010047C" w:rsidP="0010047C">
      <w:pPr>
        <w:pStyle w:val="FootnoteText"/>
        <w:rPr>
          <w:lang w:val="en-GB"/>
        </w:rPr>
      </w:pPr>
      <w:r w:rsidRPr="007A5B75">
        <w:rPr>
          <w:lang w:val="en-GB"/>
        </w:rPr>
        <w:t xml:space="preserve">Creativity’ (2020) 51 IIC 709; </w:t>
      </w:r>
      <w:r w:rsidR="00E74E7C" w:rsidRPr="007A5B75">
        <w:rPr>
          <w:lang w:val="en-GB"/>
        </w:rPr>
        <w:t xml:space="preserve">Oreste Pollicino and Giovanni De Gregorio, ‘Constitutional Law in the Algorithmic Society’ in Hans-W. </w:t>
      </w:r>
      <w:proofErr w:type="spellStart"/>
      <w:r w:rsidR="00E74E7C" w:rsidRPr="007A5B75">
        <w:rPr>
          <w:lang w:val="en-GB"/>
        </w:rPr>
        <w:t>Micklitz</w:t>
      </w:r>
      <w:proofErr w:type="spellEnd"/>
      <w:r w:rsidR="00E74E7C" w:rsidRPr="007A5B75">
        <w:rPr>
          <w:lang w:val="en-GB"/>
        </w:rPr>
        <w:t xml:space="preserve"> and </w:t>
      </w:r>
      <w:r w:rsidR="00E74E7C" w:rsidRPr="007A5B75">
        <w:rPr>
          <w:i/>
          <w:iCs/>
          <w:lang w:val="en-GB"/>
        </w:rPr>
        <w:t>et al</w:t>
      </w:r>
      <w:r w:rsidR="00E74E7C" w:rsidRPr="007A5B75">
        <w:rPr>
          <w:lang w:val="en-GB"/>
        </w:rPr>
        <w:t xml:space="preserve"> (eds) </w:t>
      </w:r>
      <w:r w:rsidR="00E74E7C" w:rsidRPr="007A5B75">
        <w:rPr>
          <w:i/>
          <w:iCs/>
          <w:lang w:val="en-GB"/>
        </w:rPr>
        <w:t xml:space="preserve">Constitutional Challenges in the Algorithmic Society </w:t>
      </w:r>
      <w:r w:rsidR="00E74E7C" w:rsidRPr="007A5B75">
        <w:rPr>
          <w:lang w:val="en-GB"/>
        </w:rPr>
        <w:t>(Cambridge University Press 2021) 19.</w:t>
      </w:r>
    </w:p>
  </w:footnote>
  <w:footnote w:id="51">
    <w:p w14:paraId="2F2BF3E2"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Ibid 19.</w:t>
      </w:r>
    </w:p>
  </w:footnote>
  <w:footnote w:id="52">
    <w:p w14:paraId="2FFD7A99"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BVerfGE</w:t>
      </w:r>
      <w:proofErr w:type="spellEnd"/>
      <w:r w:rsidRPr="007A5B75">
        <w:rPr>
          <w:lang w:val="en-GB"/>
        </w:rPr>
        <w:t xml:space="preserve"> 7, 1958, 198 – </w:t>
      </w:r>
      <w:proofErr w:type="spellStart"/>
      <w:r w:rsidRPr="007A5B75">
        <w:rPr>
          <w:i/>
          <w:iCs/>
          <w:lang w:val="en-GB"/>
        </w:rPr>
        <w:t>Lüth</w:t>
      </w:r>
      <w:proofErr w:type="spellEnd"/>
      <w:r w:rsidRPr="007A5B75">
        <w:rPr>
          <w:lang w:val="en-GB"/>
        </w:rPr>
        <w:t xml:space="preserve">. See also Peter E. Quint, Free </w:t>
      </w:r>
      <w:proofErr w:type="gramStart"/>
      <w:r w:rsidRPr="007A5B75">
        <w:rPr>
          <w:lang w:val="en-GB"/>
        </w:rPr>
        <w:t>Speech</w:t>
      </w:r>
      <w:proofErr w:type="gramEnd"/>
      <w:r w:rsidRPr="007A5B75">
        <w:rPr>
          <w:lang w:val="en-GB"/>
        </w:rPr>
        <w:t xml:space="preserve"> and Private Law in German Constitutional Theory’ (1989) 48 Md. L. R. 247.</w:t>
      </w:r>
    </w:p>
  </w:footnote>
  <w:footnote w:id="53">
    <w:p w14:paraId="2A551AB2" w14:textId="233A72EC"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i/>
          <w:iCs/>
          <w:lang w:val="en-GB"/>
        </w:rPr>
        <w:t>Lüth</w:t>
      </w:r>
      <w:proofErr w:type="spellEnd"/>
      <w:r w:rsidRPr="007A5B75">
        <w:rPr>
          <w:lang w:val="en-GB"/>
        </w:rPr>
        <w:t xml:space="preserve">; </w:t>
      </w:r>
      <w:r w:rsidR="0010047C" w:rsidRPr="007A5B75">
        <w:rPr>
          <w:lang w:val="en-GB"/>
        </w:rPr>
        <w:t>Ibid</w:t>
      </w:r>
      <w:r w:rsidRPr="007A5B75">
        <w:rPr>
          <w:lang w:val="en-GB"/>
        </w:rPr>
        <w:t xml:space="preserve"> 261</w:t>
      </w:r>
    </w:p>
  </w:footnote>
  <w:footnote w:id="54">
    <w:p w14:paraId="6E3060CE" w14:textId="77777777" w:rsidR="00FF296D" w:rsidRPr="007A5B75" w:rsidRDefault="00FF296D" w:rsidP="00444D4E">
      <w:pPr>
        <w:pStyle w:val="FootnoteText"/>
        <w:rPr>
          <w:lang w:val="en-GB"/>
        </w:rPr>
      </w:pPr>
      <w:r w:rsidRPr="007A5B75">
        <w:rPr>
          <w:rStyle w:val="FootnoteReference"/>
          <w:lang w:val="en-GB"/>
        </w:rPr>
        <w:footnoteRef/>
      </w:r>
      <w:r w:rsidRPr="007A5B75">
        <w:rPr>
          <w:lang w:val="en-GB"/>
        </w:rPr>
        <w:t xml:space="preserve"> Edward J. Eberle, ‘Observations on the Development of Human Dignity and Personality in German Constitutional Law: An Overview’ (2012) 33 Liverpool Law Review 201, 204.</w:t>
      </w:r>
    </w:p>
  </w:footnote>
  <w:footnote w:id="55">
    <w:p w14:paraId="61C86E28" w14:textId="0F600A03"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Peter E. Quint, ‘The Global Constitutional Canon: Some Preliminary Thoughts’ (Digital Commons Maryland Law 2012) &lt;https://digitalcommons.law.umaryland.edu/cgi/viewcontent.cgi?article=1150&amp;context=schmooze_papers</w:t>
      </w:r>
      <w:r w:rsidR="0010047C" w:rsidRPr="007A5B75">
        <w:rPr>
          <w:lang w:val="en-GB"/>
        </w:rPr>
        <w:t>&gt; accessed 29 January 2024.</w:t>
      </w:r>
    </w:p>
  </w:footnote>
  <w:footnote w:id="56">
    <w:p w14:paraId="6136D124"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BVerfGE</w:t>
      </w:r>
      <w:proofErr w:type="spellEnd"/>
      <w:r w:rsidRPr="007A5B75">
        <w:rPr>
          <w:lang w:val="en-GB"/>
        </w:rPr>
        <w:t xml:space="preserve">, 2011, 128, – </w:t>
      </w:r>
      <w:r w:rsidRPr="007A5B75">
        <w:rPr>
          <w:i/>
          <w:iCs/>
          <w:lang w:val="en-GB"/>
        </w:rPr>
        <w:t>Fraport</w:t>
      </w:r>
      <w:r w:rsidRPr="007A5B75">
        <w:rPr>
          <w:lang w:val="en-GB"/>
        </w:rPr>
        <w:t>; Livia Fenger and Helena Lindemann, ‘The FRAPORT Case of the First Senate of the German Federal Constitutional Court and its Public Forum Doctrine: Case Note’ (2014) 15 German Law Journal 1105, 1110.</w:t>
      </w:r>
    </w:p>
  </w:footnote>
  <w:footnote w:id="57">
    <w:p w14:paraId="0F023F67" w14:textId="571265BC"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w:t>
      </w:r>
      <w:r w:rsidR="00E15D1F" w:rsidRPr="007A5B75">
        <w:rPr>
          <w:lang w:val="en-GB"/>
        </w:rPr>
        <w:t>Ibid</w:t>
      </w:r>
      <w:r w:rsidRPr="007A5B75">
        <w:rPr>
          <w:lang w:val="en-GB"/>
        </w:rPr>
        <w:t xml:space="preserve"> 1110.</w:t>
      </w:r>
    </w:p>
  </w:footnote>
  <w:footnote w:id="58">
    <w:p w14:paraId="74D05340" w14:textId="77777777" w:rsidR="00FE4195" w:rsidRPr="007A5B75" w:rsidRDefault="00FE4195" w:rsidP="00444D4E">
      <w:pPr>
        <w:pStyle w:val="FootnoteText"/>
        <w:rPr>
          <w:lang w:val="en-GB"/>
        </w:rPr>
      </w:pPr>
      <w:r w:rsidRPr="007A5B75">
        <w:rPr>
          <w:rStyle w:val="FootnoteReference"/>
          <w:lang w:val="en-GB"/>
        </w:rPr>
        <w:footnoteRef/>
      </w:r>
      <w:r w:rsidRPr="007A5B75">
        <w:rPr>
          <w:lang w:val="en-GB"/>
        </w:rPr>
        <w:t xml:space="preserve"> Ibid.</w:t>
      </w:r>
    </w:p>
  </w:footnote>
  <w:footnote w:id="59">
    <w:p w14:paraId="6CF5D2FE" w14:textId="77777777" w:rsidR="00661244" w:rsidRPr="007A5B75" w:rsidRDefault="00661244" w:rsidP="00444D4E">
      <w:pPr>
        <w:pStyle w:val="FootnoteText"/>
        <w:rPr>
          <w:lang w:val="en-GB"/>
        </w:rPr>
      </w:pPr>
      <w:r w:rsidRPr="007A5B75">
        <w:rPr>
          <w:rStyle w:val="FootnoteReference"/>
          <w:lang w:val="en-GB"/>
        </w:rPr>
        <w:footnoteRef/>
      </w:r>
      <w:r w:rsidRPr="007A5B75">
        <w:rPr>
          <w:lang w:val="en-GB"/>
        </w:rPr>
        <w:t xml:space="preserve"> Ibid 1112.</w:t>
      </w:r>
    </w:p>
  </w:footnote>
  <w:footnote w:id="60">
    <w:p w14:paraId="65AED84E" w14:textId="5377D85F" w:rsidR="00B73314" w:rsidRPr="007A5B75" w:rsidRDefault="00B73314" w:rsidP="00444D4E">
      <w:pPr>
        <w:pStyle w:val="FootnoteText"/>
        <w:rPr>
          <w:lang w:val="en-GB"/>
        </w:rPr>
      </w:pPr>
      <w:r w:rsidRPr="007A5B75">
        <w:rPr>
          <w:rStyle w:val="FootnoteReference"/>
          <w:lang w:val="en-GB"/>
        </w:rPr>
        <w:footnoteRef/>
      </w:r>
      <w:r w:rsidR="00E15D1F" w:rsidRPr="007A5B75">
        <w:rPr>
          <w:lang w:val="en-GB"/>
        </w:rPr>
        <w:t xml:space="preserve"> Ibid</w:t>
      </w:r>
      <w:r w:rsidRPr="007A5B75">
        <w:rPr>
          <w:lang w:val="en-GB"/>
        </w:rPr>
        <w:t xml:space="preserve"> 1112, citing </w:t>
      </w:r>
      <w:r w:rsidRPr="007A5B75">
        <w:rPr>
          <w:i/>
          <w:iCs/>
          <w:lang w:val="en-GB"/>
        </w:rPr>
        <w:t>Fraport</w:t>
      </w:r>
      <w:r w:rsidRPr="007A5B75">
        <w:rPr>
          <w:lang w:val="en-GB"/>
        </w:rPr>
        <w:t xml:space="preserve"> at [70].</w:t>
      </w:r>
    </w:p>
  </w:footnote>
  <w:footnote w:id="61">
    <w:p w14:paraId="7E5099EF" w14:textId="77777777" w:rsidR="00397D8D" w:rsidRPr="007A5B75" w:rsidRDefault="00397D8D" w:rsidP="00397D8D">
      <w:pPr>
        <w:pStyle w:val="FootnoteText"/>
        <w:rPr>
          <w:lang w:val="en-GB"/>
        </w:rPr>
      </w:pPr>
      <w:r w:rsidRPr="007A5B75">
        <w:rPr>
          <w:rStyle w:val="FootnoteReference"/>
          <w:lang w:val="en-GB"/>
        </w:rPr>
        <w:footnoteRef/>
      </w:r>
      <w:r w:rsidRPr="007A5B75">
        <w:rPr>
          <w:lang w:val="en-GB"/>
        </w:rPr>
        <w:t xml:space="preserve"> Amélie P. Heldt, ‘Merging the social and the public: How social media platforms could be a new public forum’ (2020) 46 Mitchell Hamline Law Review 997, 1015-6; Fenger and Lindemann [n 51] 1115, citing </w:t>
      </w:r>
      <w:r w:rsidRPr="007A5B75">
        <w:rPr>
          <w:i/>
          <w:iCs/>
          <w:lang w:val="en-GB"/>
        </w:rPr>
        <w:t>Fraport</w:t>
      </w:r>
      <w:r w:rsidRPr="007A5B75">
        <w:rPr>
          <w:lang w:val="en-GB"/>
        </w:rPr>
        <w:t xml:space="preserve"> at [98].</w:t>
      </w:r>
    </w:p>
  </w:footnote>
  <w:footnote w:id="62">
    <w:p w14:paraId="080FE296"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137 S. Ct. 1730 (2017).</w:t>
      </w:r>
    </w:p>
  </w:footnote>
  <w:footnote w:id="63">
    <w:p w14:paraId="64745A2C"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András Koltay, ‘The protection of freedom of expression from social media platforms’ (2022) 73 Mercer Law Review 523.</w:t>
      </w:r>
    </w:p>
  </w:footnote>
  <w:footnote w:id="64">
    <w:p w14:paraId="5EB44756" w14:textId="10F1EF01"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Heldt [n </w:t>
      </w:r>
      <w:r w:rsidR="00B014C7">
        <w:rPr>
          <w:lang w:val="en-GB"/>
        </w:rPr>
        <w:t>61</w:t>
      </w:r>
      <w:r w:rsidR="00774C02" w:rsidRPr="007A5B75">
        <w:rPr>
          <w:lang w:val="en-GB"/>
        </w:rPr>
        <w:t>]</w:t>
      </w:r>
      <w:r w:rsidRPr="007A5B75">
        <w:rPr>
          <w:lang w:val="en-GB"/>
        </w:rPr>
        <w:t xml:space="preserve"> 1021, citing </w:t>
      </w:r>
      <w:proofErr w:type="spellStart"/>
      <w:r w:rsidRPr="007A5B75">
        <w:rPr>
          <w:lang w:val="en-GB"/>
        </w:rPr>
        <w:t>BVerfGE</w:t>
      </w:r>
      <w:proofErr w:type="spellEnd"/>
      <w:r w:rsidRPr="007A5B75">
        <w:rPr>
          <w:lang w:val="en-GB"/>
        </w:rPr>
        <w:t xml:space="preserve"> 148, 2018, 267 – </w:t>
      </w:r>
      <w:proofErr w:type="spellStart"/>
      <w:r w:rsidRPr="007A5B75">
        <w:rPr>
          <w:i/>
          <w:iCs/>
          <w:lang w:val="en-GB"/>
        </w:rPr>
        <w:t>Stadionverbot</w:t>
      </w:r>
      <w:proofErr w:type="spellEnd"/>
      <w:r w:rsidRPr="007A5B75">
        <w:rPr>
          <w:lang w:val="en-GB"/>
        </w:rPr>
        <w:t>, at [1]</w:t>
      </w:r>
      <w:proofErr w:type="gramStart"/>
      <w:r w:rsidRPr="007A5B75">
        <w:rPr>
          <w:lang w:val="en-GB"/>
        </w:rPr>
        <w:t>–[</w:t>
      </w:r>
      <w:proofErr w:type="gramEnd"/>
      <w:r w:rsidRPr="007A5B75">
        <w:rPr>
          <w:lang w:val="en-GB"/>
        </w:rPr>
        <w:t>58].</w:t>
      </w:r>
    </w:p>
  </w:footnote>
  <w:footnote w:id="65">
    <w:p w14:paraId="4521AA06" w14:textId="3C13563C"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Heldt [n </w:t>
      </w:r>
      <w:r w:rsidR="00B014C7">
        <w:rPr>
          <w:lang w:val="en-GB"/>
        </w:rPr>
        <w:t>61</w:t>
      </w:r>
      <w:r w:rsidRPr="007A5B75">
        <w:rPr>
          <w:lang w:val="en-GB"/>
        </w:rPr>
        <w:t xml:space="preserve">] 1021, citing </w:t>
      </w:r>
      <w:proofErr w:type="spellStart"/>
      <w:r w:rsidRPr="007A5B75">
        <w:rPr>
          <w:i/>
          <w:iCs/>
          <w:lang w:val="en-GB"/>
        </w:rPr>
        <w:t>Stadionverbot</w:t>
      </w:r>
      <w:proofErr w:type="spellEnd"/>
      <w:r w:rsidRPr="007A5B75">
        <w:rPr>
          <w:i/>
          <w:iCs/>
          <w:lang w:val="en-GB"/>
        </w:rPr>
        <w:t xml:space="preserve"> </w:t>
      </w:r>
      <w:r w:rsidRPr="007A5B75">
        <w:rPr>
          <w:lang w:val="en-GB"/>
        </w:rPr>
        <w:t>at [41].</w:t>
      </w:r>
    </w:p>
  </w:footnote>
  <w:footnote w:id="66">
    <w:p w14:paraId="378484B8" w14:textId="4942CF1F"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Heldt [n </w:t>
      </w:r>
      <w:r w:rsidR="00B014C7">
        <w:rPr>
          <w:lang w:val="en-GB"/>
        </w:rPr>
        <w:t>61</w:t>
      </w:r>
      <w:r w:rsidRPr="007A5B75">
        <w:rPr>
          <w:lang w:val="en-GB"/>
        </w:rPr>
        <w:t>] 1021;</w:t>
      </w:r>
      <w:r w:rsidRPr="007A5B75">
        <w:rPr>
          <w:i/>
          <w:iCs/>
          <w:lang w:val="en-GB"/>
        </w:rPr>
        <w:t xml:space="preserve"> </w:t>
      </w:r>
      <w:proofErr w:type="spellStart"/>
      <w:r w:rsidRPr="007A5B75">
        <w:rPr>
          <w:i/>
          <w:iCs/>
          <w:lang w:val="en-GB"/>
        </w:rPr>
        <w:t>Stadionverbot</w:t>
      </w:r>
      <w:proofErr w:type="spellEnd"/>
      <w:r w:rsidRPr="007A5B75">
        <w:rPr>
          <w:i/>
          <w:iCs/>
          <w:lang w:val="en-GB"/>
        </w:rPr>
        <w:t xml:space="preserve"> </w:t>
      </w:r>
      <w:r w:rsidRPr="007A5B75">
        <w:rPr>
          <w:lang w:val="en-GB"/>
        </w:rPr>
        <w:t>at [45] &amp; [58].</w:t>
      </w:r>
    </w:p>
  </w:footnote>
  <w:footnote w:id="67">
    <w:p w14:paraId="71E446D4" w14:textId="78E6CE8F"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Alix Schulz, ‘Horizontality and the Constitutional Right to Equality– Recent Developments in the Jurisprudence of the German Federal Constitutional Court’ (</w:t>
      </w:r>
      <w:proofErr w:type="spellStart"/>
      <w:r w:rsidRPr="007A5B75">
        <w:rPr>
          <w:lang w:val="en-GB"/>
        </w:rPr>
        <w:t>OxHRH</w:t>
      </w:r>
      <w:proofErr w:type="spellEnd"/>
      <w:r w:rsidRPr="007A5B75">
        <w:rPr>
          <w:lang w:val="en-GB"/>
        </w:rPr>
        <w:t xml:space="preserve"> Blog, November 2019), </w:t>
      </w:r>
      <w:hyperlink r:id="rId1" w:history="1">
        <w:r w:rsidRPr="007A5B75">
          <w:rPr>
            <w:rStyle w:val="Hyperlink"/>
            <w:lang w:val="en-GB"/>
          </w:rPr>
          <w:t>https://ohrh.law.ox.ac.uk/horizontality-and-the-constitutional-right-to-equality-recent-developments-in-the-jurisprudence-of-the-german-federal-constitutional-court</w:t>
        </w:r>
      </w:hyperlink>
      <w:r w:rsidRPr="007A5B75">
        <w:rPr>
          <w:lang w:val="en-GB"/>
        </w:rPr>
        <w:t xml:space="preserve"> accessed </w:t>
      </w:r>
      <w:r w:rsidR="00774C02" w:rsidRPr="007A5B75">
        <w:rPr>
          <w:lang w:val="en-GB"/>
        </w:rPr>
        <w:t>29 January 2023</w:t>
      </w:r>
      <w:r w:rsidRPr="007A5B75">
        <w:rPr>
          <w:lang w:val="en-GB"/>
        </w:rPr>
        <w:t>.</w:t>
      </w:r>
    </w:p>
  </w:footnote>
  <w:footnote w:id="68">
    <w:p w14:paraId="4E31F512"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Jillian C. York and Ethan Zuckerman, ‘Moderating the public sphere’ in Rikke Frank Jørgensen (ed) </w:t>
      </w:r>
      <w:r w:rsidRPr="007A5B75">
        <w:rPr>
          <w:i/>
          <w:iCs/>
          <w:lang w:val="en-GB"/>
        </w:rPr>
        <w:t xml:space="preserve">Human Rights in the Age of Platforms </w:t>
      </w:r>
      <w:r w:rsidRPr="007A5B75">
        <w:rPr>
          <w:lang w:val="en-GB"/>
        </w:rPr>
        <w:t>(The MIT Press 2019) 146.</w:t>
      </w:r>
    </w:p>
  </w:footnote>
  <w:footnote w:id="69">
    <w:p w14:paraId="6D93A0EF"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Jürgen Habermas, </w:t>
      </w:r>
      <w:r w:rsidRPr="007A5B75">
        <w:rPr>
          <w:i/>
          <w:iCs/>
          <w:lang w:val="en-GB"/>
        </w:rPr>
        <w:t>The structural transformation of the public spheres: An inquiry into a category of bourgeois society</w:t>
      </w:r>
      <w:r w:rsidRPr="007A5B75">
        <w:rPr>
          <w:lang w:val="en-GB"/>
        </w:rPr>
        <w:t xml:space="preserve"> (English Language ed., Cambridge MIT Press 1989); Evan Steward and Douglas Hartmann, ‘The new structural transformation of the public sphere’ (2020) 38 Sociological theory 170.</w:t>
      </w:r>
    </w:p>
  </w:footnote>
  <w:footnote w:id="70">
    <w:p w14:paraId="5391D228" w14:textId="1A509F42"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Sara Abbasi, ‘Internet as a Public Space for Freedom of Expression: Myth or Reality?’ (2017) &lt;</w:t>
      </w:r>
      <w:hyperlink r:id="rId2" w:history="1">
        <w:r w:rsidRPr="007A5B75">
          <w:rPr>
            <w:rStyle w:val="Hyperlink"/>
            <w:lang w:val="en-GB"/>
          </w:rPr>
          <w:t>https://papers.ssrn.com/sol3/papers.cfm?abstract_id=3064175</w:t>
        </w:r>
      </w:hyperlink>
      <w:r w:rsidRPr="007A5B75">
        <w:rPr>
          <w:lang w:val="en-GB"/>
        </w:rPr>
        <w:t xml:space="preserve">&gt; accessed </w:t>
      </w:r>
      <w:r w:rsidR="00774C02" w:rsidRPr="007A5B75">
        <w:rPr>
          <w:lang w:val="en-GB"/>
        </w:rPr>
        <w:t>29 January 2024</w:t>
      </w:r>
      <w:r w:rsidRPr="007A5B75">
        <w:rPr>
          <w:lang w:val="en-GB"/>
        </w:rPr>
        <w:t>.</w:t>
      </w:r>
    </w:p>
  </w:footnote>
  <w:footnote w:id="71">
    <w:p w14:paraId="1C382093"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York and Zuckerman [n 744] 148.</w:t>
      </w:r>
    </w:p>
  </w:footnote>
  <w:footnote w:id="72">
    <w:p w14:paraId="30466B4A"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See, Robert P. Merges, ‘Locke </w:t>
      </w:r>
      <w:proofErr w:type="gramStart"/>
      <w:r w:rsidRPr="007A5B75">
        <w:rPr>
          <w:lang w:val="en-GB"/>
        </w:rPr>
        <w:t>Remixed ;</w:t>
      </w:r>
      <w:proofErr w:type="gramEnd"/>
      <w:r w:rsidRPr="007A5B75">
        <w:rPr>
          <w:lang w:val="en-GB"/>
        </w:rPr>
        <w:t xml:space="preserve"> - )’ (2007) 40 UC Davis Law Review 101. Merges argues that remixing should not be given a legal right to remix. Merges contests the argument that remixing is necessary for the self-actualization of people living in a media-saturated world.</w:t>
      </w:r>
    </w:p>
  </w:footnote>
  <w:footnote w:id="73">
    <w:p w14:paraId="52BFA7D3" w14:textId="76FD3600" w:rsidR="00DC284F" w:rsidRPr="007A5B75" w:rsidRDefault="00DC284F">
      <w:pPr>
        <w:pStyle w:val="FootnoteText"/>
        <w:rPr>
          <w:lang w:val="en-GB"/>
        </w:rPr>
      </w:pPr>
      <w:r w:rsidRPr="007A5B75">
        <w:rPr>
          <w:rStyle w:val="FootnoteReference"/>
          <w:lang w:val="en-GB"/>
        </w:rPr>
        <w:footnoteRef/>
      </w:r>
      <w:r w:rsidRPr="007A5B75">
        <w:rPr>
          <w:lang w:val="en-GB"/>
        </w:rPr>
        <w:t xml:space="preserve"> Some commentary term this obligation as a “general legal must carry </w:t>
      </w:r>
      <w:proofErr w:type="spellStart"/>
      <w:r w:rsidRPr="007A5B75">
        <w:rPr>
          <w:lang w:val="en-GB"/>
        </w:rPr>
        <w:t>dut</w:t>
      </w:r>
      <w:proofErr w:type="spellEnd"/>
      <w:r w:rsidRPr="007A5B75">
        <w:rPr>
          <w:lang w:val="en-GB"/>
        </w:rPr>
        <w:t>[y]”</w:t>
      </w:r>
      <w:r w:rsidR="00C14C83" w:rsidRPr="007A5B75">
        <w:rPr>
          <w:lang w:val="en-GB"/>
        </w:rPr>
        <w:t xml:space="preserve"> as it </w:t>
      </w:r>
      <w:r w:rsidR="009D74D7" w:rsidRPr="007A5B75">
        <w:rPr>
          <w:lang w:val="en-GB"/>
        </w:rPr>
        <w:t xml:space="preserve">appears to arise “where platforms have a dominant, ‘self-chosen’ role as a general-use oriented infrastructure for their users to take part in public and social life”. See, Matthias Leistner, ‘European Copyright Licensing and Infringement Liability Under Art. 17 DSM-Directive: Can we make the new European system a global opportunity instead of a local challenge?’ (2020) 2 </w:t>
      </w:r>
      <w:proofErr w:type="spellStart"/>
      <w:r w:rsidR="009D74D7" w:rsidRPr="007A5B75">
        <w:rPr>
          <w:lang w:val="en-GB"/>
        </w:rPr>
        <w:t>Zeitschrift</w:t>
      </w:r>
      <w:proofErr w:type="spellEnd"/>
      <w:r w:rsidR="009D74D7" w:rsidRPr="007A5B75">
        <w:rPr>
          <w:lang w:val="en-GB"/>
        </w:rPr>
        <w:t xml:space="preserve"> für </w:t>
      </w:r>
      <w:proofErr w:type="spellStart"/>
      <w:r w:rsidR="009D74D7" w:rsidRPr="007A5B75">
        <w:rPr>
          <w:lang w:val="en-GB"/>
        </w:rPr>
        <w:t>Geistiges</w:t>
      </w:r>
      <w:proofErr w:type="spellEnd"/>
      <w:r w:rsidR="009D74D7" w:rsidRPr="007A5B75">
        <w:rPr>
          <w:lang w:val="en-GB"/>
        </w:rPr>
        <w:t xml:space="preserve"> </w:t>
      </w:r>
      <w:proofErr w:type="spellStart"/>
      <w:r w:rsidR="009D74D7" w:rsidRPr="007A5B75">
        <w:rPr>
          <w:lang w:val="en-GB"/>
        </w:rPr>
        <w:t>Eigentum</w:t>
      </w:r>
      <w:proofErr w:type="spellEnd"/>
      <w:r w:rsidR="009D74D7" w:rsidRPr="007A5B75">
        <w:rPr>
          <w:lang w:val="en-GB"/>
        </w:rPr>
        <w:t xml:space="preserve">/Intellectual Property Journal (ZGE/IPJ) 123-214. For a US context, see, Daphne Keller, ‘Who do you </w:t>
      </w:r>
      <w:proofErr w:type="spellStart"/>
      <w:r w:rsidR="009D74D7" w:rsidRPr="007A5B75">
        <w:rPr>
          <w:lang w:val="en-GB"/>
        </w:rPr>
        <w:t>sue</w:t>
      </w:r>
      <w:proofErr w:type="spellEnd"/>
      <w:r w:rsidR="009D74D7" w:rsidRPr="007A5B75">
        <w:rPr>
          <w:lang w:val="en-GB"/>
        </w:rPr>
        <w:t xml:space="preserve">? State and platform hybrid power over online speech’ (2019) Aegis Series Paper No 1902 1. </w:t>
      </w:r>
      <w:r w:rsidR="00881773" w:rsidRPr="007A5B75">
        <w:rPr>
          <w:lang w:val="en-GB"/>
        </w:rPr>
        <w:t xml:space="preserve">German case law on the takedown of Facebook posts seem to support this characterisation. See, </w:t>
      </w:r>
      <w:r w:rsidR="00881773" w:rsidRPr="007A5B75">
        <w:rPr>
          <w:rStyle w:val="FootnoteReference"/>
          <w:lang w:val="en-GB"/>
        </w:rPr>
        <w:footnoteRef/>
      </w:r>
      <w:r w:rsidR="00881773" w:rsidRPr="007A5B75">
        <w:rPr>
          <w:lang w:val="en-GB"/>
        </w:rPr>
        <w:t xml:space="preserve"> BGH GRUR 2020, 1318 – </w:t>
      </w:r>
      <w:r w:rsidR="00881773" w:rsidRPr="007A5B75">
        <w:rPr>
          <w:i/>
          <w:iCs/>
          <w:lang w:val="en-GB"/>
        </w:rPr>
        <w:t>Facebook</w:t>
      </w:r>
      <w:r w:rsidR="00881773" w:rsidRPr="007A5B75">
        <w:rPr>
          <w:lang w:val="en-GB"/>
        </w:rPr>
        <w:t xml:space="preserve">; OLG München 2020, 18 U 1491/19 – </w:t>
      </w:r>
      <w:r w:rsidR="00881773" w:rsidRPr="007A5B75">
        <w:rPr>
          <w:i/>
          <w:iCs/>
          <w:lang w:val="en-GB"/>
        </w:rPr>
        <w:t>Facebook hate posts</w:t>
      </w:r>
      <w:r w:rsidR="00881773" w:rsidRPr="007A5B75">
        <w:rPr>
          <w:lang w:val="en-GB"/>
        </w:rPr>
        <w:t xml:space="preserve">; OLG Köln 2018, O 187/18 – </w:t>
      </w:r>
      <w:r w:rsidR="00881773" w:rsidRPr="007A5B75">
        <w:rPr>
          <w:i/>
          <w:iCs/>
          <w:lang w:val="en-GB"/>
        </w:rPr>
        <w:t>Deleted Facebook postings</w:t>
      </w:r>
      <w:r w:rsidR="00881773" w:rsidRPr="007A5B75">
        <w:rPr>
          <w:lang w:val="en-GB"/>
        </w:rPr>
        <w:t xml:space="preserve">; Matthias C. </w:t>
      </w:r>
      <w:proofErr w:type="spellStart"/>
      <w:r w:rsidR="00881773" w:rsidRPr="007A5B75">
        <w:rPr>
          <w:lang w:val="en-GB"/>
        </w:rPr>
        <w:t>Kettemann</w:t>
      </w:r>
      <w:proofErr w:type="spellEnd"/>
      <w:r w:rsidR="00881773" w:rsidRPr="007A5B75">
        <w:rPr>
          <w:lang w:val="en-GB"/>
        </w:rPr>
        <w:t xml:space="preserve"> and Anna Sophia </w:t>
      </w:r>
      <w:proofErr w:type="spellStart"/>
      <w:r w:rsidR="00881773" w:rsidRPr="007A5B75">
        <w:rPr>
          <w:lang w:val="en-GB"/>
        </w:rPr>
        <w:t>Tiedeke</w:t>
      </w:r>
      <w:proofErr w:type="spellEnd"/>
      <w:r w:rsidR="00881773" w:rsidRPr="007A5B75">
        <w:rPr>
          <w:lang w:val="en-GB"/>
        </w:rPr>
        <w:t xml:space="preserve">, ‘Back up: Can users sue platforms to reinstate deleted content?’ (2020) 9 Internet Policy Review 1; Klaus Wiedemann, ‘A matter of choice: The German Federal Supreme Court’s Interim Decision in the Abuse-of-Dominance </w:t>
      </w:r>
      <w:proofErr w:type="spellStart"/>
      <w:r w:rsidR="00881773" w:rsidRPr="007A5B75">
        <w:rPr>
          <w:lang w:val="en-GB"/>
        </w:rPr>
        <w:t>Processings</w:t>
      </w:r>
      <w:proofErr w:type="spellEnd"/>
      <w:r w:rsidR="00881773" w:rsidRPr="007A5B75">
        <w:rPr>
          <w:lang w:val="en-GB"/>
        </w:rPr>
        <w:t xml:space="preserve"> </w:t>
      </w:r>
      <w:proofErr w:type="spellStart"/>
      <w:r w:rsidR="00881773" w:rsidRPr="007A5B75">
        <w:rPr>
          <w:i/>
          <w:iCs/>
          <w:lang w:val="en-GB"/>
        </w:rPr>
        <w:t>Bundeskartellamt</w:t>
      </w:r>
      <w:proofErr w:type="spellEnd"/>
      <w:r w:rsidR="00881773" w:rsidRPr="007A5B75">
        <w:rPr>
          <w:i/>
          <w:iCs/>
          <w:lang w:val="en-GB"/>
        </w:rPr>
        <w:t xml:space="preserve"> v. Facebook </w:t>
      </w:r>
      <w:r w:rsidR="00881773" w:rsidRPr="007A5B75">
        <w:rPr>
          <w:lang w:val="en-GB"/>
        </w:rPr>
        <w:t>(case KVR 69/19)’ (2020) 51 IIC 1168.</w:t>
      </w:r>
    </w:p>
  </w:footnote>
  <w:footnote w:id="74">
    <w:p w14:paraId="1F953E97" w14:textId="77777777" w:rsidR="00AF09C3" w:rsidRPr="007A5B75" w:rsidRDefault="00196664" w:rsidP="00AF09C3">
      <w:pPr>
        <w:pStyle w:val="FootnoteText"/>
        <w:rPr>
          <w:lang w:val="en-GB"/>
        </w:rPr>
      </w:pPr>
      <w:r w:rsidRPr="007A5B75">
        <w:rPr>
          <w:rStyle w:val="FootnoteReference"/>
          <w:lang w:val="en-GB"/>
        </w:rPr>
        <w:footnoteRef/>
      </w:r>
      <w:r w:rsidRPr="007A5B75">
        <w:rPr>
          <w:lang w:val="en-GB"/>
        </w:rPr>
        <w:t xml:space="preserve"> </w:t>
      </w:r>
      <w:r w:rsidR="00AF09C3" w:rsidRPr="007A5B75">
        <w:rPr>
          <w:lang w:val="en-GB"/>
        </w:rPr>
        <w:t>Orit Fischman-</w:t>
      </w:r>
      <w:proofErr w:type="spellStart"/>
      <w:r w:rsidR="00AF09C3" w:rsidRPr="007A5B75">
        <w:rPr>
          <w:lang w:val="en-GB"/>
        </w:rPr>
        <w:t>Afori</w:t>
      </w:r>
      <w:proofErr w:type="spellEnd"/>
      <w:r w:rsidR="00AF09C3" w:rsidRPr="007A5B75">
        <w:rPr>
          <w:lang w:val="en-GB"/>
        </w:rPr>
        <w:t xml:space="preserve">, ‘Online rulers as hybrid bodies: The case of infringing content monitoring’ (2021) 23 </w:t>
      </w:r>
    </w:p>
    <w:p w14:paraId="47020D2C" w14:textId="3B8EEF9D" w:rsidR="00196664" w:rsidRPr="007A5B75" w:rsidRDefault="00AF09C3" w:rsidP="00AF09C3">
      <w:pPr>
        <w:pStyle w:val="FootnoteText"/>
        <w:rPr>
          <w:lang w:val="en-GB"/>
        </w:rPr>
      </w:pPr>
      <w:r w:rsidRPr="007A5B75">
        <w:rPr>
          <w:lang w:val="en-GB"/>
        </w:rPr>
        <w:t>U. Pa. J. Const. L. 351.</w:t>
      </w:r>
    </w:p>
  </w:footnote>
  <w:footnote w:id="75">
    <w:p w14:paraId="3EF23E18" w14:textId="13642A75" w:rsidR="007C5EEA" w:rsidRPr="007A5B75" w:rsidRDefault="007C5EEA" w:rsidP="00444D4E">
      <w:pPr>
        <w:pStyle w:val="FootnoteText"/>
        <w:rPr>
          <w:lang w:val="en-GB"/>
        </w:rPr>
      </w:pPr>
      <w:r w:rsidRPr="007A5B75">
        <w:rPr>
          <w:rStyle w:val="FootnoteReference"/>
          <w:lang w:val="en-GB"/>
        </w:rPr>
        <w:footnoteRef/>
      </w:r>
      <w:r w:rsidRPr="007A5B75">
        <w:rPr>
          <w:lang w:val="en-GB"/>
        </w:rPr>
        <w:t xml:space="preserve"> Niklas Luhman, </w:t>
      </w:r>
      <w:r w:rsidRPr="007A5B75">
        <w:rPr>
          <w:i/>
          <w:iCs/>
          <w:lang w:val="en-GB"/>
        </w:rPr>
        <w:t>Law as a Social System</w:t>
      </w:r>
      <w:r w:rsidRPr="007A5B75">
        <w:rPr>
          <w:lang w:val="en-GB"/>
        </w:rPr>
        <w:t xml:space="preserve"> (OUP 2014); </w:t>
      </w:r>
      <w:r w:rsidR="0073506B" w:rsidRPr="007A5B75">
        <w:rPr>
          <w:lang w:val="en-GB"/>
        </w:rPr>
        <w:t xml:space="preserve">Lars </w:t>
      </w:r>
      <w:proofErr w:type="spellStart"/>
      <w:r w:rsidR="0073506B" w:rsidRPr="007A5B75">
        <w:rPr>
          <w:lang w:val="en-GB"/>
        </w:rPr>
        <w:t>Viellechner</w:t>
      </w:r>
      <w:proofErr w:type="spellEnd"/>
      <w:r w:rsidR="0073506B" w:rsidRPr="007A5B75">
        <w:rPr>
          <w:lang w:val="en-GB"/>
        </w:rPr>
        <w:t xml:space="preserve">, ‘The transnational dimension of constitutional rights: Framing and taming ‘private’ governance beyond the state’ (2019) 8 Global Constitutionalism 639, </w:t>
      </w:r>
      <w:r w:rsidRPr="007A5B75">
        <w:rPr>
          <w:lang w:val="en-GB"/>
        </w:rPr>
        <w:t>649</w:t>
      </w:r>
      <w:r w:rsidR="0006618C" w:rsidRPr="007A5B75">
        <w:rPr>
          <w:lang w:val="en-GB"/>
        </w:rPr>
        <w:t xml:space="preserve">; </w:t>
      </w:r>
      <w:r w:rsidR="000728CC" w:rsidRPr="007A5B75">
        <w:rPr>
          <w:lang w:val="en-GB"/>
        </w:rPr>
        <w:t>Thomas Vesting, ‘The Autonomy of Law and the Formation of Network Standards’ (2004) 5 German Law Journal 639, 651.</w:t>
      </w:r>
    </w:p>
  </w:footnote>
  <w:footnote w:id="76">
    <w:p w14:paraId="77E25F38" w14:textId="6C55238B" w:rsidR="00BC77F5" w:rsidRPr="00BC77F5" w:rsidRDefault="00BC77F5">
      <w:pPr>
        <w:pStyle w:val="FootnoteText"/>
        <w:rPr>
          <w:lang w:val="en-GB"/>
        </w:rPr>
      </w:pPr>
      <w:r>
        <w:rPr>
          <w:rStyle w:val="FootnoteReference"/>
        </w:rPr>
        <w:footnoteRef/>
      </w:r>
      <w:r>
        <w:t xml:space="preserve"> </w:t>
      </w:r>
      <w:r>
        <w:rPr>
          <w:lang w:val="en-GB"/>
        </w:rPr>
        <w:t>Angelo Jr Golia and Gunther Teubner, ‘Societal Constitutionalism: Background, Theory, Debates’ (2021) 15 ICL Journal 357.</w:t>
      </w:r>
    </w:p>
  </w:footnote>
  <w:footnote w:id="77">
    <w:p w14:paraId="7DDB5B4C" w14:textId="77AD1C30" w:rsidR="003833EC" w:rsidRPr="003833EC" w:rsidRDefault="003833EC">
      <w:pPr>
        <w:pStyle w:val="FootnoteText"/>
        <w:rPr>
          <w:lang w:val="en-GB"/>
        </w:rPr>
      </w:pPr>
      <w:r>
        <w:rPr>
          <w:rStyle w:val="FootnoteReference"/>
        </w:rPr>
        <w:footnoteRef/>
      </w:r>
      <w:r>
        <w:t xml:space="preserve"> </w:t>
      </w:r>
      <w:r>
        <w:rPr>
          <w:lang w:val="en-GB"/>
        </w:rPr>
        <w:t xml:space="preserve">Christoph B Graber, ‘Is there potential for collective rights management at the global level?’ in Susy Frankel and Daniel Gervais (eds) </w:t>
      </w:r>
      <w:r>
        <w:rPr>
          <w:i/>
          <w:iCs/>
          <w:lang w:val="en-GB"/>
        </w:rPr>
        <w:t xml:space="preserve">The Evolution and Equilibrium of Copyright in the Digital Age </w:t>
      </w:r>
      <w:r>
        <w:rPr>
          <w:lang w:val="en-GB"/>
        </w:rPr>
        <w:t>(CUP 2014) p, 265.</w:t>
      </w:r>
    </w:p>
  </w:footnote>
  <w:footnote w:id="78">
    <w:p w14:paraId="3AB0E4E8" w14:textId="77777777" w:rsidR="0010390F" w:rsidRPr="007A5B75" w:rsidRDefault="0010390F" w:rsidP="0010390F">
      <w:pPr>
        <w:pStyle w:val="FootnoteText"/>
        <w:rPr>
          <w:lang w:val="en-GB"/>
        </w:rPr>
      </w:pPr>
      <w:r w:rsidRPr="007A5B75">
        <w:rPr>
          <w:rStyle w:val="FootnoteReference"/>
          <w:lang w:val="en-GB"/>
        </w:rPr>
        <w:footnoteRef/>
      </w:r>
      <w:r w:rsidRPr="007A5B75">
        <w:rPr>
          <w:lang w:val="en-GB"/>
        </w:rPr>
        <w:t xml:space="preserve"> Paul M. Di Gangi and Molly Wasko, ‘The co-creation of value: Exploring user engagement in user-</w:t>
      </w:r>
      <w:proofErr w:type="gramStart"/>
      <w:r w:rsidRPr="007A5B75">
        <w:rPr>
          <w:lang w:val="en-GB"/>
        </w:rPr>
        <w:t>generated</w:t>
      </w:r>
      <w:proofErr w:type="gramEnd"/>
      <w:r w:rsidRPr="007A5B75">
        <w:rPr>
          <w:lang w:val="en-GB"/>
        </w:rPr>
        <w:t xml:space="preserve"> </w:t>
      </w:r>
    </w:p>
    <w:p w14:paraId="2F4A5892" w14:textId="77777777" w:rsidR="0010390F" w:rsidRPr="007A5B75" w:rsidRDefault="0010390F" w:rsidP="000801DB">
      <w:pPr>
        <w:pStyle w:val="FootnoteText"/>
        <w:jc w:val="both"/>
        <w:rPr>
          <w:lang w:val="en-GB"/>
        </w:rPr>
      </w:pPr>
      <w:r w:rsidRPr="007A5B75">
        <w:rPr>
          <w:lang w:val="en-GB"/>
        </w:rPr>
        <w:t xml:space="preserve">content websites’ (2009) 9 Sprouts: Working Papers on Information Systems 9; Zoe Adams and Henning Grosse Ruse-Khan, ‘Work and works on digital platforms in capitalism: conceptual and regulatory challenges for labour and copyright law’ (2020) 28 International Journal of Law and Information Technology 329, 362; Rebecca </w:t>
      </w:r>
      <w:proofErr w:type="spellStart"/>
      <w:r w:rsidRPr="007A5B75">
        <w:rPr>
          <w:lang w:val="en-GB"/>
        </w:rPr>
        <w:t>Tushnet</w:t>
      </w:r>
      <w:proofErr w:type="spellEnd"/>
      <w:r w:rsidRPr="007A5B75">
        <w:rPr>
          <w:lang w:val="en-GB"/>
        </w:rPr>
        <w:t>, ‘Scary monsters: Hybrids, mashups and other illegitimate children’ (2011) 86 Notre Dame L. Rev. 2133, 2141.</w:t>
      </w:r>
    </w:p>
  </w:footnote>
  <w:footnote w:id="79">
    <w:p w14:paraId="5234AD08" w14:textId="77777777" w:rsidR="0010390F" w:rsidRPr="007A5B75" w:rsidRDefault="0010390F" w:rsidP="0010390F">
      <w:pPr>
        <w:pStyle w:val="FootnoteText"/>
        <w:rPr>
          <w:lang w:val="en-GB"/>
        </w:rPr>
      </w:pPr>
      <w:r w:rsidRPr="007A5B75">
        <w:rPr>
          <w:rStyle w:val="FootnoteReference"/>
          <w:lang w:val="en-GB"/>
        </w:rPr>
        <w:footnoteRef/>
      </w:r>
      <w:r w:rsidRPr="007A5B75">
        <w:rPr>
          <w:lang w:val="en-GB"/>
        </w:rPr>
        <w:t xml:space="preserve"> Dorota </w:t>
      </w:r>
      <w:proofErr w:type="spellStart"/>
      <w:r w:rsidRPr="007A5B75">
        <w:rPr>
          <w:lang w:val="en-GB"/>
        </w:rPr>
        <w:t>Leczykiewics</w:t>
      </w:r>
      <w:proofErr w:type="spellEnd"/>
      <w:r w:rsidRPr="007A5B75">
        <w:rPr>
          <w:lang w:val="en-GB"/>
        </w:rPr>
        <w:t xml:space="preserve">, ‘Horizontal effect of fundamental rights: In search of social justice or private autonomy in EU law? In U. </w:t>
      </w:r>
      <w:proofErr w:type="spellStart"/>
      <w:r w:rsidRPr="007A5B75">
        <w:rPr>
          <w:lang w:val="en-GB"/>
        </w:rPr>
        <w:t>Bernitz</w:t>
      </w:r>
      <w:proofErr w:type="spellEnd"/>
      <w:r w:rsidRPr="007A5B75">
        <w:rPr>
          <w:lang w:val="en-GB"/>
        </w:rPr>
        <w:t xml:space="preserve"> and et al (eds) </w:t>
      </w:r>
      <w:r w:rsidRPr="007A5B75">
        <w:rPr>
          <w:i/>
          <w:iCs/>
          <w:lang w:val="en-GB"/>
        </w:rPr>
        <w:t>General Principles of EU Law and European Private Law</w:t>
      </w:r>
      <w:r w:rsidRPr="007A5B75">
        <w:rPr>
          <w:lang w:val="en-GB"/>
        </w:rPr>
        <w:t xml:space="preserve"> (Kluwer International 2013); Andrea Usai, ‘The Freedom to Conduct a Business in the EU, its Limitations and </w:t>
      </w:r>
    </w:p>
    <w:p w14:paraId="49DEFD7F" w14:textId="77777777" w:rsidR="0010390F" w:rsidRPr="007A5B75" w:rsidRDefault="0010390F" w:rsidP="0010390F">
      <w:pPr>
        <w:pStyle w:val="FootnoteText"/>
        <w:rPr>
          <w:lang w:val="en-GB"/>
        </w:rPr>
      </w:pPr>
      <w:r w:rsidRPr="007A5B75">
        <w:rPr>
          <w:lang w:val="en-GB"/>
        </w:rPr>
        <w:t xml:space="preserve">Its Role in the European Legal Order: A New Engine for Deeper and Stronger Economic, Social and Political </w:t>
      </w:r>
    </w:p>
    <w:p w14:paraId="0AAFD911" w14:textId="77777777" w:rsidR="0010390F" w:rsidRPr="007A5B75" w:rsidRDefault="0010390F" w:rsidP="0010390F">
      <w:pPr>
        <w:pStyle w:val="FootnoteText"/>
        <w:rPr>
          <w:lang w:val="en-GB"/>
        </w:rPr>
      </w:pPr>
      <w:r w:rsidRPr="007A5B75">
        <w:rPr>
          <w:lang w:val="en-GB"/>
        </w:rPr>
        <w:t xml:space="preserve">Integration’ (2019)14 German Law Journal 1867; Marta Maroni, ‘An Open Internet? The Court of Justice in the European Union between Network Neutrality and Zero Rating’ (2020) 17 European Constitutional Law Review </w:t>
      </w:r>
    </w:p>
    <w:p w14:paraId="1727122F" w14:textId="77777777" w:rsidR="0010390F" w:rsidRPr="007A5B75" w:rsidRDefault="0010390F" w:rsidP="0010390F">
      <w:pPr>
        <w:pStyle w:val="FootnoteText"/>
        <w:rPr>
          <w:lang w:val="en-GB"/>
        </w:rPr>
      </w:pPr>
      <w:r w:rsidRPr="007A5B75">
        <w:rPr>
          <w:lang w:val="en-GB"/>
        </w:rPr>
        <w:t>517.</w:t>
      </w:r>
    </w:p>
  </w:footnote>
  <w:footnote w:id="80">
    <w:p w14:paraId="4ADD9F65" w14:textId="3A668387" w:rsidR="007F2E7D" w:rsidRPr="007A5B75" w:rsidRDefault="007F2E7D">
      <w:pPr>
        <w:pStyle w:val="FootnoteText"/>
        <w:rPr>
          <w:lang w:val="en-GB"/>
        </w:rPr>
      </w:pPr>
      <w:r w:rsidRPr="007A5B75">
        <w:rPr>
          <w:rStyle w:val="FootnoteReference"/>
          <w:lang w:val="en-GB"/>
        </w:rPr>
        <w:footnoteRef/>
      </w:r>
      <w:r w:rsidRPr="007A5B75">
        <w:rPr>
          <w:lang w:val="en-GB"/>
        </w:rPr>
        <w:t xml:space="preserve"> Such counter rights have a trans-subjective nature as they expand beyond the individual creator and include communities and social practices. See, Gunther Teubner, ‘Counter-rights: On the trans-subjective potential of subjective rights’ in Poul F. Kjaer (ed) </w:t>
      </w:r>
      <w:r w:rsidRPr="007A5B75">
        <w:rPr>
          <w:i/>
          <w:iCs/>
          <w:lang w:val="en-GB"/>
        </w:rPr>
        <w:t>The Law of Political Economy: Transformation in the Function of Law</w:t>
      </w:r>
      <w:r w:rsidRPr="007A5B75">
        <w:rPr>
          <w:lang w:val="en-GB"/>
        </w:rPr>
        <w:t xml:space="preserve"> (Cambridge University Press 2020) 375.</w:t>
      </w:r>
    </w:p>
  </w:footnote>
  <w:footnote w:id="81">
    <w:p w14:paraId="775E79E0" w14:textId="77777777" w:rsidR="007F2E7D" w:rsidRPr="007A5B75" w:rsidRDefault="007F2E7D" w:rsidP="007F2E7D">
      <w:pPr>
        <w:pStyle w:val="FootnoteText"/>
        <w:rPr>
          <w:lang w:val="en-GB"/>
        </w:rPr>
      </w:pPr>
      <w:r w:rsidRPr="007A5B75">
        <w:rPr>
          <w:rStyle w:val="FootnoteReference"/>
          <w:lang w:val="en-GB"/>
        </w:rPr>
        <w:footnoteRef/>
      </w:r>
      <w:r w:rsidRPr="007A5B75">
        <w:rPr>
          <w:lang w:val="en-GB"/>
        </w:rPr>
        <w:t xml:space="preserve"> Marta Maroni, ‘A court’s </w:t>
      </w:r>
      <w:proofErr w:type="spellStart"/>
      <w:r w:rsidRPr="007A5B75">
        <w:rPr>
          <w:lang w:val="en-GB"/>
        </w:rPr>
        <w:t>gotta</w:t>
      </w:r>
      <w:proofErr w:type="spellEnd"/>
      <w:r w:rsidRPr="007A5B75">
        <w:rPr>
          <w:lang w:val="en-GB"/>
        </w:rPr>
        <w:t xml:space="preserve"> do, what a court’s </w:t>
      </w:r>
      <w:proofErr w:type="spellStart"/>
      <w:r w:rsidRPr="007A5B75">
        <w:rPr>
          <w:lang w:val="en-GB"/>
        </w:rPr>
        <w:t>gotta</w:t>
      </w:r>
      <w:proofErr w:type="spellEnd"/>
      <w:r w:rsidRPr="007A5B75">
        <w:rPr>
          <w:lang w:val="en-GB"/>
        </w:rPr>
        <w:t xml:space="preserve"> do. An analysis of the European Court of Human Rights and the liability of internet intermediaries through systems theory’ (2019) Robert Schuman Centre for Advanced Studies Research Paper No. RSCAS 20, 17.</w:t>
      </w:r>
    </w:p>
  </w:footnote>
  <w:footnote w:id="82">
    <w:p w14:paraId="2B97E450"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Peter K. Yu, ‘Intellectual property, Asian philosophy and the Yin-Yang School’ (2015) 7 W.I.P.O. J. 1,8; citing J.B. Ruhl, ‘Complexity Theory as a Paradigm for the Dynamical Law-and-Society System: A Wake-Up Call for Legal Reductionism and the Modern Administrative State’ (1996) 45 Duke Law Journal 849.</w:t>
      </w:r>
    </w:p>
  </w:footnote>
  <w:footnote w:id="83">
    <w:p w14:paraId="1CABF04D"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Bernd Justin </w:t>
      </w:r>
      <w:proofErr w:type="spellStart"/>
      <w:r w:rsidRPr="007A5B75">
        <w:rPr>
          <w:lang w:val="en-GB"/>
        </w:rPr>
        <w:t>Jütte</w:t>
      </w:r>
      <w:proofErr w:type="spellEnd"/>
      <w:r w:rsidRPr="007A5B75">
        <w:rPr>
          <w:lang w:val="en-GB"/>
        </w:rPr>
        <w:t>, ‘The EU’s Trouble with Mashups: From Disabling to Enabling a Digital Art Form’ (2014) 5 JIPITEC 172.</w:t>
      </w:r>
    </w:p>
  </w:footnote>
  <w:footnote w:id="84">
    <w:p w14:paraId="0B2E6A28" w14:textId="77777777" w:rsidR="00E74E7C" w:rsidRPr="007A5B75" w:rsidRDefault="00E74E7C" w:rsidP="00444D4E">
      <w:pPr>
        <w:pStyle w:val="FootnoteText"/>
        <w:rPr>
          <w:lang w:val="en-GB"/>
        </w:rPr>
      </w:pPr>
      <w:r w:rsidRPr="007A5B75">
        <w:rPr>
          <w:rStyle w:val="FootnoteReference"/>
          <w:lang w:val="en-GB"/>
        </w:rPr>
        <w:footnoteRef/>
      </w:r>
      <w:r w:rsidRPr="007A5B75">
        <w:rPr>
          <w:lang w:val="en-GB"/>
        </w:rPr>
        <w:t xml:space="preserve"> Lawrence Lessig, </w:t>
      </w:r>
      <w:r w:rsidRPr="007A5B75">
        <w:rPr>
          <w:i/>
          <w:iCs/>
          <w:lang w:val="en-GB"/>
        </w:rPr>
        <w:t>Free culture: How big media uses technology and the law to lock down culture and control creativity</w:t>
      </w:r>
      <w:r w:rsidRPr="007A5B75">
        <w:rPr>
          <w:lang w:val="en-GB"/>
        </w:rPr>
        <w:t xml:space="preserve"> (Penguin: 2014) 254-9.</w:t>
      </w:r>
    </w:p>
  </w:footnote>
  <w:footnote w:id="85">
    <w:p w14:paraId="228B7BB7" w14:textId="6D9B1BEA" w:rsidR="00AC43BF" w:rsidRPr="00AC43BF" w:rsidRDefault="00AC43BF">
      <w:pPr>
        <w:pStyle w:val="FootnoteText"/>
        <w:rPr>
          <w:lang w:val="en-GB"/>
        </w:rPr>
      </w:pPr>
      <w:r>
        <w:rPr>
          <w:rStyle w:val="FootnoteReference"/>
        </w:rPr>
        <w:footnoteRef/>
      </w:r>
      <w:r>
        <w:t xml:space="preserve"> </w:t>
      </w:r>
      <w:r w:rsidRPr="007A5B75">
        <w:rPr>
          <w:lang w:val="en-GB"/>
        </w:rPr>
        <w:t xml:space="preserve">Giancarlo </w:t>
      </w:r>
      <w:proofErr w:type="spellStart"/>
      <w:r w:rsidRPr="007A5B75">
        <w:rPr>
          <w:lang w:val="en-GB"/>
        </w:rPr>
        <w:t>Frosio</w:t>
      </w:r>
      <w:proofErr w:type="spellEnd"/>
      <w:r w:rsidRPr="007A5B75">
        <w:rPr>
          <w:lang w:val="en-GB"/>
        </w:rPr>
        <w:t xml:space="preserve">, ‘Rediscovering cumulative creativity from the </w:t>
      </w:r>
      <w:proofErr w:type="gramStart"/>
      <w:r w:rsidRPr="007A5B75">
        <w:rPr>
          <w:lang w:val="en-GB"/>
        </w:rPr>
        <w:t>oral formulaic</w:t>
      </w:r>
      <w:proofErr w:type="gramEnd"/>
      <w:r w:rsidRPr="007A5B75">
        <w:rPr>
          <w:lang w:val="en-GB"/>
        </w:rPr>
        <w:t xml:space="preserve"> tradition to digital remix: Can I get a witness? (2014) 13 J. Marshall Rev. </w:t>
      </w:r>
      <w:proofErr w:type="spellStart"/>
      <w:r w:rsidRPr="007A5B75">
        <w:rPr>
          <w:lang w:val="en-GB"/>
        </w:rPr>
        <w:t>Intell</w:t>
      </w:r>
      <w:proofErr w:type="spellEnd"/>
      <w:r w:rsidRPr="007A5B75">
        <w:rPr>
          <w:lang w:val="en-GB"/>
        </w:rPr>
        <w:t>. Prop. Law 341, 391.</w:t>
      </w:r>
    </w:p>
  </w:footnote>
  <w:footnote w:id="86">
    <w:p w14:paraId="54AF9F57" w14:textId="5F7E2345" w:rsidR="009D230C" w:rsidRPr="009D230C" w:rsidRDefault="009D230C">
      <w:pPr>
        <w:pStyle w:val="FootnoteText"/>
        <w:rPr>
          <w:lang w:val="en-GB"/>
        </w:rPr>
      </w:pPr>
      <w:r>
        <w:rPr>
          <w:rStyle w:val="FootnoteReference"/>
        </w:rPr>
        <w:footnoteRef/>
      </w:r>
      <w:r>
        <w:t xml:space="preserve"> Gunther Teubner, ‘Transnational Fundamental Rights: Horizontal Effect’ (</w:t>
      </w:r>
      <w:r w:rsidR="00190DDD">
        <w:t xml:space="preserve">2011) 40 </w:t>
      </w:r>
      <w:proofErr w:type="spellStart"/>
      <w:r w:rsidR="00190DDD">
        <w:t>Rechtsfilosofie</w:t>
      </w:r>
      <w:proofErr w:type="spellEnd"/>
      <w:r w:rsidR="00190DDD">
        <w:t xml:space="preserve"> &amp; </w:t>
      </w:r>
      <w:proofErr w:type="spellStart"/>
      <w:r w:rsidR="00190DDD">
        <w:t>Rechtstheorie</w:t>
      </w:r>
      <w:proofErr w:type="spellEnd"/>
      <w:r w:rsidR="00190DDD">
        <w:t xml:space="preserve"> 19.</w:t>
      </w:r>
    </w:p>
  </w:footnote>
  <w:footnote w:id="87">
    <w:p w14:paraId="4A34A24B" w14:textId="4E8F69F9" w:rsidR="00E73C11" w:rsidRPr="00E73C11" w:rsidRDefault="00E73C11">
      <w:pPr>
        <w:pStyle w:val="FootnoteText"/>
        <w:rPr>
          <w:lang w:val="en-GB"/>
        </w:rPr>
      </w:pPr>
      <w:r>
        <w:rPr>
          <w:rStyle w:val="FootnoteReference"/>
        </w:rPr>
        <w:footnoteRef/>
      </w:r>
      <w:r>
        <w:t xml:space="preserve"> </w:t>
      </w:r>
      <w:r>
        <w:rPr>
          <w:lang w:val="en-GB"/>
        </w:rPr>
        <w:t xml:space="preserve">Gunther Teubner, </w:t>
      </w:r>
      <w:r>
        <w:rPr>
          <w:i/>
          <w:iCs/>
          <w:lang w:val="en-GB"/>
        </w:rPr>
        <w:t xml:space="preserve">Constitutional </w:t>
      </w:r>
      <w:r w:rsidR="002B2B3B">
        <w:rPr>
          <w:i/>
          <w:iCs/>
          <w:lang w:val="en-GB"/>
        </w:rPr>
        <w:t>F</w:t>
      </w:r>
      <w:r>
        <w:rPr>
          <w:i/>
          <w:iCs/>
          <w:lang w:val="en-GB"/>
        </w:rPr>
        <w:t>ragments</w:t>
      </w:r>
      <w:r w:rsidR="002B2B3B">
        <w:rPr>
          <w:i/>
          <w:iCs/>
          <w:lang w:val="en-GB"/>
        </w:rPr>
        <w:t>:</w:t>
      </w:r>
      <w:r>
        <w:rPr>
          <w:i/>
          <w:iCs/>
          <w:lang w:val="en-GB"/>
        </w:rPr>
        <w:t xml:space="preserve"> </w:t>
      </w:r>
      <w:r w:rsidR="002B2B3B">
        <w:rPr>
          <w:i/>
          <w:iCs/>
          <w:lang w:val="en-GB"/>
        </w:rPr>
        <w:t>S</w:t>
      </w:r>
      <w:r>
        <w:rPr>
          <w:i/>
          <w:iCs/>
          <w:lang w:val="en-GB"/>
        </w:rPr>
        <w:t xml:space="preserve">ocietal </w:t>
      </w:r>
      <w:r w:rsidR="002B2B3B">
        <w:rPr>
          <w:i/>
          <w:iCs/>
          <w:lang w:val="en-GB"/>
        </w:rPr>
        <w:t>C</w:t>
      </w:r>
      <w:r>
        <w:rPr>
          <w:i/>
          <w:iCs/>
          <w:lang w:val="en-GB"/>
        </w:rPr>
        <w:t xml:space="preserve">onstitutionalism and </w:t>
      </w:r>
      <w:r w:rsidR="002B2B3B">
        <w:rPr>
          <w:i/>
          <w:iCs/>
          <w:lang w:val="en-GB"/>
        </w:rPr>
        <w:t>G</w:t>
      </w:r>
      <w:r>
        <w:rPr>
          <w:i/>
          <w:iCs/>
          <w:lang w:val="en-GB"/>
        </w:rPr>
        <w:t xml:space="preserve">lobalization </w:t>
      </w:r>
      <w:r>
        <w:rPr>
          <w:lang w:val="en-GB"/>
        </w:rPr>
        <w:t>(OUP 2012) p. 145</w:t>
      </w:r>
    </w:p>
  </w:footnote>
  <w:footnote w:id="88">
    <w:p w14:paraId="55822E48" w14:textId="77777777" w:rsidR="009C6D59" w:rsidRPr="007A5B75" w:rsidRDefault="009C6D59" w:rsidP="009C6D59">
      <w:pPr>
        <w:pStyle w:val="FootnoteText"/>
        <w:rPr>
          <w:lang w:val="en-GB"/>
        </w:rPr>
      </w:pPr>
      <w:r w:rsidRPr="007A5B75">
        <w:rPr>
          <w:rStyle w:val="FootnoteReference"/>
          <w:lang w:val="en-GB"/>
        </w:rPr>
        <w:footnoteRef/>
      </w:r>
      <w:r w:rsidRPr="007A5B75">
        <w:rPr>
          <w:lang w:val="en-GB"/>
        </w:rPr>
        <w:t xml:space="preserve"> Lawrence Lessig, 'Free(</w:t>
      </w:r>
      <w:proofErr w:type="spellStart"/>
      <w:r w:rsidRPr="007A5B75">
        <w:rPr>
          <w:lang w:val="en-GB"/>
        </w:rPr>
        <w:t>ing</w:t>
      </w:r>
      <w:proofErr w:type="spellEnd"/>
      <w:r w:rsidRPr="007A5B75">
        <w:rPr>
          <w:lang w:val="en-GB"/>
        </w:rPr>
        <w:t>) Culture for Remix' (2004) 2004 Utah L Rev 961, 975.</w:t>
      </w:r>
    </w:p>
  </w:footnote>
  <w:footnote w:id="89">
    <w:p w14:paraId="1A7EBE1C" w14:textId="5B3888BA" w:rsidR="00953DA4" w:rsidRPr="00953DA4" w:rsidRDefault="00953DA4" w:rsidP="00001BC7">
      <w:pPr>
        <w:pStyle w:val="FootnoteText"/>
        <w:rPr>
          <w:lang w:val="en-GB"/>
        </w:rPr>
      </w:pPr>
      <w:r>
        <w:rPr>
          <w:rStyle w:val="FootnoteReference"/>
        </w:rPr>
        <w:footnoteRef/>
      </w:r>
      <w:r>
        <w:t xml:space="preserve"> </w:t>
      </w:r>
      <w:r>
        <w:rPr>
          <w:lang w:val="en-GB"/>
        </w:rPr>
        <w:t>See</w:t>
      </w:r>
      <w:r w:rsidR="00001BC7">
        <w:rPr>
          <w:lang w:val="en-GB"/>
        </w:rPr>
        <w:t xml:space="preserve">, </w:t>
      </w:r>
      <w:r w:rsidR="00001BC7" w:rsidRPr="00001BC7">
        <w:rPr>
          <w:lang w:val="en-GB"/>
        </w:rPr>
        <w:t xml:space="preserve">Guido </w:t>
      </w:r>
      <w:proofErr w:type="spellStart"/>
      <w:r w:rsidR="00001BC7" w:rsidRPr="00001BC7">
        <w:rPr>
          <w:lang w:val="en-GB"/>
        </w:rPr>
        <w:t>Westkamp</w:t>
      </w:r>
      <w:proofErr w:type="spellEnd"/>
      <w:r w:rsidR="00001BC7" w:rsidRPr="00001BC7">
        <w:rPr>
          <w:lang w:val="en-GB"/>
        </w:rPr>
        <w:t>, ‘Two Constitutional Cultures, Technological Enforcement and User Creativity: The Impending Collapse of the EU Copyright Regime?’ (2022) 53 IIC 62</w:t>
      </w:r>
      <w:r w:rsidR="00001BC7">
        <w:rPr>
          <w:lang w:val="en-GB"/>
        </w:rPr>
        <w:t>, regarding the first German draft of transposing art. 17 DSM Directive.</w:t>
      </w:r>
    </w:p>
  </w:footnote>
  <w:footnote w:id="90">
    <w:p w14:paraId="0B123DE3" w14:textId="63B955DF" w:rsidR="00AD6EF9" w:rsidRDefault="00364117" w:rsidP="00364117">
      <w:pPr>
        <w:pStyle w:val="FootnoteText"/>
      </w:pPr>
      <w:r>
        <w:rPr>
          <w:rStyle w:val="FootnoteReference"/>
        </w:rPr>
        <w:footnoteRef/>
      </w:r>
      <w:r>
        <w:t xml:space="preserve"> </w:t>
      </w:r>
      <w:r w:rsidR="00AD6EF9" w:rsidRPr="00364117">
        <w:t>João Pedro Quintais</w:t>
      </w:r>
      <w:r w:rsidR="00AD6EF9">
        <w:t xml:space="preserve"> and Sebastian Felix Schwemer, ‘The Interplay between the Digital Services Act and Sector Regulation’ (2022) 13 European Journal of Risk Regulation 191, 204.</w:t>
      </w:r>
    </w:p>
    <w:p w14:paraId="1C1C23D2" w14:textId="1A495A19" w:rsidR="00364117" w:rsidRPr="00364117" w:rsidRDefault="00364117" w:rsidP="00364117">
      <w:pPr>
        <w:pStyle w:val="FootnoteText"/>
        <w:rPr>
          <w:lang w:val="en-GB"/>
        </w:rPr>
      </w:pPr>
      <w:r w:rsidRPr="00364117">
        <w:t>João Pedro Quintais</w:t>
      </w:r>
      <w:r>
        <w:t xml:space="preserve">, </w:t>
      </w:r>
      <w:r w:rsidRPr="00364117">
        <w:t xml:space="preserve">Giovanni De </w:t>
      </w:r>
      <w:proofErr w:type="gramStart"/>
      <w:r w:rsidRPr="00364117">
        <w:t>Gregorio</w:t>
      </w:r>
      <w:proofErr w:type="gramEnd"/>
      <w:r>
        <w:t xml:space="preserve"> and </w:t>
      </w:r>
      <w:r w:rsidRPr="00364117">
        <w:t>João C. Magalhães</w:t>
      </w:r>
      <w:r>
        <w:t>, ‘How platforms govern users’ copyright-protected content: Exploring the power of private ordering and its implications’ (2023) 48 Computer Law &amp; Security Review 48, 11.</w:t>
      </w:r>
    </w:p>
  </w:footnote>
  <w:footnote w:id="91">
    <w:p w14:paraId="02E75CEB" w14:textId="7C5C880A" w:rsidR="000C2645" w:rsidRPr="007A5B75" w:rsidRDefault="000C2645" w:rsidP="000C2645">
      <w:pPr>
        <w:pStyle w:val="FootnoteText"/>
        <w:rPr>
          <w:lang w:val="en-GB"/>
        </w:rPr>
      </w:pPr>
      <w:r w:rsidRPr="007A5B75">
        <w:rPr>
          <w:rStyle w:val="FootnoteReference"/>
          <w:lang w:val="en-GB"/>
        </w:rPr>
        <w:footnoteRef/>
      </w:r>
      <w:r w:rsidRPr="007A5B75">
        <w:rPr>
          <w:lang w:val="en-GB"/>
        </w:rPr>
        <w:t xml:space="preserve"> </w:t>
      </w:r>
      <w:r w:rsidR="008B6B3F">
        <w:rPr>
          <w:lang w:val="en-GB"/>
        </w:rPr>
        <w:t xml:space="preserve">Bernd Justin </w:t>
      </w:r>
      <w:proofErr w:type="spellStart"/>
      <w:r w:rsidRPr="007A5B75">
        <w:rPr>
          <w:lang w:val="en-GB"/>
        </w:rPr>
        <w:t>Jütte</w:t>
      </w:r>
      <w:proofErr w:type="spellEnd"/>
      <w:r w:rsidR="008B6B3F">
        <w:rPr>
          <w:lang w:val="en-GB"/>
        </w:rPr>
        <w:t>, ‘Poland’s challenge to Article 17 CDSM Directive fails before the CJEU, but Member States must implement fundamental rights safeguards’ (2022) 17 JIPLP 639,</w:t>
      </w:r>
      <w:r w:rsidRPr="007A5B75">
        <w:rPr>
          <w:lang w:val="en-GB"/>
        </w:rPr>
        <w:t xml:space="preserve"> 695.</w:t>
      </w:r>
    </w:p>
  </w:footnote>
  <w:footnote w:id="92">
    <w:p w14:paraId="524229C3" w14:textId="10F6B391" w:rsidR="003B6242" w:rsidRPr="003B6242" w:rsidRDefault="003B6242">
      <w:pPr>
        <w:pStyle w:val="FootnoteText"/>
        <w:rPr>
          <w:lang w:val="en-GB"/>
        </w:rPr>
      </w:pPr>
      <w:r>
        <w:rPr>
          <w:rStyle w:val="FootnoteReference"/>
        </w:rPr>
        <w:footnoteRef/>
      </w:r>
      <w:r>
        <w:t xml:space="preserve"> </w:t>
      </w:r>
      <w:r>
        <w:rPr>
          <w:lang w:val="en-GB"/>
        </w:rPr>
        <w:t>DSM Directive, art. 17(7).</w:t>
      </w:r>
    </w:p>
  </w:footnote>
  <w:footnote w:id="93">
    <w:p w14:paraId="46220AFC" w14:textId="2973CB4D" w:rsidR="003B6242" w:rsidRPr="007A5B75" w:rsidRDefault="003B6242" w:rsidP="003B6242">
      <w:pPr>
        <w:pStyle w:val="FootnoteText"/>
        <w:rPr>
          <w:lang w:val="en-GB"/>
        </w:rPr>
      </w:pPr>
      <w:r w:rsidRPr="007A5B75">
        <w:rPr>
          <w:rStyle w:val="FootnoteReference"/>
          <w:lang w:val="en-GB"/>
        </w:rPr>
        <w:footnoteRef/>
      </w:r>
      <w:r>
        <w:rPr>
          <w:lang w:val="en-GB"/>
        </w:rPr>
        <w:t xml:space="preserve"> Ibid,</w:t>
      </w:r>
      <w:r w:rsidRPr="007A5B75">
        <w:rPr>
          <w:lang w:val="en-GB"/>
        </w:rPr>
        <w:t xml:space="preserve"> art. 17(8). </w:t>
      </w:r>
    </w:p>
  </w:footnote>
  <w:footnote w:id="94">
    <w:p w14:paraId="5782DA93" w14:textId="6203C222" w:rsidR="0012514A" w:rsidRPr="0012514A" w:rsidRDefault="0012514A">
      <w:pPr>
        <w:pStyle w:val="FootnoteText"/>
        <w:rPr>
          <w:lang w:val="en-GB"/>
        </w:rPr>
      </w:pPr>
      <w:r>
        <w:rPr>
          <w:rStyle w:val="FootnoteReference"/>
        </w:rPr>
        <w:footnoteRef/>
      </w:r>
      <w:r>
        <w:t xml:space="preserve"> </w:t>
      </w:r>
      <w:r>
        <w:rPr>
          <w:lang w:val="en-GB"/>
        </w:rPr>
        <w:t>Ibid, art. 17(9).</w:t>
      </w:r>
      <w:r w:rsidR="003F772F">
        <w:rPr>
          <w:lang w:val="en-GB"/>
        </w:rPr>
        <w:t xml:space="preserve"> </w:t>
      </w:r>
      <w:r w:rsidR="003F772F" w:rsidRPr="003F772F">
        <w:rPr>
          <w:lang w:val="en-GB"/>
        </w:rPr>
        <w:t>This mechanism requires rightsholders to duly justify their reasons for requesting uploads to be removed or disabled. These complaints are to be processed without undue delay, and decisions to disable access or to remove content are subject to human review. The mechanism is also subject to out-of-court redress mechanisms</w:t>
      </w:r>
      <w:r w:rsidR="003F772F">
        <w:rPr>
          <w:lang w:val="en-GB"/>
        </w:rPr>
        <w:t>.</w:t>
      </w:r>
    </w:p>
  </w:footnote>
  <w:footnote w:id="95">
    <w:p w14:paraId="25C7EEB9" w14:textId="31EB4EF0" w:rsidR="00C91AC1" w:rsidRPr="00C91AC1" w:rsidRDefault="00C91AC1">
      <w:pPr>
        <w:pStyle w:val="FootnoteText"/>
        <w:rPr>
          <w:lang w:val="en-GB"/>
        </w:rPr>
      </w:pPr>
      <w:r>
        <w:rPr>
          <w:rStyle w:val="FootnoteReference"/>
        </w:rPr>
        <w:footnoteRef/>
      </w:r>
      <w:r>
        <w:t xml:space="preserve"> </w:t>
      </w:r>
      <w:r w:rsidRPr="00C91AC1">
        <w:rPr>
          <w:lang w:val="en-GB"/>
        </w:rPr>
        <w:t>E.g.</w:t>
      </w:r>
      <w:r w:rsidRPr="003F772F">
        <w:rPr>
          <w:lang w:val="en-GB"/>
        </w:rPr>
        <w:t xml:space="preserve"> the impartial settlement of disputes</w:t>
      </w:r>
      <w:r>
        <w:rPr>
          <w:lang w:val="en-GB"/>
        </w:rPr>
        <w:t>,</w:t>
      </w:r>
      <w:r w:rsidRPr="003F772F">
        <w:rPr>
          <w:lang w:val="en-GB"/>
        </w:rPr>
        <w:t xml:space="preserve"> and safeguarding user</w:t>
      </w:r>
      <w:r>
        <w:rPr>
          <w:lang w:val="en-GB"/>
        </w:rPr>
        <w:t xml:space="preserve"> protection (legitimate uses),</w:t>
      </w:r>
      <w:r w:rsidRPr="003F772F">
        <w:rPr>
          <w:lang w:val="en-GB"/>
        </w:rPr>
        <w:t xml:space="preserve"> the right to have recourse to efficient judicial remedies</w:t>
      </w:r>
      <w:r>
        <w:rPr>
          <w:lang w:val="en-GB"/>
        </w:rPr>
        <w:t xml:space="preserve"> and data protection</w:t>
      </w:r>
      <w:r w:rsidRPr="003F772F">
        <w:rPr>
          <w:lang w:val="en-GB"/>
        </w:rPr>
        <w:t>.</w:t>
      </w:r>
    </w:p>
  </w:footnote>
  <w:footnote w:id="96">
    <w:p w14:paraId="2E759969" w14:textId="1C850BBD" w:rsidR="00C91AC1" w:rsidRPr="003548B2" w:rsidRDefault="00C91AC1" w:rsidP="00C91AC1">
      <w:pPr>
        <w:pStyle w:val="FootnoteText"/>
        <w:rPr>
          <w:lang w:val="en-GB"/>
        </w:rPr>
      </w:pPr>
      <w:r>
        <w:rPr>
          <w:rStyle w:val="FootnoteReference"/>
        </w:rPr>
        <w:footnoteRef/>
      </w:r>
      <w:r>
        <w:t xml:space="preserve"> </w:t>
      </w:r>
      <w:r w:rsidRPr="00C91AC1">
        <w:rPr>
          <w:lang w:val="en-GB"/>
        </w:rPr>
        <w:t>Case C-401/19</w:t>
      </w:r>
      <w:r w:rsidRPr="00C91AC1">
        <w:t xml:space="preserve"> </w:t>
      </w:r>
      <w:r w:rsidRPr="003548B2">
        <w:rPr>
          <w:i/>
          <w:iCs/>
        </w:rPr>
        <w:t>Poland v Parliament and Council</w:t>
      </w:r>
      <w:r w:rsidRPr="00C91AC1">
        <w:t xml:space="preserve"> [2022], ECLI:EU:C:2022:297 (‘Poland’).</w:t>
      </w:r>
      <w:r w:rsidR="003548B2">
        <w:t xml:space="preserve"> Also see, Part B on guidance from the EU Commission and the Advocate General in </w:t>
      </w:r>
      <w:r w:rsidR="003548B2">
        <w:rPr>
          <w:i/>
          <w:iCs/>
        </w:rPr>
        <w:t xml:space="preserve">Poland </w:t>
      </w:r>
      <w:r w:rsidR="003548B2">
        <w:t>on ‘manifestly infringing’ uses and implementing art. 17 DSM Directive.</w:t>
      </w:r>
    </w:p>
  </w:footnote>
  <w:footnote w:id="97">
    <w:p w14:paraId="098AB527" w14:textId="72FB8B41" w:rsidR="00860479" w:rsidRPr="007A5B75" w:rsidRDefault="00860479" w:rsidP="00C91AC1">
      <w:pPr>
        <w:pStyle w:val="FootnoteText"/>
        <w:rPr>
          <w:lang w:val="en-GB"/>
        </w:rPr>
      </w:pPr>
      <w:r w:rsidRPr="007A5B75">
        <w:rPr>
          <w:rStyle w:val="FootnoteReference"/>
          <w:lang w:val="en-GB"/>
        </w:rPr>
        <w:footnoteRef/>
      </w:r>
      <w:r w:rsidRPr="007A5B75">
        <w:rPr>
          <w:lang w:val="en-GB"/>
        </w:rPr>
        <w:t xml:space="preserve"> </w:t>
      </w:r>
      <w:r w:rsidRPr="007A5B75">
        <w:rPr>
          <w:i/>
          <w:iCs/>
          <w:lang w:val="en-GB"/>
        </w:rPr>
        <w:t>Poland</w:t>
      </w:r>
      <w:r w:rsidRPr="007A5B75">
        <w:rPr>
          <w:lang w:val="en-GB"/>
        </w:rPr>
        <w:t xml:space="preserve"> at [72]-[73].</w:t>
      </w:r>
    </w:p>
  </w:footnote>
  <w:footnote w:id="98">
    <w:p w14:paraId="1AB159B9" w14:textId="77777777" w:rsidR="00EB3F33" w:rsidRPr="007A5B75" w:rsidRDefault="00EB3F33" w:rsidP="00C91AC1">
      <w:pPr>
        <w:pStyle w:val="FootnoteText"/>
        <w:rPr>
          <w:lang w:val="en-GB"/>
        </w:rPr>
      </w:pPr>
      <w:r w:rsidRPr="007A5B75">
        <w:rPr>
          <w:rStyle w:val="FootnoteReference"/>
          <w:lang w:val="en-GB"/>
        </w:rPr>
        <w:footnoteRef/>
      </w:r>
      <w:r w:rsidRPr="007A5B75">
        <w:rPr>
          <w:lang w:val="en-GB"/>
        </w:rPr>
        <w:t xml:space="preserve"> Ibid at [87].</w:t>
      </w:r>
    </w:p>
  </w:footnote>
  <w:footnote w:id="99">
    <w:p w14:paraId="7014DF75" w14:textId="77777777" w:rsidR="00BF52A9" w:rsidRPr="007A5B75" w:rsidRDefault="00BF52A9" w:rsidP="00C91AC1">
      <w:pPr>
        <w:pStyle w:val="FootnoteText"/>
        <w:rPr>
          <w:lang w:val="en-GB"/>
        </w:rPr>
      </w:pPr>
      <w:r w:rsidRPr="007A5B75">
        <w:rPr>
          <w:rStyle w:val="FootnoteReference"/>
          <w:lang w:val="en-GB"/>
        </w:rPr>
        <w:footnoteRef/>
      </w:r>
      <w:r w:rsidRPr="007A5B75">
        <w:rPr>
          <w:lang w:val="en-GB"/>
        </w:rPr>
        <w:t xml:space="preserve"> </w:t>
      </w:r>
      <w:r w:rsidRPr="007A5B75">
        <w:rPr>
          <w:i/>
          <w:iCs/>
          <w:lang w:val="en-GB"/>
        </w:rPr>
        <w:t xml:space="preserve">Poland </w:t>
      </w:r>
      <w:r w:rsidRPr="007A5B75">
        <w:rPr>
          <w:lang w:val="en-GB"/>
        </w:rPr>
        <w:t>at [81].</w:t>
      </w:r>
    </w:p>
  </w:footnote>
  <w:footnote w:id="100">
    <w:p w14:paraId="65280A87" w14:textId="19065142" w:rsidR="00482B20" w:rsidRPr="007A5B75" w:rsidRDefault="00482B20" w:rsidP="00C91AC1">
      <w:pPr>
        <w:pStyle w:val="FootnoteText"/>
        <w:rPr>
          <w:lang w:val="en-GB"/>
        </w:rPr>
      </w:pPr>
      <w:r w:rsidRPr="007A5B75">
        <w:rPr>
          <w:rStyle w:val="FootnoteReference"/>
          <w:lang w:val="en-GB"/>
        </w:rPr>
        <w:footnoteRef/>
      </w:r>
      <w:r w:rsidRPr="007A5B75">
        <w:rPr>
          <w:lang w:val="en-GB"/>
        </w:rPr>
        <w:t xml:space="preserve"> </w:t>
      </w:r>
      <w:r w:rsidR="00B014C7">
        <w:rPr>
          <w:lang w:val="en-GB"/>
        </w:rPr>
        <w:t xml:space="preserve">EU </w:t>
      </w:r>
      <w:r w:rsidRPr="007A5B75">
        <w:rPr>
          <w:lang w:val="en-GB"/>
        </w:rPr>
        <w:t>Commission Guidance 22.</w:t>
      </w:r>
    </w:p>
  </w:footnote>
  <w:footnote w:id="101">
    <w:p w14:paraId="0FCE5F59" w14:textId="77777777" w:rsidR="00D20F98" w:rsidRPr="007A5B75" w:rsidRDefault="00482B20" w:rsidP="00C91AC1">
      <w:pPr>
        <w:pStyle w:val="FootnoteText"/>
        <w:rPr>
          <w:lang w:val="en-GB"/>
        </w:rPr>
      </w:pPr>
      <w:r w:rsidRPr="007A5B75">
        <w:rPr>
          <w:rStyle w:val="FootnoteReference"/>
          <w:lang w:val="en-GB"/>
        </w:rPr>
        <w:footnoteRef/>
      </w:r>
      <w:r w:rsidRPr="007A5B75">
        <w:rPr>
          <w:lang w:val="en-GB"/>
        </w:rPr>
        <w:t xml:space="preserve"> </w:t>
      </w:r>
      <w:r w:rsidR="00D20F98" w:rsidRPr="007A5B75">
        <w:rPr>
          <w:lang w:val="en-GB"/>
        </w:rPr>
        <w:t xml:space="preserve">Christophe Geiger and Bernd Justin </w:t>
      </w:r>
      <w:proofErr w:type="spellStart"/>
      <w:r w:rsidR="00D20F98" w:rsidRPr="007A5B75">
        <w:rPr>
          <w:lang w:val="en-GB"/>
        </w:rPr>
        <w:t>Jütte</w:t>
      </w:r>
      <w:proofErr w:type="spellEnd"/>
      <w:r w:rsidR="00D20F98" w:rsidRPr="007A5B75">
        <w:rPr>
          <w:lang w:val="en-GB"/>
        </w:rPr>
        <w:t xml:space="preserve">, ‘Towards a virtuous legal framework for content moderation by </w:t>
      </w:r>
    </w:p>
    <w:p w14:paraId="7B2C8F21" w14:textId="77777777" w:rsidR="00D20F98" w:rsidRPr="007A5B75" w:rsidRDefault="00D20F98" w:rsidP="00C91AC1">
      <w:pPr>
        <w:pStyle w:val="FootnoteText"/>
        <w:rPr>
          <w:lang w:val="en-GB"/>
        </w:rPr>
      </w:pPr>
      <w:r w:rsidRPr="007A5B75">
        <w:rPr>
          <w:lang w:val="en-GB"/>
        </w:rPr>
        <w:t xml:space="preserve">digital platforms in the EU? The Commission’s guidance on article 17 CDSM Directive in the light of the </w:t>
      </w:r>
    </w:p>
    <w:p w14:paraId="4C28D12E" w14:textId="261528FA" w:rsidR="00482B20" w:rsidRPr="007A5B75" w:rsidRDefault="00D20F98" w:rsidP="00C91AC1">
      <w:pPr>
        <w:pStyle w:val="FootnoteText"/>
        <w:rPr>
          <w:lang w:val="en-GB"/>
        </w:rPr>
      </w:pPr>
      <w:r w:rsidRPr="007A5B75">
        <w:rPr>
          <w:lang w:val="en-GB"/>
        </w:rPr>
        <w:t>YouTube/</w:t>
      </w:r>
      <w:proofErr w:type="spellStart"/>
      <w:r w:rsidRPr="007A5B75">
        <w:rPr>
          <w:lang w:val="en-GB"/>
        </w:rPr>
        <w:t>Cyando</w:t>
      </w:r>
      <w:proofErr w:type="spellEnd"/>
      <w:r w:rsidRPr="007A5B75">
        <w:rPr>
          <w:lang w:val="en-GB"/>
        </w:rPr>
        <w:t xml:space="preserve"> judgement and the AG’s Opinion in C-401/19’ (2021) 43 EIPR 625</w:t>
      </w:r>
      <w:r w:rsidR="00B15156" w:rsidRPr="007A5B75">
        <w:rPr>
          <w:lang w:val="en-GB"/>
        </w:rPr>
        <w:t>,</w:t>
      </w:r>
      <w:r w:rsidRPr="007A5B75">
        <w:rPr>
          <w:lang w:val="en-GB"/>
        </w:rPr>
        <w:t xml:space="preserve"> </w:t>
      </w:r>
      <w:r w:rsidR="00B15156" w:rsidRPr="007A5B75">
        <w:rPr>
          <w:lang w:val="en-GB"/>
        </w:rPr>
        <w:t>6</w:t>
      </w:r>
      <w:r w:rsidR="00482B20" w:rsidRPr="007A5B75">
        <w:rPr>
          <w:lang w:val="en-GB"/>
        </w:rPr>
        <w:t>28.</w:t>
      </w:r>
    </w:p>
  </w:footnote>
  <w:footnote w:id="102">
    <w:p w14:paraId="3FFA2DF1" w14:textId="77777777" w:rsidR="00482B20" w:rsidRPr="007A5B75" w:rsidRDefault="00482B20" w:rsidP="00C91AC1">
      <w:pPr>
        <w:pStyle w:val="FootnoteText"/>
        <w:rPr>
          <w:lang w:val="en-GB"/>
        </w:rPr>
      </w:pPr>
      <w:r w:rsidRPr="007A5B75">
        <w:rPr>
          <w:rStyle w:val="FootnoteReference"/>
          <w:lang w:val="en-GB"/>
        </w:rPr>
        <w:footnoteRef/>
      </w:r>
      <w:r w:rsidRPr="007A5B75">
        <w:rPr>
          <w:lang w:val="en-GB"/>
        </w:rPr>
        <w:t xml:space="preserve"> Law n° 2021-1382 of October 25, 2021, relating to the regulation and protection of access to cultural works in the digital age.</w:t>
      </w:r>
    </w:p>
  </w:footnote>
  <w:footnote w:id="103">
    <w:p w14:paraId="2F8DEB86" w14:textId="07B14D1C" w:rsidR="008742E7" w:rsidRPr="007A5B75" w:rsidRDefault="008742E7" w:rsidP="00444D4E">
      <w:pPr>
        <w:pStyle w:val="FootnoteText"/>
        <w:rPr>
          <w:lang w:val="en-GB"/>
        </w:rPr>
      </w:pPr>
      <w:r w:rsidRPr="007A5B75">
        <w:rPr>
          <w:rStyle w:val="FootnoteReference"/>
          <w:lang w:val="en-GB"/>
        </w:rPr>
        <w:footnoteRef/>
      </w:r>
      <w:r w:rsidRPr="007A5B75">
        <w:rPr>
          <w:lang w:val="en-GB"/>
        </w:rPr>
        <w:t xml:space="preserve"> The text </w:t>
      </w:r>
      <w:r w:rsidR="000D7086">
        <w:rPr>
          <w:lang w:val="en-GB"/>
        </w:rPr>
        <w:t>p</w:t>
      </w:r>
      <w:r w:rsidRPr="007A5B75">
        <w:rPr>
          <w:lang w:val="en-GB"/>
        </w:rPr>
        <w:t xml:space="preserve">rovides that platforms must not deprive users of the effective benefit of copyright exceptions already outlined in the French Intellectual Property Code. French Code de la </w:t>
      </w:r>
      <w:proofErr w:type="spellStart"/>
      <w:r w:rsidRPr="007A5B75">
        <w:rPr>
          <w:lang w:val="en-GB"/>
        </w:rPr>
        <w:t>propriété</w:t>
      </w:r>
      <w:proofErr w:type="spellEnd"/>
      <w:r w:rsidRPr="007A5B75">
        <w:rPr>
          <w:lang w:val="en-GB"/>
        </w:rPr>
        <w:t xml:space="preserve"> </w:t>
      </w:r>
      <w:proofErr w:type="spellStart"/>
      <w:r w:rsidRPr="007A5B75">
        <w:rPr>
          <w:lang w:val="en-GB"/>
        </w:rPr>
        <w:t>intellectuelle</w:t>
      </w:r>
      <w:proofErr w:type="spellEnd"/>
      <w:r w:rsidRPr="007A5B75">
        <w:rPr>
          <w:lang w:val="en-GB"/>
        </w:rPr>
        <w:t xml:space="preserve"> (version </w:t>
      </w:r>
      <w:proofErr w:type="spellStart"/>
      <w:r w:rsidRPr="007A5B75">
        <w:rPr>
          <w:lang w:val="en-GB"/>
        </w:rPr>
        <w:t>consolidée</w:t>
      </w:r>
      <w:proofErr w:type="spellEnd"/>
      <w:r w:rsidRPr="007A5B75">
        <w:rPr>
          <w:lang w:val="en-GB"/>
        </w:rPr>
        <w:t xml:space="preserve"> au 30 </w:t>
      </w:r>
      <w:proofErr w:type="spellStart"/>
      <w:r w:rsidRPr="007A5B75">
        <w:rPr>
          <w:lang w:val="en-GB"/>
        </w:rPr>
        <w:t>juin</w:t>
      </w:r>
      <w:proofErr w:type="spellEnd"/>
      <w:r w:rsidRPr="007A5B75">
        <w:rPr>
          <w:lang w:val="en-GB"/>
        </w:rPr>
        <w:t xml:space="preserve"> 2022) (‘French Intellectual Property Code’), art.137-4(I). Notably, the French legislator has chosen not to explicitly state that parody, </w:t>
      </w:r>
      <w:proofErr w:type="gramStart"/>
      <w:r w:rsidRPr="007A5B75">
        <w:rPr>
          <w:lang w:val="en-GB"/>
        </w:rPr>
        <w:t>caricature</w:t>
      </w:r>
      <w:proofErr w:type="gramEnd"/>
      <w:r w:rsidRPr="007A5B75">
        <w:rPr>
          <w:lang w:val="en-GB"/>
        </w:rPr>
        <w:t xml:space="preserve"> and pastiche are mandatory exceptions, but silently elects to rely on those exceptions already forming part of French law. At minimum, OCSSPs are required to inform users through their terms and conditions that lawful use of works, such as those authorised by exceptions or limitations, are allowed to be uploaded on to OCSSPs. See, Art. L137-4(VI).</w:t>
      </w:r>
    </w:p>
  </w:footnote>
  <w:footnote w:id="104">
    <w:p w14:paraId="3FFE18D3" w14:textId="299E726E" w:rsidR="008742E7" w:rsidRPr="007A5B75" w:rsidRDefault="008742E7" w:rsidP="00444D4E">
      <w:pPr>
        <w:pStyle w:val="FootnoteText"/>
        <w:rPr>
          <w:lang w:val="en-GB"/>
        </w:rPr>
      </w:pPr>
      <w:r w:rsidRPr="007A5B75">
        <w:rPr>
          <w:rStyle w:val="FootnoteReference"/>
          <w:lang w:val="en-GB"/>
        </w:rPr>
        <w:footnoteRef/>
      </w:r>
      <w:r w:rsidRPr="007A5B75">
        <w:rPr>
          <w:lang w:val="en-GB"/>
        </w:rPr>
        <w:t xml:space="preserve"> At minimum, OCSSPs are required to inform users through their terms and conditions that lawful use of works, such as those authorised by exceptions or limitations, are allowed to be uploaded on to OCSSPs.</w:t>
      </w:r>
      <w:r w:rsidRPr="007A5B75">
        <w:rPr>
          <w:lang w:val="en-GB"/>
        </w:rPr>
        <w:footnoteRef/>
      </w:r>
      <w:r w:rsidRPr="007A5B75">
        <w:rPr>
          <w:lang w:val="en-GB"/>
        </w:rPr>
        <w:t xml:space="preserve"> Otherwise, as with the construction of a complaint and redress system</w:t>
      </w:r>
      <w:r w:rsidRPr="007A5B75">
        <w:rPr>
          <w:vertAlign w:val="superscript"/>
          <w:lang w:val="en-GB"/>
        </w:rPr>
        <w:footnoteRef/>
      </w:r>
      <w:r w:rsidRPr="007A5B75">
        <w:rPr>
          <w:lang w:val="en-GB"/>
        </w:rPr>
        <w:t>, OCSSPs are required to fill the gaps left by both the EU Commission, CJEU and French legislator.</w:t>
      </w:r>
      <w:r w:rsidR="004A151E" w:rsidRPr="007A5B75">
        <w:rPr>
          <w:lang w:val="en-GB"/>
        </w:rPr>
        <w:t xml:space="preserve"> Art. L137-4(II)-(VI). The system must, without undue delay, decide whether to block access to uploaded works or to withdraw these works subject to oversight by a natural person.</w:t>
      </w:r>
    </w:p>
  </w:footnote>
  <w:footnote w:id="105">
    <w:p w14:paraId="739C6DC6" w14:textId="72466DB0"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Conseil </w:t>
      </w:r>
      <w:proofErr w:type="spellStart"/>
      <w:r w:rsidRPr="007A5B75">
        <w:rPr>
          <w:lang w:val="en-GB"/>
        </w:rPr>
        <w:t>Supérieur</w:t>
      </w:r>
      <w:proofErr w:type="spellEnd"/>
      <w:r w:rsidRPr="007A5B75">
        <w:rPr>
          <w:lang w:val="en-GB"/>
        </w:rPr>
        <w:t xml:space="preserve"> de la </w:t>
      </w:r>
      <w:proofErr w:type="spellStart"/>
      <w:r w:rsidRPr="007A5B75">
        <w:rPr>
          <w:lang w:val="en-GB"/>
        </w:rPr>
        <w:t>Propriété</w:t>
      </w:r>
      <w:proofErr w:type="spellEnd"/>
      <w:r w:rsidRPr="007A5B75">
        <w:rPr>
          <w:lang w:val="en-GB"/>
        </w:rPr>
        <w:t xml:space="preserve"> </w:t>
      </w:r>
      <w:proofErr w:type="spellStart"/>
      <w:r w:rsidRPr="007A5B75">
        <w:rPr>
          <w:lang w:val="en-GB"/>
        </w:rPr>
        <w:t>Littéraire</w:t>
      </w:r>
      <w:proofErr w:type="spellEnd"/>
      <w:r w:rsidRPr="007A5B75">
        <w:rPr>
          <w:lang w:val="en-GB"/>
        </w:rPr>
        <w:t xml:space="preserve"> et </w:t>
      </w:r>
      <w:proofErr w:type="spellStart"/>
      <w:r w:rsidRPr="007A5B75">
        <w:rPr>
          <w:lang w:val="en-GB"/>
        </w:rPr>
        <w:t>Artistique</w:t>
      </w:r>
      <w:proofErr w:type="spellEnd"/>
      <w:r w:rsidRPr="007A5B75">
        <w:rPr>
          <w:lang w:val="en-GB"/>
        </w:rPr>
        <w:t xml:space="preserve"> (CSPLA), ‘Second Report on Content Recognition Tools on Digital Sharing Platforms’ (29 April 2020)</w:t>
      </w:r>
      <w:hyperlink w:history="1"/>
      <w:r w:rsidRPr="007A5B75">
        <w:rPr>
          <w:lang w:val="en-GB"/>
        </w:rPr>
        <w:t xml:space="preserve">; See, </w:t>
      </w:r>
      <w:proofErr w:type="spellStart"/>
      <w:r w:rsidRPr="007A5B75">
        <w:rPr>
          <w:lang w:val="en-GB"/>
        </w:rPr>
        <w:t>Communia</w:t>
      </w:r>
      <w:proofErr w:type="spellEnd"/>
      <w:r w:rsidRPr="007A5B75">
        <w:rPr>
          <w:lang w:val="en-GB"/>
        </w:rPr>
        <w:t xml:space="preserve"> Association, ‘France once more fails to demonstrate support for its interpretation of Article 17’ (4 February 2021) &lt;</w:t>
      </w:r>
      <w:hyperlink r:id="rId3" w:history="1">
        <w:r w:rsidRPr="007A5B75">
          <w:rPr>
            <w:rStyle w:val="Hyperlink"/>
            <w:lang w:val="en-GB"/>
          </w:rPr>
          <w:t>https://communia-association.org/2021/02/04/france-once-more-fails-to-demonstrate-support-for-its-interpretation-of-article-17/</w:t>
        </w:r>
      </w:hyperlink>
      <w:r w:rsidRPr="007A5B75">
        <w:rPr>
          <w:lang w:val="en-GB"/>
        </w:rPr>
        <w:t xml:space="preserve">&gt; accessed </w:t>
      </w:r>
      <w:r w:rsidR="00106700" w:rsidRPr="007A5B75">
        <w:rPr>
          <w:lang w:val="en-GB"/>
        </w:rPr>
        <w:t>29</w:t>
      </w:r>
      <w:r w:rsidRPr="007A5B75">
        <w:rPr>
          <w:lang w:val="en-GB"/>
        </w:rPr>
        <w:t xml:space="preserve"> January 202</w:t>
      </w:r>
      <w:r w:rsidR="00106700" w:rsidRPr="007A5B75">
        <w:rPr>
          <w:lang w:val="en-GB"/>
        </w:rPr>
        <w:t>4</w:t>
      </w:r>
      <w:r w:rsidRPr="007A5B75">
        <w:rPr>
          <w:lang w:val="en-GB"/>
        </w:rPr>
        <w:t>.</w:t>
      </w:r>
    </w:p>
  </w:footnote>
  <w:footnote w:id="106">
    <w:p w14:paraId="532C3BD7"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w:t>
      </w:r>
    </w:p>
  </w:footnote>
  <w:footnote w:id="107">
    <w:p w14:paraId="63008B22"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Support for the French implementation appears to stem from the notion that France presents itself “as the guardian of the original intent of the directive”.</w:t>
      </w:r>
    </w:p>
  </w:footnote>
  <w:footnote w:id="108">
    <w:p w14:paraId="78645508" w14:textId="711533D9"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w:t>
      </w:r>
      <w:proofErr w:type="spellStart"/>
      <w:r w:rsidR="00FB3592" w:rsidRPr="007A5B75">
        <w:rPr>
          <w:lang w:val="en-GB"/>
        </w:rPr>
        <w:t>Urheberrechts-Diensteanbieter-Gesetz</w:t>
      </w:r>
      <w:proofErr w:type="spellEnd"/>
      <w:r w:rsidR="00FB3592" w:rsidRPr="007A5B75">
        <w:rPr>
          <w:lang w:val="en-GB"/>
        </w:rPr>
        <w:t xml:space="preserve"> </w:t>
      </w:r>
      <w:proofErr w:type="spellStart"/>
      <w:r w:rsidR="00FB3592" w:rsidRPr="007A5B75">
        <w:rPr>
          <w:lang w:val="en-GB"/>
        </w:rPr>
        <w:t>vom</w:t>
      </w:r>
      <w:proofErr w:type="spellEnd"/>
      <w:r w:rsidR="00FB3592" w:rsidRPr="007A5B75">
        <w:rPr>
          <w:lang w:val="en-GB"/>
        </w:rPr>
        <w:t xml:space="preserve"> 31. Mai 2021 (</w:t>
      </w:r>
      <w:proofErr w:type="spellStart"/>
      <w:r w:rsidR="00FB3592" w:rsidRPr="007A5B75">
        <w:rPr>
          <w:lang w:val="en-GB"/>
        </w:rPr>
        <w:t>BGBl</w:t>
      </w:r>
      <w:proofErr w:type="spellEnd"/>
      <w:r w:rsidR="00FB3592" w:rsidRPr="007A5B75">
        <w:rPr>
          <w:lang w:val="en-GB"/>
        </w:rPr>
        <w:t>. I S. 1204, 1215) (Act on the Copyright Liability of Online Content Sharing Service Providers) (‘</w:t>
      </w:r>
      <w:proofErr w:type="spellStart"/>
      <w:r w:rsidR="00FB3592" w:rsidRPr="007A5B75">
        <w:rPr>
          <w:lang w:val="en-GB"/>
        </w:rPr>
        <w:t>UrhDag</w:t>
      </w:r>
      <w:proofErr w:type="spellEnd"/>
      <w:r w:rsidR="00FB3592" w:rsidRPr="007A5B75">
        <w:rPr>
          <w:lang w:val="en-GB"/>
        </w:rPr>
        <w:t>’)</w:t>
      </w:r>
      <w:r w:rsidRPr="007A5B75">
        <w:rPr>
          <w:lang w:val="en-GB"/>
        </w:rPr>
        <w:t>, ss. 4, 5, and 6.</w:t>
      </w:r>
    </w:p>
  </w:footnote>
  <w:footnote w:id="109">
    <w:p w14:paraId="3C1F0C9E"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ss. 9 and 10. </w:t>
      </w:r>
    </w:p>
  </w:footnote>
  <w:footnote w:id="110">
    <w:p w14:paraId="0E33D4DB"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8.</w:t>
      </w:r>
    </w:p>
  </w:footnote>
  <w:footnote w:id="111">
    <w:p w14:paraId="5E2AFB37" w14:textId="7ACC23C2" w:rsidR="00001BC7" w:rsidRPr="00001BC7" w:rsidRDefault="00001BC7">
      <w:pPr>
        <w:pStyle w:val="FootnoteText"/>
        <w:rPr>
          <w:lang w:val="en-GB"/>
        </w:rPr>
      </w:pPr>
      <w:r>
        <w:rPr>
          <w:rStyle w:val="FootnoteReference"/>
        </w:rPr>
        <w:footnoteRef/>
      </w:r>
      <w:r>
        <w:t xml:space="preserve"> </w:t>
      </w:r>
      <w:proofErr w:type="spellStart"/>
      <w:r w:rsidRPr="007A5B75">
        <w:rPr>
          <w:lang w:val="en-GB"/>
        </w:rPr>
        <w:t>UrhDag</w:t>
      </w:r>
      <w:proofErr w:type="spellEnd"/>
      <w:r w:rsidRPr="007A5B75">
        <w:rPr>
          <w:lang w:val="en-GB"/>
        </w:rPr>
        <w:t>, ss. 9 and 14. Regarding UGC, the Act includes a presumption that so long as the upload contains less than half of the original copyright content, which is combined with other content, and uses the works of third parties only to a minor extent, that use is presumably authorised by law (s. 9). A minor use is capped to 15 seconds of audiovisual works, 15 seconds of soundtracks, 160 characters of a text and up to 125 k byte of visual arts files (s. 10) Lastly, they must not serve any commercial purposes or only serve to generate insignificant income.</w:t>
      </w:r>
    </w:p>
  </w:footnote>
  <w:footnote w:id="112">
    <w:p w14:paraId="71AF2B1B" w14:textId="28EF90B8" w:rsidR="00001BC7" w:rsidRPr="00001BC7" w:rsidRDefault="00001BC7">
      <w:pPr>
        <w:pStyle w:val="FootnoteText"/>
        <w:rPr>
          <w:lang w:val="en-GB"/>
        </w:rPr>
      </w:pPr>
      <w:r>
        <w:rPr>
          <w:rStyle w:val="FootnoteReference"/>
        </w:rPr>
        <w:footnoteRef/>
      </w:r>
      <w:r>
        <w:t xml:space="preserve"> </w:t>
      </w:r>
      <w:proofErr w:type="spellStart"/>
      <w:r w:rsidRPr="007A5B75">
        <w:rPr>
          <w:lang w:val="en-GB"/>
        </w:rPr>
        <w:t>UrhDag</w:t>
      </w:r>
      <w:proofErr w:type="spellEnd"/>
      <w:r w:rsidRPr="007A5B75">
        <w:rPr>
          <w:lang w:val="en-GB"/>
        </w:rPr>
        <w:t>, ss. 9(2)(3) &amp; 11(1).</w:t>
      </w:r>
    </w:p>
  </w:footnote>
  <w:footnote w:id="113">
    <w:p w14:paraId="25B0CA8B"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11(2).</w:t>
      </w:r>
    </w:p>
  </w:footnote>
  <w:footnote w:id="114">
    <w:p w14:paraId="0A570F84"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12(2).</w:t>
      </w:r>
    </w:p>
  </w:footnote>
  <w:footnote w:id="115">
    <w:p w14:paraId="48FAE656"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14.</w:t>
      </w:r>
    </w:p>
  </w:footnote>
  <w:footnote w:id="116">
    <w:p w14:paraId="5C635199"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14(3).</w:t>
      </w:r>
    </w:p>
  </w:footnote>
  <w:footnote w:id="117">
    <w:p w14:paraId="693E4B0C"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14(5).</w:t>
      </w:r>
    </w:p>
  </w:footnote>
  <w:footnote w:id="118">
    <w:p w14:paraId="15D1FDDA"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‘Trusted’ rightsholders are said to include “rightsholders with larger and/or premium repertories, qualified personnel, a case history of justified notice and takedown requests”. See, Leistner [n 581] 917.</w:t>
      </w:r>
    </w:p>
  </w:footnote>
  <w:footnote w:id="119">
    <w:p w14:paraId="34045CA7"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UrhDag</w:t>
      </w:r>
      <w:proofErr w:type="spellEnd"/>
      <w:r w:rsidRPr="007A5B75">
        <w:rPr>
          <w:lang w:val="en-GB"/>
        </w:rPr>
        <w:t>, s. 14(4).</w:t>
      </w:r>
    </w:p>
  </w:footnote>
  <w:footnote w:id="120">
    <w:p w14:paraId="26633EF2"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s. 7(2).</w:t>
      </w:r>
    </w:p>
  </w:footnote>
  <w:footnote w:id="121">
    <w:p w14:paraId="4872A04E"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UrhDag</w:t>
      </w:r>
      <w:proofErr w:type="spellEnd"/>
      <w:r w:rsidRPr="007A5B75">
        <w:rPr>
          <w:lang w:val="en-GB"/>
        </w:rPr>
        <w:t>, s. 18.</w:t>
      </w:r>
    </w:p>
  </w:footnote>
  <w:footnote w:id="122">
    <w:p w14:paraId="041F6F3F" w14:textId="77777777" w:rsidR="00B014C7" w:rsidRPr="00B014C7" w:rsidRDefault="00482B20" w:rsidP="00B014C7">
      <w:pPr>
        <w:pStyle w:val="FootnoteText"/>
        <w:rPr>
          <w:lang w:val="en-GB"/>
        </w:rPr>
      </w:pPr>
      <w:r w:rsidRPr="007A5B75">
        <w:rPr>
          <w:rStyle w:val="FootnoteReference"/>
          <w:lang w:val="en-GB"/>
        </w:rPr>
        <w:footnoteRef/>
      </w:r>
      <w:r w:rsidRPr="007A5B75">
        <w:rPr>
          <w:lang w:val="en-GB"/>
        </w:rPr>
        <w:t xml:space="preserve"> </w:t>
      </w:r>
      <w:r w:rsidR="00B014C7" w:rsidRPr="00B014C7">
        <w:rPr>
          <w:lang w:val="en-GB"/>
        </w:rPr>
        <w:t xml:space="preserve">Mattias Leistner, ‘The Implementation </w:t>
      </w:r>
    </w:p>
    <w:p w14:paraId="44FB82AD" w14:textId="77777777" w:rsidR="00B014C7" w:rsidRPr="00B014C7" w:rsidRDefault="00B014C7" w:rsidP="00B014C7">
      <w:pPr>
        <w:pStyle w:val="FootnoteText"/>
        <w:rPr>
          <w:lang w:val="en-GB"/>
        </w:rPr>
      </w:pPr>
      <w:r w:rsidRPr="00B014C7">
        <w:rPr>
          <w:lang w:val="en-GB"/>
        </w:rPr>
        <w:t xml:space="preserve">of Art. 17 DSM Directive in Germany – A Primer with Some Comparative Remarks’ (2022) 71 GRUR </w:t>
      </w:r>
    </w:p>
    <w:p w14:paraId="707CBABB" w14:textId="54018709" w:rsidR="00482B20" w:rsidRPr="007A5B75" w:rsidRDefault="00B014C7" w:rsidP="00B014C7">
      <w:pPr>
        <w:pStyle w:val="FootnoteText"/>
        <w:rPr>
          <w:lang w:val="en-GB"/>
        </w:rPr>
      </w:pPr>
      <w:r w:rsidRPr="00B014C7">
        <w:rPr>
          <w:lang w:val="en-GB"/>
        </w:rPr>
        <w:t>International 909</w:t>
      </w:r>
      <w:r>
        <w:rPr>
          <w:lang w:val="en-GB"/>
        </w:rPr>
        <w:t>,</w:t>
      </w:r>
      <w:r w:rsidR="00482B20" w:rsidRPr="007A5B75">
        <w:rPr>
          <w:lang w:val="en-GB"/>
        </w:rPr>
        <w:t xml:space="preserve"> 915.</w:t>
      </w:r>
    </w:p>
  </w:footnote>
  <w:footnote w:id="123">
    <w:p w14:paraId="7C14956F"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UrhDag</w:t>
      </w:r>
      <w:proofErr w:type="spellEnd"/>
      <w:r w:rsidRPr="007A5B75">
        <w:rPr>
          <w:lang w:val="en-GB"/>
        </w:rPr>
        <w:t>, ss. 5(2) &amp; 12(1).</w:t>
      </w:r>
    </w:p>
  </w:footnote>
  <w:footnote w:id="124">
    <w:p w14:paraId="3CB5CD1E" w14:textId="2E2E50D2"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Leistner [n </w:t>
      </w:r>
      <w:r w:rsidR="00B014C7">
        <w:rPr>
          <w:lang w:val="en-GB"/>
        </w:rPr>
        <w:t>122</w:t>
      </w:r>
      <w:r w:rsidRPr="007A5B75">
        <w:rPr>
          <w:lang w:val="en-GB"/>
        </w:rPr>
        <w:t>] 920.</w:t>
      </w:r>
    </w:p>
  </w:footnote>
  <w:footnote w:id="125">
    <w:p w14:paraId="258AD33D"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w:t>
      </w:r>
    </w:p>
  </w:footnote>
  <w:footnote w:id="126">
    <w:p w14:paraId="59D68EBF"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w:t>
      </w:r>
    </w:p>
  </w:footnote>
  <w:footnote w:id="127">
    <w:p w14:paraId="07524443" w14:textId="7AA73EA6" w:rsidR="008E38DA" w:rsidRPr="007A5B75" w:rsidRDefault="008E38DA" w:rsidP="00540956">
      <w:pPr>
        <w:pStyle w:val="FootnoteText"/>
        <w:rPr>
          <w:lang w:val="en-GB"/>
        </w:rPr>
      </w:pPr>
      <w:r w:rsidRPr="007A5B75">
        <w:rPr>
          <w:rStyle w:val="FootnoteReference"/>
          <w:lang w:val="en-GB"/>
        </w:rPr>
        <w:footnoteRef/>
      </w:r>
      <w:r w:rsidRPr="007A5B75">
        <w:rPr>
          <w:lang w:val="en-GB"/>
        </w:rPr>
        <w:t xml:space="preserve"> Christina Angelopoulos and João Pedro Quintais, ‘Fixing Copyright Reform: A Better Solution to Online Infringement’ (2019) 10 JIPITEC 147, 162 at [66]; </w:t>
      </w:r>
      <w:r w:rsidR="00540956" w:rsidRPr="007A5B75">
        <w:rPr>
          <w:lang w:val="en-GB"/>
        </w:rPr>
        <w:t xml:space="preserve">Martin </w:t>
      </w:r>
      <w:proofErr w:type="spellStart"/>
      <w:r w:rsidR="00540956" w:rsidRPr="007A5B75">
        <w:rPr>
          <w:lang w:val="en-GB"/>
        </w:rPr>
        <w:t>Husovec</w:t>
      </w:r>
      <w:proofErr w:type="spellEnd"/>
      <w:r w:rsidR="00540956" w:rsidRPr="007A5B75">
        <w:rPr>
          <w:lang w:val="en-GB"/>
        </w:rPr>
        <w:t xml:space="preserve"> and Joao Pedro Quintais, ‘Too Small to Matter? On the Copyright Directive’s bias in favour of big right-holders’ in Tuomas </w:t>
      </w:r>
      <w:proofErr w:type="spellStart"/>
      <w:r w:rsidR="00540956" w:rsidRPr="007A5B75">
        <w:rPr>
          <w:lang w:val="en-GB"/>
        </w:rPr>
        <w:t>Mylly</w:t>
      </w:r>
      <w:proofErr w:type="spellEnd"/>
      <w:r w:rsidR="00540956" w:rsidRPr="007A5B75">
        <w:rPr>
          <w:lang w:val="en-GB"/>
        </w:rPr>
        <w:t xml:space="preserve"> and Jonathan Griffiths (eds) Global Intellectual Property Protection and New Constitutionalism: Hedging Exclusive rights (OUP 2021) p.</w:t>
      </w:r>
      <w:r w:rsidRPr="007A5B75">
        <w:rPr>
          <w:lang w:val="en-GB"/>
        </w:rPr>
        <w:t xml:space="preserve"> 27. Both suggest that art. 17 should be implemented using statutory licensing and mandatory collective management schemes.</w:t>
      </w:r>
    </w:p>
  </w:footnote>
  <w:footnote w:id="128">
    <w:p w14:paraId="7A117AE1" w14:textId="77777777" w:rsidR="008E38DA" w:rsidRPr="007A5B75" w:rsidRDefault="008E38DA" w:rsidP="00444D4E">
      <w:pPr>
        <w:pStyle w:val="FootnoteText"/>
        <w:rPr>
          <w:lang w:val="en-GB"/>
        </w:rPr>
      </w:pPr>
      <w:r w:rsidRPr="007A5B75">
        <w:rPr>
          <w:rStyle w:val="FootnoteReference"/>
          <w:lang w:val="en-GB"/>
        </w:rPr>
        <w:footnoteRef/>
      </w:r>
      <w:r w:rsidRPr="007A5B75">
        <w:rPr>
          <w:lang w:val="en-GB"/>
        </w:rPr>
        <w:t xml:space="preserve"> </w:t>
      </w:r>
      <w:proofErr w:type="spellStart"/>
      <w:r w:rsidRPr="007A5B75">
        <w:rPr>
          <w:lang w:val="en-GB"/>
        </w:rPr>
        <w:t>UhrDaG</w:t>
      </w:r>
      <w:proofErr w:type="spellEnd"/>
      <w:r w:rsidRPr="007A5B75">
        <w:rPr>
          <w:lang w:val="en-GB"/>
        </w:rPr>
        <w:t>, s. 5(3).</w:t>
      </w:r>
    </w:p>
  </w:footnote>
  <w:footnote w:id="129">
    <w:p w14:paraId="0BA400F4" w14:textId="79B91BF2" w:rsidR="008E38DA" w:rsidRPr="007A5B75" w:rsidRDefault="008E38DA" w:rsidP="00444D4E">
      <w:pPr>
        <w:pStyle w:val="FootnoteText"/>
        <w:rPr>
          <w:lang w:val="en-GB"/>
        </w:rPr>
      </w:pPr>
      <w:r w:rsidRPr="007A5B75">
        <w:rPr>
          <w:rStyle w:val="FootnoteReference"/>
          <w:lang w:val="en-GB"/>
        </w:rPr>
        <w:footnoteRef/>
      </w:r>
      <w:r w:rsidRPr="007A5B75">
        <w:rPr>
          <w:lang w:val="en-GB"/>
        </w:rPr>
        <w:t xml:space="preserve"> DSM Directive, arts, 18-23.</w:t>
      </w:r>
      <w:r w:rsidR="003548B2">
        <w:rPr>
          <w:lang w:val="en-GB"/>
        </w:rPr>
        <w:t xml:space="preserve"> </w:t>
      </w:r>
      <w:r w:rsidR="003548B2" w:rsidRPr="00F40F8F">
        <w:rPr>
          <w:lang w:val="en-GB"/>
        </w:rPr>
        <w:t>Member states are “free to use different mechanisms and take into account the principle of contractual freedom and a fair balance of rights and interests” when implementing this principle</w:t>
      </w:r>
      <w:r w:rsidR="003548B2">
        <w:rPr>
          <w:lang w:val="en-GB"/>
        </w:rPr>
        <w:t>.</w:t>
      </w:r>
    </w:p>
  </w:footnote>
  <w:footnote w:id="130">
    <w:p w14:paraId="445A271C" w14:textId="512BD7F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w:t>
      </w:r>
      <w:r w:rsidR="00FB0EE4" w:rsidRPr="007A5B75">
        <w:rPr>
          <w:lang w:val="en-GB"/>
        </w:rPr>
        <w:t xml:space="preserve">Regulation (EU) 2022/2065 of the European Parliament and of the Council of 19 October 2022 on a Single Market </w:t>
      </w:r>
      <w:proofErr w:type="gramStart"/>
      <w:r w:rsidR="00FB0EE4" w:rsidRPr="007A5B75">
        <w:rPr>
          <w:lang w:val="en-GB"/>
        </w:rPr>
        <w:t>For</w:t>
      </w:r>
      <w:proofErr w:type="gramEnd"/>
      <w:r w:rsidR="00FB0EE4" w:rsidRPr="007A5B75">
        <w:rPr>
          <w:lang w:val="en-GB"/>
        </w:rPr>
        <w:t xml:space="preserve"> Digital Services and amending Directive 2000/31/EC (D</w:t>
      </w:r>
      <w:r w:rsidR="004E1A81" w:rsidRPr="007A5B75">
        <w:rPr>
          <w:lang w:val="en-GB"/>
        </w:rPr>
        <w:t>SA)</w:t>
      </w:r>
      <w:r w:rsidRPr="007A5B75">
        <w:rPr>
          <w:lang w:val="en-GB"/>
        </w:rPr>
        <w:t>, arts. 15 &amp; 16.</w:t>
      </w:r>
    </w:p>
  </w:footnote>
  <w:footnote w:id="131">
    <w:p w14:paraId="519B2DDE"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17.</w:t>
      </w:r>
    </w:p>
  </w:footnote>
  <w:footnote w:id="132">
    <w:p w14:paraId="493B8F8A"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22.</w:t>
      </w:r>
    </w:p>
  </w:footnote>
  <w:footnote w:id="133">
    <w:p w14:paraId="0CFE7E92"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23.</w:t>
      </w:r>
    </w:p>
  </w:footnote>
  <w:footnote w:id="134">
    <w:p w14:paraId="1A4A6DED"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33.</w:t>
      </w:r>
    </w:p>
  </w:footnote>
  <w:footnote w:id="135">
    <w:p w14:paraId="3467CA21"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21.</w:t>
      </w:r>
    </w:p>
  </w:footnote>
  <w:footnote w:id="136">
    <w:p w14:paraId="0CC23433" w14:textId="77777777" w:rsidR="00482B20" w:rsidRPr="007A5B75" w:rsidRDefault="00482B20" w:rsidP="00444D4E">
      <w:pPr>
        <w:pStyle w:val="FootnoteText"/>
        <w:rPr>
          <w:lang w:val="en-GB"/>
        </w:rPr>
      </w:pPr>
      <w:r w:rsidRPr="007A5B75">
        <w:rPr>
          <w:rStyle w:val="FootnoteReference"/>
          <w:lang w:val="en-GB"/>
        </w:rPr>
        <w:footnoteRef/>
      </w:r>
      <w:r w:rsidRPr="007A5B75">
        <w:rPr>
          <w:lang w:val="en-GB"/>
        </w:rPr>
        <w:t xml:space="preserve"> Ibid, art. 61.</w:t>
      </w:r>
    </w:p>
  </w:footnote>
  <w:footnote w:id="137">
    <w:p w14:paraId="78D7A240" w14:textId="54A7D45C" w:rsidR="009E062A" w:rsidRPr="007A5B75" w:rsidRDefault="009E062A" w:rsidP="00444D4E">
      <w:pPr>
        <w:pStyle w:val="FootnoteText"/>
        <w:rPr>
          <w:lang w:val="en-GB"/>
        </w:rPr>
      </w:pPr>
      <w:r w:rsidRPr="007A5B75">
        <w:rPr>
          <w:rStyle w:val="FootnoteReference"/>
          <w:lang w:val="en-GB"/>
        </w:rPr>
        <w:footnoteRef/>
      </w:r>
      <w:r w:rsidRPr="007A5B75">
        <w:rPr>
          <w:lang w:val="en-GB"/>
        </w:rPr>
        <w:t xml:space="preserve"> </w:t>
      </w:r>
      <w:r w:rsidR="004E1A81" w:rsidRPr="007A5B75">
        <w:rPr>
          <w:lang w:val="en-GB"/>
        </w:rPr>
        <w:t>DSA, a</w:t>
      </w:r>
      <w:r w:rsidR="0013747B" w:rsidRPr="007A5B75">
        <w:rPr>
          <w:lang w:val="en-GB"/>
        </w:rPr>
        <w:t>rt. 14</w:t>
      </w:r>
      <w:r w:rsidR="004E1A81" w:rsidRPr="007A5B75">
        <w:rPr>
          <w:lang w:val="en-GB"/>
        </w:rPr>
        <w:t xml:space="preserve">; </w:t>
      </w:r>
      <w:r w:rsidR="00E72232" w:rsidRPr="007A5B75">
        <w:rPr>
          <w:lang w:val="en-GB"/>
        </w:rPr>
        <w:t xml:space="preserve">Joris van Hoboken, </w:t>
      </w:r>
      <w:r w:rsidR="00975A98" w:rsidRPr="007A5B75">
        <w:rPr>
          <w:lang w:val="en-GB"/>
        </w:rPr>
        <w:t xml:space="preserve">João Pedro Quintais, Naomi Appelman, Ronan Fahy, Ilaria Buri &amp; Marlene Straub (eds) </w:t>
      </w:r>
      <w:r w:rsidR="00975A98" w:rsidRPr="007A5B75">
        <w:rPr>
          <w:i/>
          <w:iCs/>
          <w:lang w:val="en-GB"/>
        </w:rPr>
        <w:t xml:space="preserve">Putting the DSA into Practice </w:t>
      </w:r>
      <w:r w:rsidR="00975A98" w:rsidRPr="007A5B75">
        <w:rPr>
          <w:lang w:val="en-GB"/>
        </w:rPr>
        <w:t>(</w:t>
      </w:r>
      <w:proofErr w:type="spellStart"/>
      <w:r w:rsidR="00975A98" w:rsidRPr="007A5B75">
        <w:rPr>
          <w:lang w:val="en-GB"/>
        </w:rPr>
        <w:t>Verfassungsbooks</w:t>
      </w:r>
      <w:proofErr w:type="spellEnd"/>
      <w:r w:rsidR="00975A98" w:rsidRPr="007A5B75">
        <w:rPr>
          <w:lang w:val="en-GB"/>
        </w:rPr>
        <w:t xml:space="preserve"> 2023)</w:t>
      </w:r>
      <w:r w:rsidR="00112068">
        <w:rPr>
          <w:lang w:val="en-GB"/>
        </w:rPr>
        <w:t xml:space="preserve">; </w:t>
      </w:r>
      <w:r w:rsidR="00112068" w:rsidRPr="007A5B75">
        <w:rPr>
          <w:lang w:val="en-GB"/>
        </w:rPr>
        <w:t xml:space="preserve">João Pedro Quintais, Naomi Appelman, Ronan Ó </w:t>
      </w:r>
      <w:proofErr w:type="spellStart"/>
      <w:r w:rsidR="00112068" w:rsidRPr="007A5B75">
        <w:rPr>
          <w:lang w:val="en-GB"/>
        </w:rPr>
        <w:t>Fathaigh</w:t>
      </w:r>
      <w:proofErr w:type="spellEnd"/>
      <w:r w:rsidR="00112068" w:rsidRPr="007A5B75">
        <w:rPr>
          <w:lang w:val="en-GB"/>
        </w:rPr>
        <w:t>, ‘Using Terms and Conditions to apply Fundamental Rights to Content Moderation’ (2023) 24 German Law Journal 881.</w:t>
      </w:r>
    </w:p>
  </w:footnote>
  <w:footnote w:id="138">
    <w:p w14:paraId="61B1939A" w14:textId="77777777" w:rsidR="008A7FB2" w:rsidRPr="00112068" w:rsidRDefault="008A7FB2" w:rsidP="008A7FB2">
      <w:pPr>
        <w:pStyle w:val="FootnoteText"/>
        <w:rPr>
          <w:lang w:val="en-GB"/>
        </w:rPr>
      </w:pPr>
      <w:r>
        <w:rPr>
          <w:rStyle w:val="FootnoteReference"/>
        </w:rPr>
        <w:footnoteRef/>
      </w:r>
      <w:r>
        <w:t xml:space="preserve"> </w:t>
      </w:r>
      <w:r>
        <w:rPr>
          <w:lang w:val="en-GB"/>
        </w:rPr>
        <w:t xml:space="preserve">Martin </w:t>
      </w:r>
      <w:r>
        <w:t xml:space="preserve">Müller and Matthias C. </w:t>
      </w:r>
      <w:proofErr w:type="spellStart"/>
      <w:r>
        <w:t>Kettemann</w:t>
      </w:r>
      <w:proofErr w:type="spellEnd"/>
      <w:r>
        <w:t xml:space="preserve">, ‘European Approaches to Regulation of Digital Technologies’ in </w:t>
      </w:r>
      <w:r>
        <w:rPr>
          <w:lang w:val="en-GB"/>
        </w:rPr>
        <w:t xml:space="preserve">Hannes </w:t>
      </w:r>
      <w:proofErr w:type="spellStart"/>
      <w:r>
        <w:rPr>
          <w:lang w:val="en-GB"/>
        </w:rPr>
        <w:t>Werthner</w:t>
      </w:r>
      <w:proofErr w:type="spellEnd"/>
      <w:r>
        <w:rPr>
          <w:lang w:val="en-GB"/>
        </w:rPr>
        <w:t xml:space="preserve"> and </w:t>
      </w:r>
      <w:r>
        <w:rPr>
          <w:i/>
          <w:iCs/>
          <w:lang w:val="en-GB"/>
        </w:rPr>
        <w:t xml:space="preserve">et al </w:t>
      </w:r>
      <w:r>
        <w:rPr>
          <w:lang w:val="en-GB"/>
        </w:rPr>
        <w:t xml:space="preserve">(eds) </w:t>
      </w:r>
      <w:r>
        <w:rPr>
          <w:i/>
          <w:iCs/>
          <w:lang w:val="en-GB"/>
        </w:rPr>
        <w:t xml:space="preserve">Introduction to Digital Humanism </w:t>
      </w:r>
      <w:r>
        <w:rPr>
          <w:lang w:val="en-GB"/>
        </w:rPr>
        <w:t>(Springer 2024) p. 632.</w:t>
      </w:r>
    </w:p>
  </w:footnote>
  <w:footnote w:id="139">
    <w:p w14:paraId="091E604A" w14:textId="0EBAAB1A" w:rsidR="00506362" w:rsidRPr="00506362" w:rsidRDefault="00506362">
      <w:pPr>
        <w:pStyle w:val="FootnoteText"/>
        <w:rPr>
          <w:i/>
          <w:iCs/>
          <w:lang w:val="en-GB"/>
        </w:rPr>
      </w:pPr>
      <w:r>
        <w:rPr>
          <w:rStyle w:val="FootnoteReference"/>
        </w:rPr>
        <w:footnoteRef/>
      </w:r>
      <w:r>
        <w:t xml:space="preserve"> </w:t>
      </w:r>
      <w:proofErr w:type="spellStart"/>
      <w:r>
        <w:rPr>
          <w:lang w:val="en-GB"/>
        </w:rPr>
        <w:t>Sunimal</w:t>
      </w:r>
      <w:proofErr w:type="spellEnd"/>
      <w:r>
        <w:rPr>
          <w:lang w:val="en-GB"/>
        </w:rPr>
        <w:t xml:space="preserve"> Mendis, ‘Copyright Enforcement on Social Media Platforms: Implications for Freedom of Expression in the Digital Public Sphere’ in Hannes </w:t>
      </w:r>
      <w:proofErr w:type="spellStart"/>
      <w:r>
        <w:rPr>
          <w:lang w:val="en-GB"/>
        </w:rPr>
        <w:t>Werthner</w:t>
      </w:r>
      <w:proofErr w:type="spellEnd"/>
      <w:r>
        <w:rPr>
          <w:lang w:val="en-GB"/>
        </w:rPr>
        <w:t xml:space="preserve"> and </w:t>
      </w:r>
      <w:r>
        <w:rPr>
          <w:i/>
          <w:iCs/>
          <w:lang w:val="en-GB"/>
        </w:rPr>
        <w:t xml:space="preserve">et al </w:t>
      </w:r>
      <w:r>
        <w:rPr>
          <w:lang w:val="en-GB"/>
        </w:rPr>
        <w:t xml:space="preserve">(eds) </w:t>
      </w:r>
      <w:r>
        <w:rPr>
          <w:i/>
          <w:iCs/>
          <w:lang w:val="en-GB"/>
        </w:rPr>
        <w:t xml:space="preserve">Introduction to Digital Humanism </w:t>
      </w:r>
      <w:r>
        <w:rPr>
          <w:lang w:val="en-GB"/>
        </w:rPr>
        <w:t>(Springer 20</w:t>
      </w:r>
      <w:r w:rsidR="00112068">
        <w:rPr>
          <w:lang w:val="en-GB"/>
        </w:rPr>
        <w:t>24</w:t>
      </w:r>
      <w:r>
        <w:rPr>
          <w:lang w:val="en-GB"/>
        </w:rPr>
        <w:t xml:space="preserve">) p. </w:t>
      </w:r>
      <w:r w:rsidRPr="00506362">
        <w:rPr>
          <w:lang w:val="en-GB"/>
        </w:rPr>
        <w:t>474</w:t>
      </w:r>
      <w:r>
        <w:rPr>
          <w:lang w:val="en-GB"/>
        </w:rPr>
        <w:t xml:space="preserve">; </w:t>
      </w:r>
      <w:proofErr w:type="spellStart"/>
      <w:r>
        <w:rPr>
          <w:lang w:val="en-GB"/>
        </w:rPr>
        <w:t>Sunimal</w:t>
      </w:r>
      <w:proofErr w:type="spellEnd"/>
      <w:r>
        <w:rPr>
          <w:lang w:val="en-GB"/>
        </w:rPr>
        <w:t xml:space="preserve"> Mendis, ‘The Magic Bullet That Isn’t’ (</w:t>
      </w:r>
      <w:proofErr w:type="spellStart"/>
      <w:r>
        <w:rPr>
          <w:lang w:val="en-GB"/>
        </w:rPr>
        <w:t>Verfassungsblog</w:t>
      </w:r>
      <w:proofErr w:type="spellEnd"/>
      <w:r>
        <w:rPr>
          <w:lang w:val="en-GB"/>
        </w:rPr>
        <w:t xml:space="preserve"> on Matters Constitutional, 18 May 2023) &lt;</w:t>
      </w:r>
      <w:r w:rsidRPr="00506362">
        <w:t xml:space="preserve"> </w:t>
      </w:r>
      <w:r w:rsidRPr="00506362">
        <w:rPr>
          <w:lang w:val="en-GB"/>
        </w:rPr>
        <w:t xml:space="preserve">https://verfassungsblog.de/no-magic-bullet/ </w:t>
      </w:r>
      <w:r>
        <w:rPr>
          <w:lang w:val="en-GB"/>
        </w:rPr>
        <w:t>&gt; accessed 30 January 2024.</w:t>
      </w:r>
    </w:p>
  </w:footnote>
  <w:footnote w:id="140">
    <w:p w14:paraId="4A57FB5D" w14:textId="6AFED8FE" w:rsidR="00C81156" w:rsidRPr="00FA6876" w:rsidRDefault="00C81156">
      <w:pPr>
        <w:pStyle w:val="FootnoteText"/>
        <w:rPr>
          <w:lang w:val="en-GB"/>
        </w:rPr>
      </w:pPr>
      <w:r>
        <w:rPr>
          <w:rStyle w:val="FootnoteReference"/>
        </w:rPr>
        <w:footnoteRef/>
      </w:r>
      <w:r>
        <w:t xml:space="preserve"> </w:t>
      </w:r>
      <w:r>
        <w:rPr>
          <w:lang w:val="en-GB"/>
        </w:rPr>
        <w:t>Such an approach mirrors a turning point within the literature regarding platform liability, as commentar</w:t>
      </w:r>
      <w:r w:rsidR="00FA6876">
        <w:rPr>
          <w:lang w:val="en-GB"/>
        </w:rPr>
        <w:t xml:space="preserve">y strengthens calls for “legal, societal, </w:t>
      </w:r>
      <w:proofErr w:type="gramStart"/>
      <w:r w:rsidR="00FA6876">
        <w:rPr>
          <w:lang w:val="en-GB"/>
        </w:rPr>
        <w:t>political</w:t>
      </w:r>
      <w:proofErr w:type="gramEnd"/>
      <w:r w:rsidR="00FA6876">
        <w:rPr>
          <w:lang w:val="en-GB"/>
        </w:rPr>
        <w:t xml:space="preserve"> and even moral “responsibility” of online platforms”. See, Quintais, Appelman and </w:t>
      </w:r>
      <w:r w:rsidR="00FA6876" w:rsidRPr="007A5B75">
        <w:rPr>
          <w:lang w:val="en-GB"/>
        </w:rPr>
        <w:t xml:space="preserve">Ó </w:t>
      </w:r>
      <w:proofErr w:type="spellStart"/>
      <w:r w:rsidR="00FA6876" w:rsidRPr="007A5B75">
        <w:rPr>
          <w:lang w:val="en-GB"/>
        </w:rPr>
        <w:t>Fathaigh</w:t>
      </w:r>
      <w:proofErr w:type="spellEnd"/>
      <w:r w:rsidR="00FA6876">
        <w:rPr>
          <w:lang w:val="en-GB"/>
        </w:rPr>
        <w:t xml:space="preserve"> [n 136] 887; Giancarlo </w:t>
      </w:r>
      <w:proofErr w:type="spellStart"/>
      <w:r w:rsidR="00FA6876">
        <w:rPr>
          <w:lang w:val="en-GB"/>
        </w:rPr>
        <w:t>Frosio</w:t>
      </w:r>
      <w:proofErr w:type="spellEnd"/>
      <w:r w:rsidR="00FA6876">
        <w:rPr>
          <w:lang w:val="en-GB"/>
        </w:rPr>
        <w:t xml:space="preserve"> &amp; Martin </w:t>
      </w:r>
      <w:proofErr w:type="spellStart"/>
      <w:r w:rsidR="00FA6876">
        <w:rPr>
          <w:lang w:val="en-GB"/>
        </w:rPr>
        <w:t>Husovec</w:t>
      </w:r>
      <w:proofErr w:type="spellEnd"/>
      <w:r w:rsidR="00FA6876">
        <w:rPr>
          <w:lang w:val="en-GB"/>
        </w:rPr>
        <w:t xml:space="preserve">, ‘Accountability and Responsibility of Online Intermediaries; in Giancarlo </w:t>
      </w:r>
      <w:proofErr w:type="spellStart"/>
      <w:r w:rsidR="00FA6876">
        <w:rPr>
          <w:lang w:val="en-GB"/>
        </w:rPr>
        <w:t>Frosio</w:t>
      </w:r>
      <w:proofErr w:type="spellEnd"/>
      <w:r w:rsidR="00FA6876">
        <w:rPr>
          <w:lang w:val="en-GB"/>
        </w:rPr>
        <w:t xml:space="preserve"> (ed.) </w:t>
      </w:r>
      <w:r w:rsidR="00FA6876">
        <w:rPr>
          <w:i/>
          <w:iCs/>
          <w:lang w:val="en-GB"/>
        </w:rPr>
        <w:t xml:space="preserve">The Oxford Handbook of Online Intermediary Liability </w:t>
      </w:r>
      <w:r w:rsidR="00FA6876">
        <w:rPr>
          <w:lang w:val="en-GB"/>
        </w:rPr>
        <w:t>(OUP 2019).</w:t>
      </w:r>
    </w:p>
  </w:footnote>
  <w:footnote w:id="141">
    <w:p w14:paraId="5A6BE556" w14:textId="0036EF34" w:rsidR="00555637" w:rsidRPr="00555637" w:rsidRDefault="00555637">
      <w:pPr>
        <w:pStyle w:val="FootnoteText"/>
        <w:rPr>
          <w:lang w:val="en-GB"/>
        </w:rPr>
      </w:pPr>
      <w:r>
        <w:rPr>
          <w:rStyle w:val="FootnoteReference"/>
        </w:rPr>
        <w:footnoteRef/>
      </w:r>
      <w:r>
        <w:t xml:space="preserve"> Arguably a substitution theory approach discussed in Part A would be more inclusive of all forms of creativity not those specifically outlined as exceptions.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79682"/>
      <w:docPartObj>
        <w:docPartGallery w:val="Page Numbers (Top of Page)"/>
        <w:docPartUnique/>
      </w:docPartObj>
    </w:sdtPr>
    <w:sdtEndPr>
      <w:rPr>
        <w:rFonts w:ascii="Times New Roman" w:hAnsi="Times New Roman" w:cs="Times New Roman"/>
        <w:sz w:val="20"/>
        <w:szCs w:val="20"/>
      </w:rPr>
    </w:sdtEndPr>
    <w:sdtContent>
      <w:p w14:paraId="0A4F4959" w14:textId="73058C78" w:rsidR="00CE5DB3" w:rsidRDefault="00CE5DB3" w:rsidP="00CE5DB3">
        <w:pPr>
          <w:pStyle w:val="Header"/>
          <w:jc w:val="center"/>
        </w:pPr>
        <w:r>
          <w:t>Author Accepted Manuscript</w:t>
        </w:r>
      </w:p>
      <w:p w14:paraId="7FF63943" w14:textId="12E22FC5" w:rsidR="00CE5DB3" w:rsidRDefault="00CE5DB3" w:rsidP="00CE5DB3">
        <w:pPr>
          <w:pStyle w:val="Header"/>
          <w:jc w:val="center"/>
        </w:pPr>
        <w:r>
          <w:t>Zeitschrift für geistiges Eigentum (ZGE)</w:t>
        </w:r>
      </w:p>
      <w:p w14:paraId="6A3A9ADD" w14:textId="23FFBF8B" w:rsidR="00BD301E" w:rsidRPr="00BD301E" w:rsidRDefault="00CE5DB3" w:rsidP="00CE5DB3">
        <w:pPr>
          <w:pStyle w:val="Header"/>
          <w:jc w:val="center"/>
          <w:rPr>
            <w:rFonts w:ascii="Times New Roman" w:hAnsi="Times New Roman" w:cs="Times New Roman"/>
            <w:sz w:val="20"/>
            <w:szCs w:val="20"/>
          </w:rPr>
        </w:pPr>
        <w:r>
          <w:t>Intellectual Property Journal (IPJ)</w:t>
        </w:r>
      </w:p>
    </w:sdtContent>
  </w:sdt>
  <w:p w14:paraId="59FF694D" w14:textId="77777777" w:rsidR="00BD301E" w:rsidRDefault="00BD301E" w:rsidP="00CE5D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6B8B" w14:textId="77777777" w:rsidR="00CE5DB3" w:rsidRDefault="004B5533" w:rsidP="00CE5DB3">
    <w:pPr>
      <w:pStyle w:val="Header"/>
      <w:jc w:val="center"/>
    </w:pPr>
    <w:r>
      <w:t>Author accepted manuscript</w:t>
    </w:r>
    <w:r w:rsidR="00CE5DB3">
      <w:t xml:space="preserve"> - </w:t>
    </w:r>
    <w:r w:rsidR="00CE5DB3">
      <w:t>Zeitschrift für geistiges Eigentum (ZGE)</w:t>
    </w:r>
  </w:p>
  <w:p w14:paraId="5736C03C" w14:textId="64DC799B" w:rsidR="004B5533" w:rsidRDefault="00CE5DB3" w:rsidP="00CE5DB3">
    <w:pPr>
      <w:pStyle w:val="Header"/>
      <w:jc w:val="center"/>
    </w:pPr>
    <w:r>
      <w:t>Intellectual Property Journal (IPJ)</w:t>
    </w:r>
    <w:r>
      <w:t xml:space="preserve">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88E"/>
    <w:multiLevelType w:val="hybridMultilevel"/>
    <w:tmpl w:val="19C86082"/>
    <w:lvl w:ilvl="0" w:tplc="EB78F436">
      <w:start w:val="1"/>
      <w:numFmt w:val="decimal"/>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446792"/>
    <w:multiLevelType w:val="hybridMultilevel"/>
    <w:tmpl w:val="D750B458"/>
    <w:lvl w:ilvl="0" w:tplc="69182236">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53C7926"/>
    <w:multiLevelType w:val="hybridMultilevel"/>
    <w:tmpl w:val="4FF0118E"/>
    <w:lvl w:ilvl="0" w:tplc="A93ABCD6">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7A4C54"/>
    <w:multiLevelType w:val="hybridMultilevel"/>
    <w:tmpl w:val="D38C5F2E"/>
    <w:lvl w:ilvl="0" w:tplc="C1E64528">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032973"/>
    <w:multiLevelType w:val="hybridMultilevel"/>
    <w:tmpl w:val="6EF66100"/>
    <w:lvl w:ilvl="0" w:tplc="C2105222">
      <w:start w:val="1"/>
      <w:numFmt w:val="upperRoman"/>
      <w:pStyle w:val="Heading2"/>
      <w:lvlText w:val="%1."/>
      <w:lvlJc w:val="left"/>
      <w:pPr>
        <w:ind w:left="720" w:hanging="72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6E209FC"/>
    <w:multiLevelType w:val="hybridMultilevel"/>
    <w:tmpl w:val="400690EC"/>
    <w:lvl w:ilvl="0" w:tplc="3C0E414E">
      <w:start w:val="1"/>
      <w:numFmt w:val="lowerLetter"/>
      <w:pStyle w:val="Heading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6F7646"/>
    <w:multiLevelType w:val="hybridMultilevel"/>
    <w:tmpl w:val="04800566"/>
    <w:lvl w:ilvl="0" w:tplc="0C000015">
      <w:start w:val="1"/>
      <w:numFmt w:val="upperLetter"/>
      <w:lvlText w:val="%1."/>
      <w:lvlJc w:val="left"/>
      <w:pPr>
        <w:ind w:left="360" w:hanging="360"/>
      </w:pPr>
      <w:rPr>
        <w:rFonts w:hint="default"/>
      </w:rPr>
    </w:lvl>
    <w:lvl w:ilvl="1" w:tplc="0C000019">
      <w:start w:val="1"/>
      <w:numFmt w:val="lowerLetter"/>
      <w:lvlText w:val="%2."/>
      <w:lvlJc w:val="left"/>
      <w:pPr>
        <w:ind w:left="1080" w:hanging="360"/>
      </w:pPr>
    </w:lvl>
    <w:lvl w:ilvl="2" w:tplc="0C00001B">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7" w15:restartNumberingAfterBreak="0">
    <w:nsid w:val="7A486DEA"/>
    <w:multiLevelType w:val="hybridMultilevel"/>
    <w:tmpl w:val="BBA2DC8C"/>
    <w:lvl w:ilvl="0" w:tplc="A93ABCD6">
      <w:start w:val="1"/>
      <w:numFmt w:val="upperLetter"/>
      <w:pStyle w:val="Heading1"/>
      <w:lvlText w:val="%1."/>
      <w:lvlJc w:val="left"/>
      <w:pPr>
        <w:ind w:left="360" w:hanging="360"/>
      </w:pPr>
      <w:rPr>
        <w:rFonts w:hint="default"/>
      </w:rPr>
    </w:lvl>
    <w:lvl w:ilvl="1" w:tplc="0C000013">
      <w:start w:val="1"/>
      <w:numFmt w:val="upperRoman"/>
      <w:lvlText w:val="%2."/>
      <w:lvlJc w:val="righ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16cid:durableId="1549101550">
    <w:abstractNumId w:val="2"/>
  </w:num>
  <w:num w:numId="2" w16cid:durableId="1865828125">
    <w:abstractNumId w:val="4"/>
  </w:num>
  <w:num w:numId="3" w16cid:durableId="1778598024">
    <w:abstractNumId w:val="3"/>
  </w:num>
  <w:num w:numId="4" w16cid:durableId="1638103724">
    <w:abstractNumId w:val="0"/>
  </w:num>
  <w:num w:numId="5" w16cid:durableId="350644858">
    <w:abstractNumId w:val="5"/>
  </w:num>
  <w:num w:numId="6" w16cid:durableId="1941405514">
    <w:abstractNumId w:val="2"/>
  </w:num>
  <w:num w:numId="7" w16cid:durableId="212273042">
    <w:abstractNumId w:val="2"/>
  </w:num>
  <w:num w:numId="8" w16cid:durableId="133959960">
    <w:abstractNumId w:val="7"/>
  </w:num>
  <w:num w:numId="9" w16cid:durableId="1412773042">
    <w:abstractNumId w:val="4"/>
    <w:lvlOverride w:ilvl="0">
      <w:startOverride w:val="1"/>
    </w:lvlOverride>
  </w:num>
  <w:num w:numId="10" w16cid:durableId="154540675">
    <w:abstractNumId w:val="4"/>
    <w:lvlOverride w:ilvl="0">
      <w:startOverride w:val="1"/>
    </w:lvlOverride>
  </w:num>
  <w:num w:numId="11" w16cid:durableId="1804688665">
    <w:abstractNumId w:val="4"/>
    <w:lvlOverride w:ilvl="0">
      <w:startOverride w:val="1"/>
    </w:lvlOverride>
  </w:num>
  <w:num w:numId="12" w16cid:durableId="471605221">
    <w:abstractNumId w:val="4"/>
    <w:lvlOverride w:ilvl="0">
      <w:startOverride w:val="1"/>
    </w:lvlOverride>
  </w:num>
  <w:num w:numId="13" w16cid:durableId="2093046748">
    <w:abstractNumId w:val="4"/>
    <w:lvlOverride w:ilvl="0">
      <w:startOverride w:val="1"/>
    </w:lvlOverride>
  </w:num>
  <w:num w:numId="14" w16cid:durableId="243686290">
    <w:abstractNumId w:val="4"/>
  </w:num>
  <w:num w:numId="15" w16cid:durableId="594241626">
    <w:abstractNumId w:val="4"/>
  </w:num>
  <w:num w:numId="16" w16cid:durableId="598609584">
    <w:abstractNumId w:val="4"/>
  </w:num>
  <w:num w:numId="17" w16cid:durableId="1797135626">
    <w:abstractNumId w:val="4"/>
  </w:num>
  <w:num w:numId="18" w16cid:durableId="811142691">
    <w:abstractNumId w:val="4"/>
  </w:num>
  <w:num w:numId="19" w16cid:durableId="278878673">
    <w:abstractNumId w:val="4"/>
  </w:num>
  <w:num w:numId="20" w16cid:durableId="1315646474">
    <w:abstractNumId w:val="7"/>
  </w:num>
  <w:num w:numId="21" w16cid:durableId="423499521">
    <w:abstractNumId w:val="4"/>
  </w:num>
  <w:num w:numId="22" w16cid:durableId="1251158845">
    <w:abstractNumId w:val="6"/>
  </w:num>
  <w:num w:numId="23" w16cid:durableId="34964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3B"/>
    <w:rsid w:val="00001BC7"/>
    <w:rsid w:val="00006B51"/>
    <w:rsid w:val="00013C9A"/>
    <w:rsid w:val="0001541D"/>
    <w:rsid w:val="00016953"/>
    <w:rsid w:val="0002055F"/>
    <w:rsid w:val="000212E1"/>
    <w:rsid w:val="0002263B"/>
    <w:rsid w:val="00022670"/>
    <w:rsid w:val="000251C6"/>
    <w:rsid w:val="0002650E"/>
    <w:rsid w:val="00026889"/>
    <w:rsid w:val="00026D03"/>
    <w:rsid w:val="00034514"/>
    <w:rsid w:val="0003535F"/>
    <w:rsid w:val="00041092"/>
    <w:rsid w:val="000433AA"/>
    <w:rsid w:val="00045816"/>
    <w:rsid w:val="00045A66"/>
    <w:rsid w:val="0004636F"/>
    <w:rsid w:val="000479B6"/>
    <w:rsid w:val="00050C12"/>
    <w:rsid w:val="00052630"/>
    <w:rsid w:val="00052CEE"/>
    <w:rsid w:val="00054C55"/>
    <w:rsid w:val="00057759"/>
    <w:rsid w:val="00062206"/>
    <w:rsid w:val="00062CDC"/>
    <w:rsid w:val="00063453"/>
    <w:rsid w:val="000638D1"/>
    <w:rsid w:val="00066028"/>
    <w:rsid w:val="0006618C"/>
    <w:rsid w:val="000728CC"/>
    <w:rsid w:val="00072B7F"/>
    <w:rsid w:val="000730C1"/>
    <w:rsid w:val="000801DB"/>
    <w:rsid w:val="0008079F"/>
    <w:rsid w:val="00085194"/>
    <w:rsid w:val="00085270"/>
    <w:rsid w:val="00086D3B"/>
    <w:rsid w:val="000919AA"/>
    <w:rsid w:val="00093DA5"/>
    <w:rsid w:val="0009448B"/>
    <w:rsid w:val="000A1B02"/>
    <w:rsid w:val="000A2830"/>
    <w:rsid w:val="000A2CBF"/>
    <w:rsid w:val="000A31C3"/>
    <w:rsid w:val="000B12A0"/>
    <w:rsid w:val="000B4827"/>
    <w:rsid w:val="000B4E47"/>
    <w:rsid w:val="000C16F5"/>
    <w:rsid w:val="000C2645"/>
    <w:rsid w:val="000C5E54"/>
    <w:rsid w:val="000C763B"/>
    <w:rsid w:val="000D19B4"/>
    <w:rsid w:val="000D2DE0"/>
    <w:rsid w:val="000D3048"/>
    <w:rsid w:val="000D3511"/>
    <w:rsid w:val="000D36B7"/>
    <w:rsid w:val="000D36C8"/>
    <w:rsid w:val="000D43A2"/>
    <w:rsid w:val="000D5A1B"/>
    <w:rsid w:val="000D7086"/>
    <w:rsid w:val="000E0808"/>
    <w:rsid w:val="000E156C"/>
    <w:rsid w:val="000E35A7"/>
    <w:rsid w:val="000E514F"/>
    <w:rsid w:val="000E56EA"/>
    <w:rsid w:val="000E6CA8"/>
    <w:rsid w:val="000E7BC3"/>
    <w:rsid w:val="000E7C84"/>
    <w:rsid w:val="000F092E"/>
    <w:rsid w:val="000F302B"/>
    <w:rsid w:val="000F3142"/>
    <w:rsid w:val="000F3DB5"/>
    <w:rsid w:val="000F43DC"/>
    <w:rsid w:val="000F5E0E"/>
    <w:rsid w:val="000F70E5"/>
    <w:rsid w:val="000F7362"/>
    <w:rsid w:val="001000FD"/>
    <w:rsid w:val="00100269"/>
    <w:rsid w:val="0010047C"/>
    <w:rsid w:val="0010061B"/>
    <w:rsid w:val="00100954"/>
    <w:rsid w:val="0010390F"/>
    <w:rsid w:val="00105352"/>
    <w:rsid w:val="00105CA3"/>
    <w:rsid w:val="00105DF9"/>
    <w:rsid w:val="00106700"/>
    <w:rsid w:val="0010701F"/>
    <w:rsid w:val="00107669"/>
    <w:rsid w:val="00107C25"/>
    <w:rsid w:val="00107D1F"/>
    <w:rsid w:val="0011157E"/>
    <w:rsid w:val="00112068"/>
    <w:rsid w:val="00112930"/>
    <w:rsid w:val="00113E6B"/>
    <w:rsid w:val="00114607"/>
    <w:rsid w:val="001157F5"/>
    <w:rsid w:val="001163CB"/>
    <w:rsid w:val="001170E9"/>
    <w:rsid w:val="001220E6"/>
    <w:rsid w:val="001228DF"/>
    <w:rsid w:val="00123FBA"/>
    <w:rsid w:val="0012514A"/>
    <w:rsid w:val="00125C70"/>
    <w:rsid w:val="00127AC4"/>
    <w:rsid w:val="00133D6F"/>
    <w:rsid w:val="00135241"/>
    <w:rsid w:val="001362B7"/>
    <w:rsid w:val="0013747B"/>
    <w:rsid w:val="00141E47"/>
    <w:rsid w:val="001428FA"/>
    <w:rsid w:val="00142A5C"/>
    <w:rsid w:val="00142D50"/>
    <w:rsid w:val="001458FA"/>
    <w:rsid w:val="00146C4E"/>
    <w:rsid w:val="00154888"/>
    <w:rsid w:val="00155B03"/>
    <w:rsid w:val="00160155"/>
    <w:rsid w:val="001653DC"/>
    <w:rsid w:val="00167218"/>
    <w:rsid w:val="0017022D"/>
    <w:rsid w:val="00171337"/>
    <w:rsid w:val="00171659"/>
    <w:rsid w:val="00172761"/>
    <w:rsid w:val="00174C67"/>
    <w:rsid w:val="0017768C"/>
    <w:rsid w:val="001811DB"/>
    <w:rsid w:val="001840AD"/>
    <w:rsid w:val="00184D00"/>
    <w:rsid w:val="00185B8C"/>
    <w:rsid w:val="00190DDD"/>
    <w:rsid w:val="001913FD"/>
    <w:rsid w:val="00191A68"/>
    <w:rsid w:val="00191D52"/>
    <w:rsid w:val="00193381"/>
    <w:rsid w:val="0019350F"/>
    <w:rsid w:val="00195CCE"/>
    <w:rsid w:val="00196664"/>
    <w:rsid w:val="00197557"/>
    <w:rsid w:val="001A1F6C"/>
    <w:rsid w:val="001A2035"/>
    <w:rsid w:val="001A5D51"/>
    <w:rsid w:val="001A742A"/>
    <w:rsid w:val="001A7589"/>
    <w:rsid w:val="001B0443"/>
    <w:rsid w:val="001B1FE7"/>
    <w:rsid w:val="001B2F7E"/>
    <w:rsid w:val="001B3BA0"/>
    <w:rsid w:val="001B7B4B"/>
    <w:rsid w:val="001C3472"/>
    <w:rsid w:val="001C55E5"/>
    <w:rsid w:val="001C5F0F"/>
    <w:rsid w:val="001C696D"/>
    <w:rsid w:val="001C72DB"/>
    <w:rsid w:val="001D0F2D"/>
    <w:rsid w:val="001D1AEF"/>
    <w:rsid w:val="001D271D"/>
    <w:rsid w:val="001D3EBB"/>
    <w:rsid w:val="001D4719"/>
    <w:rsid w:val="001D4EE8"/>
    <w:rsid w:val="001D7D33"/>
    <w:rsid w:val="001D7F8B"/>
    <w:rsid w:val="001E3C9A"/>
    <w:rsid w:val="001E584D"/>
    <w:rsid w:val="001E77E8"/>
    <w:rsid w:val="001F4696"/>
    <w:rsid w:val="001F7982"/>
    <w:rsid w:val="0020098E"/>
    <w:rsid w:val="002076FE"/>
    <w:rsid w:val="0021062E"/>
    <w:rsid w:val="0021138E"/>
    <w:rsid w:val="002118B1"/>
    <w:rsid w:val="00211BB5"/>
    <w:rsid w:val="00211C0B"/>
    <w:rsid w:val="0021503A"/>
    <w:rsid w:val="00215290"/>
    <w:rsid w:val="00220655"/>
    <w:rsid w:val="002227B5"/>
    <w:rsid w:val="002272A4"/>
    <w:rsid w:val="00230184"/>
    <w:rsid w:val="00231E49"/>
    <w:rsid w:val="00235937"/>
    <w:rsid w:val="00236744"/>
    <w:rsid w:val="00236E7E"/>
    <w:rsid w:val="00237D2E"/>
    <w:rsid w:val="00241CC2"/>
    <w:rsid w:val="00243429"/>
    <w:rsid w:val="00243808"/>
    <w:rsid w:val="002439F0"/>
    <w:rsid w:val="002454DB"/>
    <w:rsid w:val="002466F1"/>
    <w:rsid w:val="00246768"/>
    <w:rsid w:val="00247B00"/>
    <w:rsid w:val="00250900"/>
    <w:rsid w:val="002522C0"/>
    <w:rsid w:val="0025482D"/>
    <w:rsid w:val="00255049"/>
    <w:rsid w:val="00255E1D"/>
    <w:rsid w:val="002604DF"/>
    <w:rsid w:val="00260C4E"/>
    <w:rsid w:val="002619D4"/>
    <w:rsid w:val="00262A02"/>
    <w:rsid w:val="00263419"/>
    <w:rsid w:val="002648D5"/>
    <w:rsid w:val="002650DC"/>
    <w:rsid w:val="00266826"/>
    <w:rsid w:val="00267356"/>
    <w:rsid w:val="00267A5C"/>
    <w:rsid w:val="00267B44"/>
    <w:rsid w:val="00267C6A"/>
    <w:rsid w:val="00270F2B"/>
    <w:rsid w:val="00271E45"/>
    <w:rsid w:val="0028230B"/>
    <w:rsid w:val="0028305E"/>
    <w:rsid w:val="00284FD3"/>
    <w:rsid w:val="00291691"/>
    <w:rsid w:val="00294C42"/>
    <w:rsid w:val="00296301"/>
    <w:rsid w:val="0029698E"/>
    <w:rsid w:val="002A379D"/>
    <w:rsid w:val="002A3946"/>
    <w:rsid w:val="002B02FD"/>
    <w:rsid w:val="002B1080"/>
    <w:rsid w:val="002B1B3E"/>
    <w:rsid w:val="002B2650"/>
    <w:rsid w:val="002B2B3B"/>
    <w:rsid w:val="002B482F"/>
    <w:rsid w:val="002B5D6A"/>
    <w:rsid w:val="002B6BF3"/>
    <w:rsid w:val="002B6C1B"/>
    <w:rsid w:val="002B7285"/>
    <w:rsid w:val="002B7813"/>
    <w:rsid w:val="002B7C13"/>
    <w:rsid w:val="002C1406"/>
    <w:rsid w:val="002C3031"/>
    <w:rsid w:val="002C3F6F"/>
    <w:rsid w:val="002C59E8"/>
    <w:rsid w:val="002D0220"/>
    <w:rsid w:val="002D0394"/>
    <w:rsid w:val="002D0B61"/>
    <w:rsid w:val="002D0D6B"/>
    <w:rsid w:val="002D23F2"/>
    <w:rsid w:val="002D4088"/>
    <w:rsid w:val="002D487F"/>
    <w:rsid w:val="002D522E"/>
    <w:rsid w:val="002D677F"/>
    <w:rsid w:val="002E4233"/>
    <w:rsid w:val="002E4426"/>
    <w:rsid w:val="002E588E"/>
    <w:rsid w:val="002F34BC"/>
    <w:rsid w:val="002F3BA8"/>
    <w:rsid w:val="002F3CD5"/>
    <w:rsid w:val="002F47B0"/>
    <w:rsid w:val="002F6185"/>
    <w:rsid w:val="002F6D17"/>
    <w:rsid w:val="00301FDD"/>
    <w:rsid w:val="00303815"/>
    <w:rsid w:val="003059BB"/>
    <w:rsid w:val="00306ED7"/>
    <w:rsid w:val="00307BBC"/>
    <w:rsid w:val="00311689"/>
    <w:rsid w:val="0031176E"/>
    <w:rsid w:val="003176D5"/>
    <w:rsid w:val="0032327C"/>
    <w:rsid w:val="003253E8"/>
    <w:rsid w:val="003316E3"/>
    <w:rsid w:val="00333B3F"/>
    <w:rsid w:val="00336F36"/>
    <w:rsid w:val="00337678"/>
    <w:rsid w:val="00337FAE"/>
    <w:rsid w:val="00340C17"/>
    <w:rsid w:val="00346336"/>
    <w:rsid w:val="0034670F"/>
    <w:rsid w:val="003470FC"/>
    <w:rsid w:val="00351D8F"/>
    <w:rsid w:val="0035398B"/>
    <w:rsid w:val="003541CD"/>
    <w:rsid w:val="003548B2"/>
    <w:rsid w:val="003567C7"/>
    <w:rsid w:val="00357F96"/>
    <w:rsid w:val="0036097B"/>
    <w:rsid w:val="00360B5D"/>
    <w:rsid w:val="00363BD8"/>
    <w:rsid w:val="00364117"/>
    <w:rsid w:val="0036606E"/>
    <w:rsid w:val="00366C61"/>
    <w:rsid w:val="00377493"/>
    <w:rsid w:val="003777F1"/>
    <w:rsid w:val="003833EC"/>
    <w:rsid w:val="003834C1"/>
    <w:rsid w:val="0038461B"/>
    <w:rsid w:val="003859AA"/>
    <w:rsid w:val="00386D04"/>
    <w:rsid w:val="00391AB3"/>
    <w:rsid w:val="00391E03"/>
    <w:rsid w:val="00392561"/>
    <w:rsid w:val="003928B6"/>
    <w:rsid w:val="0039626F"/>
    <w:rsid w:val="00397D8D"/>
    <w:rsid w:val="003A0DF4"/>
    <w:rsid w:val="003A2F07"/>
    <w:rsid w:val="003A3D33"/>
    <w:rsid w:val="003A4779"/>
    <w:rsid w:val="003A6759"/>
    <w:rsid w:val="003A6A7D"/>
    <w:rsid w:val="003B0632"/>
    <w:rsid w:val="003B29A1"/>
    <w:rsid w:val="003B2F5E"/>
    <w:rsid w:val="003B4774"/>
    <w:rsid w:val="003B6242"/>
    <w:rsid w:val="003C04D6"/>
    <w:rsid w:val="003C6114"/>
    <w:rsid w:val="003C624D"/>
    <w:rsid w:val="003C7203"/>
    <w:rsid w:val="003C7CCB"/>
    <w:rsid w:val="003D0CD4"/>
    <w:rsid w:val="003D2DE9"/>
    <w:rsid w:val="003D3353"/>
    <w:rsid w:val="003D3A77"/>
    <w:rsid w:val="003D4678"/>
    <w:rsid w:val="003D6BF6"/>
    <w:rsid w:val="003E0192"/>
    <w:rsid w:val="003E1FC4"/>
    <w:rsid w:val="003E259B"/>
    <w:rsid w:val="003E3129"/>
    <w:rsid w:val="003E7004"/>
    <w:rsid w:val="003E70B7"/>
    <w:rsid w:val="003F0BAE"/>
    <w:rsid w:val="003F205E"/>
    <w:rsid w:val="003F2908"/>
    <w:rsid w:val="003F2CC3"/>
    <w:rsid w:val="003F30D7"/>
    <w:rsid w:val="003F772F"/>
    <w:rsid w:val="00402806"/>
    <w:rsid w:val="004030E1"/>
    <w:rsid w:val="0040538F"/>
    <w:rsid w:val="00405C88"/>
    <w:rsid w:val="004070DB"/>
    <w:rsid w:val="00407888"/>
    <w:rsid w:val="004103D0"/>
    <w:rsid w:val="00410DC3"/>
    <w:rsid w:val="00411815"/>
    <w:rsid w:val="00413339"/>
    <w:rsid w:val="0041478F"/>
    <w:rsid w:val="00414C72"/>
    <w:rsid w:val="00415CE6"/>
    <w:rsid w:val="00417EE8"/>
    <w:rsid w:val="004209AB"/>
    <w:rsid w:val="00424DF4"/>
    <w:rsid w:val="0042774A"/>
    <w:rsid w:val="004303B1"/>
    <w:rsid w:val="00430697"/>
    <w:rsid w:val="004308E4"/>
    <w:rsid w:val="004336A7"/>
    <w:rsid w:val="004356E9"/>
    <w:rsid w:val="004370BA"/>
    <w:rsid w:val="00437DAB"/>
    <w:rsid w:val="004408AD"/>
    <w:rsid w:val="00443ADD"/>
    <w:rsid w:val="004448EA"/>
    <w:rsid w:val="00444D4E"/>
    <w:rsid w:val="004460F7"/>
    <w:rsid w:val="00451CFF"/>
    <w:rsid w:val="00453867"/>
    <w:rsid w:val="004559C2"/>
    <w:rsid w:val="00457FD0"/>
    <w:rsid w:val="0046062B"/>
    <w:rsid w:val="0046093A"/>
    <w:rsid w:val="0046130A"/>
    <w:rsid w:val="00466634"/>
    <w:rsid w:val="004668DC"/>
    <w:rsid w:val="00467CA2"/>
    <w:rsid w:val="00472B24"/>
    <w:rsid w:val="00473257"/>
    <w:rsid w:val="00476FAC"/>
    <w:rsid w:val="004801DB"/>
    <w:rsid w:val="00481D87"/>
    <w:rsid w:val="00482B20"/>
    <w:rsid w:val="004831FF"/>
    <w:rsid w:val="00483947"/>
    <w:rsid w:val="004845CF"/>
    <w:rsid w:val="00484F2D"/>
    <w:rsid w:val="00485793"/>
    <w:rsid w:val="00486FD9"/>
    <w:rsid w:val="00491431"/>
    <w:rsid w:val="004916CE"/>
    <w:rsid w:val="00495142"/>
    <w:rsid w:val="004960B4"/>
    <w:rsid w:val="00496A78"/>
    <w:rsid w:val="004A151E"/>
    <w:rsid w:val="004A3320"/>
    <w:rsid w:val="004A440F"/>
    <w:rsid w:val="004A4C95"/>
    <w:rsid w:val="004A5A96"/>
    <w:rsid w:val="004A6707"/>
    <w:rsid w:val="004B066D"/>
    <w:rsid w:val="004B0A4A"/>
    <w:rsid w:val="004B37DC"/>
    <w:rsid w:val="004B408E"/>
    <w:rsid w:val="004B5034"/>
    <w:rsid w:val="004B5533"/>
    <w:rsid w:val="004B729B"/>
    <w:rsid w:val="004C09EE"/>
    <w:rsid w:val="004C2228"/>
    <w:rsid w:val="004C26CB"/>
    <w:rsid w:val="004C5A9F"/>
    <w:rsid w:val="004D10E5"/>
    <w:rsid w:val="004D13F1"/>
    <w:rsid w:val="004D19B9"/>
    <w:rsid w:val="004D1C9C"/>
    <w:rsid w:val="004D5A31"/>
    <w:rsid w:val="004D78D8"/>
    <w:rsid w:val="004E04B2"/>
    <w:rsid w:val="004E0B62"/>
    <w:rsid w:val="004E1A81"/>
    <w:rsid w:val="004E26FD"/>
    <w:rsid w:val="004E4AFA"/>
    <w:rsid w:val="004E4CAF"/>
    <w:rsid w:val="004E5A24"/>
    <w:rsid w:val="004E5BD2"/>
    <w:rsid w:val="004E64AE"/>
    <w:rsid w:val="004F1BCB"/>
    <w:rsid w:val="004F5B4E"/>
    <w:rsid w:val="0050131C"/>
    <w:rsid w:val="00503C08"/>
    <w:rsid w:val="00506362"/>
    <w:rsid w:val="00507219"/>
    <w:rsid w:val="00510FC1"/>
    <w:rsid w:val="0051251C"/>
    <w:rsid w:val="005172DA"/>
    <w:rsid w:val="005175E6"/>
    <w:rsid w:val="00517B08"/>
    <w:rsid w:val="0052096C"/>
    <w:rsid w:val="00521CB5"/>
    <w:rsid w:val="00523208"/>
    <w:rsid w:val="00524337"/>
    <w:rsid w:val="005264C2"/>
    <w:rsid w:val="005265C7"/>
    <w:rsid w:val="00526F0D"/>
    <w:rsid w:val="00527904"/>
    <w:rsid w:val="005315CC"/>
    <w:rsid w:val="00532A07"/>
    <w:rsid w:val="00532B04"/>
    <w:rsid w:val="00532CA1"/>
    <w:rsid w:val="005371E2"/>
    <w:rsid w:val="00540956"/>
    <w:rsid w:val="0054270F"/>
    <w:rsid w:val="00543925"/>
    <w:rsid w:val="00543B66"/>
    <w:rsid w:val="005452E3"/>
    <w:rsid w:val="00545EC1"/>
    <w:rsid w:val="00547E9F"/>
    <w:rsid w:val="00553D9E"/>
    <w:rsid w:val="00554E43"/>
    <w:rsid w:val="00555637"/>
    <w:rsid w:val="0055713C"/>
    <w:rsid w:val="0056011D"/>
    <w:rsid w:val="005618DD"/>
    <w:rsid w:val="005654D8"/>
    <w:rsid w:val="0057145D"/>
    <w:rsid w:val="00573F5B"/>
    <w:rsid w:val="00577204"/>
    <w:rsid w:val="00581509"/>
    <w:rsid w:val="00583671"/>
    <w:rsid w:val="00587C91"/>
    <w:rsid w:val="00587D3B"/>
    <w:rsid w:val="005917F7"/>
    <w:rsid w:val="00592421"/>
    <w:rsid w:val="00595D99"/>
    <w:rsid w:val="00595F29"/>
    <w:rsid w:val="005A1393"/>
    <w:rsid w:val="005A1D58"/>
    <w:rsid w:val="005A2C71"/>
    <w:rsid w:val="005A3E94"/>
    <w:rsid w:val="005A5DC2"/>
    <w:rsid w:val="005B03BA"/>
    <w:rsid w:val="005B0B2E"/>
    <w:rsid w:val="005B500E"/>
    <w:rsid w:val="005B712D"/>
    <w:rsid w:val="005B77DF"/>
    <w:rsid w:val="005C0667"/>
    <w:rsid w:val="005C0CD5"/>
    <w:rsid w:val="005C1CB5"/>
    <w:rsid w:val="005C1D35"/>
    <w:rsid w:val="005C6C18"/>
    <w:rsid w:val="005D1AD7"/>
    <w:rsid w:val="005D5016"/>
    <w:rsid w:val="005E01E4"/>
    <w:rsid w:val="005E0FA1"/>
    <w:rsid w:val="005E17E6"/>
    <w:rsid w:val="005E3FE4"/>
    <w:rsid w:val="005F111A"/>
    <w:rsid w:val="005F13D3"/>
    <w:rsid w:val="005F1DD5"/>
    <w:rsid w:val="005F3196"/>
    <w:rsid w:val="005F49EA"/>
    <w:rsid w:val="005F4C6C"/>
    <w:rsid w:val="00600014"/>
    <w:rsid w:val="006009B2"/>
    <w:rsid w:val="006066F8"/>
    <w:rsid w:val="006116C4"/>
    <w:rsid w:val="00612093"/>
    <w:rsid w:val="00616083"/>
    <w:rsid w:val="00617D12"/>
    <w:rsid w:val="00623C75"/>
    <w:rsid w:val="006254A8"/>
    <w:rsid w:val="0062572A"/>
    <w:rsid w:val="00627441"/>
    <w:rsid w:val="00627FFD"/>
    <w:rsid w:val="00630358"/>
    <w:rsid w:val="00630FF2"/>
    <w:rsid w:val="006347DA"/>
    <w:rsid w:val="00634C03"/>
    <w:rsid w:val="00640969"/>
    <w:rsid w:val="00643776"/>
    <w:rsid w:val="00643879"/>
    <w:rsid w:val="006454A6"/>
    <w:rsid w:val="00645C33"/>
    <w:rsid w:val="0064627A"/>
    <w:rsid w:val="00651656"/>
    <w:rsid w:val="006518C0"/>
    <w:rsid w:val="00653DE2"/>
    <w:rsid w:val="00654428"/>
    <w:rsid w:val="00654726"/>
    <w:rsid w:val="006575C4"/>
    <w:rsid w:val="00661244"/>
    <w:rsid w:val="00662B18"/>
    <w:rsid w:val="00663E24"/>
    <w:rsid w:val="00665196"/>
    <w:rsid w:val="006729F6"/>
    <w:rsid w:val="006777A1"/>
    <w:rsid w:val="00677834"/>
    <w:rsid w:val="00683875"/>
    <w:rsid w:val="00683A70"/>
    <w:rsid w:val="006876C9"/>
    <w:rsid w:val="00694B3C"/>
    <w:rsid w:val="006A14F4"/>
    <w:rsid w:val="006A5327"/>
    <w:rsid w:val="006A555F"/>
    <w:rsid w:val="006A69FE"/>
    <w:rsid w:val="006A6D16"/>
    <w:rsid w:val="006A7D5A"/>
    <w:rsid w:val="006A7DAE"/>
    <w:rsid w:val="006B03DF"/>
    <w:rsid w:val="006B1B50"/>
    <w:rsid w:val="006B4E86"/>
    <w:rsid w:val="006B55A0"/>
    <w:rsid w:val="006B58F4"/>
    <w:rsid w:val="006C074D"/>
    <w:rsid w:val="006C0F51"/>
    <w:rsid w:val="006C540E"/>
    <w:rsid w:val="006C6E07"/>
    <w:rsid w:val="006D07A0"/>
    <w:rsid w:val="006D1B84"/>
    <w:rsid w:val="006D2ACA"/>
    <w:rsid w:val="006D3CB9"/>
    <w:rsid w:val="006D4035"/>
    <w:rsid w:val="006D4A1F"/>
    <w:rsid w:val="006D4CD0"/>
    <w:rsid w:val="006E14D9"/>
    <w:rsid w:val="006E256F"/>
    <w:rsid w:val="006E312C"/>
    <w:rsid w:val="006F09C1"/>
    <w:rsid w:val="006F3313"/>
    <w:rsid w:val="006F5256"/>
    <w:rsid w:val="007014BC"/>
    <w:rsid w:val="007028D4"/>
    <w:rsid w:val="007035C7"/>
    <w:rsid w:val="00703E88"/>
    <w:rsid w:val="00712571"/>
    <w:rsid w:val="00713468"/>
    <w:rsid w:val="00715DCC"/>
    <w:rsid w:val="00717ACF"/>
    <w:rsid w:val="00721D2B"/>
    <w:rsid w:val="00722CFE"/>
    <w:rsid w:val="0072438A"/>
    <w:rsid w:val="007243DA"/>
    <w:rsid w:val="00727085"/>
    <w:rsid w:val="00732F91"/>
    <w:rsid w:val="0073506B"/>
    <w:rsid w:val="00736AA0"/>
    <w:rsid w:val="00737658"/>
    <w:rsid w:val="00737D33"/>
    <w:rsid w:val="00740D31"/>
    <w:rsid w:val="00741D1E"/>
    <w:rsid w:val="00743F94"/>
    <w:rsid w:val="00745658"/>
    <w:rsid w:val="0074756E"/>
    <w:rsid w:val="00750A83"/>
    <w:rsid w:val="007524B3"/>
    <w:rsid w:val="00754DCD"/>
    <w:rsid w:val="00755E24"/>
    <w:rsid w:val="00756DC1"/>
    <w:rsid w:val="00760C09"/>
    <w:rsid w:val="007637C9"/>
    <w:rsid w:val="0076452E"/>
    <w:rsid w:val="0076570F"/>
    <w:rsid w:val="0076592A"/>
    <w:rsid w:val="0077172B"/>
    <w:rsid w:val="00772AE8"/>
    <w:rsid w:val="00774C02"/>
    <w:rsid w:val="00784099"/>
    <w:rsid w:val="007865B2"/>
    <w:rsid w:val="00786F82"/>
    <w:rsid w:val="0079006D"/>
    <w:rsid w:val="00791328"/>
    <w:rsid w:val="00792663"/>
    <w:rsid w:val="0079338D"/>
    <w:rsid w:val="00793794"/>
    <w:rsid w:val="00797081"/>
    <w:rsid w:val="007A0895"/>
    <w:rsid w:val="007A5B75"/>
    <w:rsid w:val="007A628C"/>
    <w:rsid w:val="007A723F"/>
    <w:rsid w:val="007B0A09"/>
    <w:rsid w:val="007B0B69"/>
    <w:rsid w:val="007B198F"/>
    <w:rsid w:val="007B37E9"/>
    <w:rsid w:val="007B60A5"/>
    <w:rsid w:val="007B62CF"/>
    <w:rsid w:val="007C596E"/>
    <w:rsid w:val="007C5EEA"/>
    <w:rsid w:val="007C65F9"/>
    <w:rsid w:val="007C7926"/>
    <w:rsid w:val="007D1C1E"/>
    <w:rsid w:val="007D3CFA"/>
    <w:rsid w:val="007D6CE5"/>
    <w:rsid w:val="007D713F"/>
    <w:rsid w:val="007E3316"/>
    <w:rsid w:val="007E4C28"/>
    <w:rsid w:val="007E5C28"/>
    <w:rsid w:val="007E5ECF"/>
    <w:rsid w:val="007E7705"/>
    <w:rsid w:val="007F2E7D"/>
    <w:rsid w:val="007F31C1"/>
    <w:rsid w:val="007F3B29"/>
    <w:rsid w:val="007F3CB3"/>
    <w:rsid w:val="007F48CC"/>
    <w:rsid w:val="007F5FE8"/>
    <w:rsid w:val="007F69C9"/>
    <w:rsid w:val="007F7F0C"/>
    <w:rsid w:val="00800CF0"/>
    <w:rsid w:val="00801CFA"/>
    <w:rsid w:val="008025AE"/>
    <w:rsid w:val="008041C9"/>
    <w:rsid w:val="008124B3"/>
    <w:rsid w:val="0081423A"/>
    <w:rsid w:val="008210DB"/>
    <w:rsid w:val="00821D90"/>
    <w:rsid w:val="00822D89"/>
    <w:rsid w:val="00822DBF"/>
    <w:rsid w:val="00823A16"/>
    <w:rsid w:val="0082594D"/>
    <w:rsid w:val="00825A5B"/>
    <w:rsid w:val="00830D75"/>
    <w:rsid w:val="008339FD"/>
    <w:rsid w:val="00833F85"/>
    <w:rsid w:val="00835162"/>
    <w:rsid w:val="00836164"/>
    <w:rsid w:val="008369A8"/>
    <w:rsid w:val="00836F61"/>
    <w:rsid w:val="00840831"/>
    <w:rsid w:val="0084259A"/>
    <w:rsid w:val="00847F0C"/>
    <w:rsid w:val="0085012A"/>
    <w:rsid w:val="00850565"/>
    <w:rsid w:val="008506DF"/>
    <w:rsid w:val="008518EE"/>
    <w:rsid w:val="00851A6F"/>
    <w:rsid w:val="0085629F"/>
    <w:rsid w:val="00860479"/>
    <w:rsid w:val="00862DA2"/>
    <w:rsid w:val="008635E0"/>
    <w:rsid w:val="00864DBB"/>
    <w:rsid w:val="0086685A"/>
    <w:rsid w:val="00866AEE"/>
    <w:rsid w:val="00867BBA"/>
    <w:rsid w:val="00867F64"/>
    <w:rsid w:val="00870BF7"/>
    <w:rsid w:val="00872803"/>
    <w:rsid w:val="008742E7"/>
    <w:rsid w:val="008745A4"/>
    <w:rsid w:val="00874C84"/>
    <w:rsid w:val="008767F6"/>
    <w:rsid w:val="00876B56"/>
    <w:rsid w:val="00876FC3"/>
    <w:rsid w:val="008773D4"/>
    <w:rsid w:val="008773E8"/>
    <w:rsid w:val="008776CA"/>
    <w:rsid w:val="00881156"/>
    <w:rsid w:val="00881773"/>
    <w:rsid w:val="008818FC"/>
    <w:rsid w:val="00884487"/>
    <w:rsid w:val="008845D3"/>
    <w:rsid w:val="00885FE7"/>
    <w:rsid w:val="00886099"/>
    <w:rsid w:val="008901CA"/>
    <w:rsid w:val="00890697"/>
    <w:rsid w:val="00891ED2"/>
    <w:rsid w:val="00891ED5"/>
    <w:rsid w:val="008920B1"/>
    <w:rsid w:val="00892FBD"/>
    <w:rsid w:val="00893176"/>
    <w:rsid w:val="00893380"/>
    <w:rsid w:val="0089591B"/>
    <w:rsid w:val="00895EF5"/>
    <w:rsid w:val="008A1F48"/>
    <w:rsid w:val="008A2F04"/>
    <w:rsid w:val="008A7FB2"/>
    <w:rsid w:val="008B0AF1"/>
    <w:rsid w:val="008B38F0"/>
    <w:rsid w:val="008B4F08"/>
    <w:rsid w:val="008B54CE"/>
    <w:rsid w:val="008B6B3F"/>
    <w:rsid w:val="008B6F65"/>
    <w:rsid w:val="008C05B3"/>
    <w:rsid w:val="008C0868"/>
    <w:rsid w:val="008C44B3"/>
    <w:rsid w:val="008C6E92"/>
    <w:rsid w:val="008C77A6"/>
    <w:rsid w:val="008D3060"/>
    <w:rsid w:val="008D5CA0"/>
    <w:rsid w:val="008D5F6E"/>
    <w:rsid w:val="008E0A53"/>
    <w:rsid w:val="008E1835"/>
    <w:rsid w:val="008E38DA"/>
    <w:rsid w:val="008E4DBD"/>
    <w:rsid w:val="008E69FE"/>
    <w:rsid w:val="008E6D7C"/>
    <w:rsid w:val="008F258D"/>
    <w:rsid w:val="008F3A33"/>
    <w:rsid w:val="008F4FCF"/>
    <w:rsid w:val="00900863"/>
    <w:rsid w:val="00900F6F"/>
    <w:rsid w:val="00902103"/>
    <w:rsid w:val="0090245B"/>
    <w:rsid w:val="00910E1B"/>
    <w:rsid w:val="009152CE"/>
    <w:rsid w:val="00917AAA"/>
    <w:rsid w:val="009215C3"/>
    <w:rsid w:val="00921B99"/>
    <w:rsid w:val="00921C98"/>
    <w:rsid w:val="00924A3B"/>
    <w:rsid w:val="0092610D"/>
    <w:rsid w:val="00926C38"/>
    <w:rsid w:val="009274C6"/>
    <w:rsid w:val="0093022C"/>
    <w:rsid w:val="00932DED"/>
    <w:rsid w:val="00933FDB"/>
    <w:rsid w:val="00953479"/>
    <w:rsid w:val="00953DA4"/>
    <w:rsid w:val="00955736"/>
    <w:rsid w:val="009558F7"/>
    <w:rsid w:val="009570EE"/>
    <w:rsid w:val="00964269"/>
    <w:rsid w:val="009662D2"/>
    <w:rsid w:val="00970A9F"/>
    <w:rsid w:val="00973800"/>
    <w:rsid w:val="00975A98"/>
    <w:rsid w:val="00977AC8"/>
    <w:rsid w:val="00980ACB"/>
    <w:rsid w:val="0098598F"/>
    <w:rsid w:val="0099211B"/>
    <w:rsid w:val="0099244E"/>
    <w:rsid w:val="009934D9"/>
    <w:rsid w:val="00994C71"/>
    <w:rsid w:val="00995A9A"/>
    <w:rsid w:val="009965D7"/>
    <w:rsid w:val="00996D06"/>
    <w:rsid w:val="00997953"/>
    <w:rsid w:val="009A13E4"/>
    <w:rsid w:val="009A21C2"/>
    <w:rsid w:val="009A43BE"/>
    <w:rsid w:val="009A60FC"/>
    <w:rsid w:val="009A6699"/>
    <w:rsid w:val="009A6BD6"/>
    <w:rsid w:val="009B0E8B"/>
    <w:rsid w:val="009C3D10"/>
    <w:rsid w:val="009C4643"/>
    <w:rsid w:val="009C6D59"/>
    <w:rsid w:val="009C7954"/>
    <w:rsid w:val="009D0761"/>
    <w:rsid w:val="009D0982"/>
    <w:rsid w:val="009D1007"/>
    <w:rsid w:val="009D1A56"/>
    <w:rsid w:val="009D1ABC"/>
    <w:rsid w:val="009D230C"/>
    <w:rsid w:val="009D2C32"/>
    <w:rsid w:val="009D2C89"/>
    <w:rsid w:val="009D34AC"/>
    <w:rsid w:val="009D4F07"/>
    <w:rsid w:val="009D743E"/>
    <w:rsid w:val="009D74D7"/>
    <w:rsid w:val="009E062A"/>
    <w:rsid w:val="009E3C83"/>
    <w:rsid w:val="009F089A"/>
    <w:rsid w:val="009F133F"/>
    <w:rsid w:val="009F18A3"/>
    <w:rsid w:val="009F2F00"/>
    <w:rsid w:val="009F36DB"/>
    <w:rsid w:val="009F5247"/>
    <w:rsid w:val="009F5BD7"/>
    <w:rsid w:val="009F6DDD"/>
    <w:rsid w:val="00A01B97"/>
    <w:rsid w:val="00A0215F"/>
    <w:rsid w:val="00A0370B"/>
    <w:rsid w:val="00A040AB"/>
    <w:rsid w:val="00A06B31"/>
    <w:rsid w:val="00A116F2"/>
    <w:rsid w:val="00A15488"/>
    <w:rsid w:val="00A17CD3"/>
    <w:rsid w:val="00A208BD"/>
    <w:rsid w:val="00A24A13"/>
    <w:rsid w:val="00A2525D"/>
    <w:rsid w:val="00A265DF"/>
    <w:rsid w:val="00A310F9"/>
    <w:rsid w:val="00A32826"/>
    <w:rsid w:val="00A35471"/>
    <w:rsid w:val="00A36FFB"/>
    <w:rsid w:val="00A37423"/>
    <w:rsid w:val="00A40D9E"/>
    <w:rsid w:val="00A421C5"/>
    <w:rsid w:val="00A43994"/>
    <w:rsid w:val="00A44600"/>
    <w:rsid w:val="00A4563B"/>
    <w:rsid w:val="00A53BD4"/>
    <w:rsid w:val="00A53DFA"/>
    <w:rsid w:val="00A57B86"/>
    <w:rsid w:val="00A60400"/>
    <w:rsid w:val="00A6067B"/>
    <w:rsid w:val="00A6464C"/>
    <w:rsid w:val="00A719CC"/>
    <w:rsid w:val="00A72873"/>
    <w:rsid w:val="00A729CB"/>
    <w:rsid w:val="00A763CB"/>
    <w:rsid w:val="00A77CE5"/>
    <w:rsid w:val="00A80067"/>
    <w:rsid w:val="00A818A0"/>
    <w:rsid w:val="00A82CB6"/>
    <w:rsid w:val="00A849BD"/>
    <w:rsid w:val="00A85495"/>
    <w:rsid w:val="00A90345"/>
    <w:rsid w:val="00A9320B"/>
    <w:rsid w:val="00A94332"/>
    <w:rsid w:val="00A948E7"/>
    <w:rsid w:val="00A96521"/>
    <w:rsid w:val="00A97A07"/>
    <w:rsid w:val="00A97FDB"/>
    <w:rsid w:val="00AA0BB9"/>
    <w:rsid w:val="00AA11E4"/>
    <w:rsid w:val="00AA1FCA"/>
    <w:rsid w:val="00AA3024"/>
    <w:rsid w:val="00AA5D2C"/>
    <w:rsid w:val="00AA65D5"/>
    <w:rsid w:val="00AA68F9"/>
    <w:rsid w:val="00AB24CF"/>
    <w:rsid w:val="00AB3DFE"/>
    <w:rsid w:val="00AB3E03"/>
    <w:rsid w:val="00AC1209"/>
    <w:rsid w:val="00AC2C3C"/>
    <w:rsid w:val="00AC30B0"/>
    <w:rsid w:val="00AC43BF"/>
    <w:rsid w:val="00AC61ED"/>
    <w:rsid w:val="00AC693E"/>
    <w:rsid w:val="00AC73AC"/>
    <w:rsid w:val="00AC73F7"/>
    <w:rsid w:val="00AD31BD"/>
    <w:rsid w:val="00AD3749"/>
    <w:rsid w:val="00AD5448"/>
    <w:rsid w:val="00AD5E29"/>
    <w:rsid w:val="00AD607B"/>
    <w:rsid w:val="00AD6EF9"/>
    <w:rsid w:val="00AE4D8C"/>
    <w:rsid w:val="00AF09C3"/>
    <w:rsid w:val="00AF1878"/>
    <w:rsid w:val="00AF1D13"/>
    <w:rsid w:val="00AF281A"/>
    <w:rsid w:val="00AF4A8E"/>
    <w:rsid w:val="00AF6931"/>
    <w:rsid w:val="00B014C7"/>
    <w:rsid w:val="00B017E3"/>
    <w:rsid w:val="00B01E70"/>
    <w:rsid w:val="00B038CF"/>
    <w:rsid w:val="00B04BBB"/>
    <w:rsid w:val="00B0548A"/>
    <w:rsid w:val="00B071B2"/>
    <w:rsid w:val="00B126BA"/>
    <w:rsid w:val="00B12E69"/>
    <w:rsid w:val="00B140E8"/>
    <w:rsid w:val="00B150CE"/>
    <w:rsid w:val="00B15156"/>
    <w:rsid w:val="00B163FD"/>
    <w:rsid w:val="00B20318"/>
    <w:rsid w:val="00B21CD3"/>
    <w:rsid w:val="00B27BF9"/>
    <w:rsid w:val="00B27E92"/>
    <w:rsid w:val="00B31063"/>
    <w:rsid w:val="00B379FC"/>
    <w:rsid w:val="00B41827"/>
    <w:rsid w:val="00B45776"/>
    <w:rsid w:val="00B47268"/>
    <w:rsid w:val="00B47D19"/>
    <w:rsid w:val="00B50FAB"/>
    <w:rsid w:val="00B52195"/>
    <w:rsid w:val="00B52F28"/>
    <w:rsid w:val="00B53D79"/>
    <w:rsid w:val="00B5496A"/>
    <w:rsid w:val="00B55D26"/>
    <w:rsid w:val="00B5667F"/>
    <w:rsid w:val="00B578A4"/>
    <w:rsid w:val="00B63044"/>
    <w:rsid w:val="00B6366F"/>
    <w:rsid w:val="00B6412F"/>
    <w:rsid w:val="00B67D9F"/>
    <w:rsid w:val="00B7148B"/>
    <w:rsid w:val="00B72BFB"/>
    <w:rsid w:val="00B73314"/>
    <w:rsid w:val="00B7453D"/>
    <w:rsid w:val="00B76728"/>
    <w:rsid w:val="00B820FC"/>
    <w:rsid w:val="00B82E27"/>
    <w:rsid w:val="00B8531D"/>
    <w:rsid w:val="00B857E1"/>
    <w:rsid w:val="00B86459"/>
    <w:rsid w:val="00B86863"/>
    <w:rsid w:val="00B90C0F"/>
    <w:rsid w:val="00B912F5"/>
    <w:rsid w:val="00B9268E"/>
    <w:rsid w:val="00B93317"/>
    <w:rsid w:val="00B9332D"/>
    <w:rsid w:val="00B9456C"/>
    <w:rsid w:val="00B9658A"/>
    <w:rsid w:val="00B9754A"/>
    <w:rsid w:val="00BA19E7"/>
    <w:rsid w:val="00BA29F1"/>
    <w:rsid w:val="00BA3021"/>
    <w:rsid w:val="00BA3D88"/>
    <w:rsid w:val="00BA467C"/>
    <w:rsid w:val="00BA4C75"/>
    <w:rsid w:val="00BB1FEC"/>
    <w:rsid w:val="00BB460C"/>
    <w:rsid w:val="00BB6C4B"/>
    <w:rsid w:val="00BB6FAB"/>
    <w:rsid w:val="00BC2AD6"/>
    <w:rsid w:val="00BC2C56"/>
    <w:rsid w:val="00BC3D9F"/>
    <w:rsid w:val="00BC77F5"/>
    <w:rsid w:val="00BD01B6"/>
    <w:rsid w:val="00BD17A7"/>
    <w:rsid w:val="00BD1B67"/>
    <w:rsid w:val="00BD1D56"/>
    <w:rsid w:val="00BD2394"/>
    <w:rsid w:val="00BD301E"/>
    <w:rsid w:val="00BD40AB"/>
    <w:rsid w:val="00BD4E74"/>
    <w:rsid w:val="00BE1C08"/>
    <w:rsid w:val="00BF52A9"/>
    <w:rsid w:val="00BF792F"/>
    <w:rsid w:val="00BF7D77"/>
    <w:rsid w:val="00C00075"/>
    <w:rsid w:val="00C0094D"/>
    <w:rsid w:val="00C026A0"/>
    <w:rsid w:val="00C036CF"/>
    <w:rsid w:val="00C125AA"/>
    <w:rsid w:val="00C12C87"/>
    <w:rsid w:val="00C12E66"/>
    <w:rsid w:val="00C14C83"/>
    <w:rsid w:val="00C14F0B"/>
    <w:rsid w:val="00C16A3F"/>
    <w:rsid w:val="00C16B50"/>
    <w:rsid w:val="00C16DC9"/>
    <w:rsid w:val="00C2021A"/>
    <w:rsid w:val="00C20E2B"/>
    <w:rsid w:val="00C21D7C"/>
    <w:rsid w:val="00C22F70"/>
    <w:rsid w:val="00C248A2"/>
    <w:rsid w:val="00C24A9C"/>
    <w:rsid w:val="00C2584E"/>
    <w:rsid w:val="00C25CB0"/>
    <w:rsid w:val="00C26313"/>
    <w:rsid w:val="00C269AD"/>
    <w:rsid w:val="00C27B8E"/>
    <w:rsid w:val="00C317DB"/>
    <w:rsid w:val="00C32024"/>
    <w:rsid w:val="00C34AAD"/>
    <w:rsid w:val="00C36AB1"/>
    <w:rsid w:val="00C414F4"/>
    <w:rsid w:val="00C42954"/>
    <w:rsid w:val="00C50A7C"/>
    <w:rsid w:val="00C51DD3"/>
    <w:rsid w:val="00C53DCB"/>
    <w:rsid w:val="00C56686"/>
    <w:rsid w:val="00C57E54"/>
    <w:rsid w:val="00C60031"/>
    <w:rsid w:val="00C62607"/>
    <w:rsid w:val="00C70182"/>
    <w:rsid w:val="00C71B03"/>
    <w:rsid w:val="00C71B5B"/>
    <w:rsid w:val="00C74BF2"/>
    <w:rsid w:val="00C762F1"/>
    <w:rsid w:val="00C770FD"/>
    <w:rsid w:val="00C8105C"/>
    <w:rsid w:val="00C81156"/>
    <w:rsid w:val="00C812CA"/>
    <w:rsid w:val="00C85E09"/>
    <w:rsid w:val="00C91AC1"/>
    <w:rsid w:val="00C91B55"/>
    <w:rsid w:val="00C93664"/>
    <w:rsid w:val="00C9588D"/>
    <w:rsid w:val="00CA0441"/>
    <w:rsid w:val="00CA04D5"/>
    <w:rsid w:val="00CA2AFE"/>
    <w:rsid w:val="00CA3AA1"/>
    <w:rsid w:val="00CA6A06"/>
    <w:rsid w:val="00CB1698"/>
    <w:rsid w:val="00CB2D0E"/>
    <w:rsid w:val="00CB4597"/>
    <w:rsid w:val="00CB5A86"/>
    <w:rsid w:val="00CB7ADA"/>
    <w:rsid w:val="00CC0AD1"/>
    <w:rsid w:val="00CC14DF"/>
    <w:rsid w:val="00CC159F"/>
    <w:rsid w:val="00CC521D"/>
    <w:rsid w:val="00CC7484"/>
    <w:rsid w:val="00CC7A07"/>
    <w:rsid w:val="00CD2B98"/>
    <w:rsid w:val="00CD5573"/>
    <w:rsid w:val="00CD5D07"/>
    <w:rsid w:val="00CD74EB"/>
    <w:rsid w:val="00CE0D0E"/>
    <w:rsid w:val="00CE150B"/>
    <w:rsid w:val="00CE1CA0"/>
    <w:rsid w:val="00CE2996"/>
    <w:rsid w:val="00CE3347"/>
    <w:rsid w:val="00CE3563"/>
    <w:rsid w:val="00CE428F"/>
    <w:rsid w:val="00CE5DB3"/>
    <w:rsid w:val="00CE7C57"/>
    <w:rsid w:val="00CF02C9"/>
    <w:rsid w:val="00CF18D9"/>
    <w:rsid w:val="00CF7283"/>
    <w:rsid w:val="00CF796D"/>
    <w:rsid w:val="00D01DB0"/>
    <w:rsid w:val="00D0204F"/>
    <w:rsid w:val="00D16605"/>
    <w:rsid w:val="00D17D1C"/>
    <w:rsid w:val="00D20F17"/>
    <w:rsid w:val="00D20F98"/>
    <w:rsid w:val="00D21E65"/>
    <w:rsid w:val="00D22030"/>
    <w:rsid w:val="00D22508"/>
    <w:rsid w:val="00D24017"/>
    <w:rsid w:val="00D2444F"/>
    <w:rsid w:val="00D27B26"/>
    <w:rsid w:val="00D34CC4"/>
    <w:rsid w:val="00D4413A"/>
    <w:rsid w:val="00D46CB5"/>
    <w:rsid w:val="00D471B3"/>
    <w:rsid w:val="00D47DB5"/>
    <w:rsid w:val="00D5097C"/>
    <w:rsid w:val="00D5390C"/>
    <w:rsid w:val="00D54D77"/>
    <w:rsid w:val="00D60342"/>
    <w:rsid w:val="00D627D7"/>
    <w:rsid w:val="00D64317"/>
    <w:rsid w:val="00D667C1"/>
    <w:rsid w:val="00D669D2"/>
    <w:rsid w:val="00D70B5E"/>
    <w:rsid w:val="00D7368E"/>
    <w:rsid w:val="00D73704"/>
    <w:rsid w:val="00D763AA"/>
    <w:rsid w:val="00D809CF"/>
    <w:rsid w:val="00D8115E"/>
    <w:rsid w:val="00D81A14"/>
    <w:rsid w:val="00D826F2"/>
    <w:rsid w:val="00D8417A"/>
    <w:rsid w:val="00D86486"/>
    <w:rsid w:val="00D86D4A"/>
    <w:rsid w:val="00D871D7"/>
    <w:rsid w:val="00D87458"/>
    <w:rsid w:val="00D91AF8"/>
    <w:rsid w:val="00D96CD4"/>
    <w:rsid w:val="00D96D17"/>
    <w:rsid w:val="00D9781F"/>
    <w:rsid w:val="00D97D00"/>
    <w:rsid w:val="00DA09D9"/>
    <w:rsid w:val="00DA0AEF"/>
    <w:rsid w:val="00DA1FA1"/>
    <w:rsid w:val="00DA2555"/>
    <w:rsid w:val="00DA27B5"/>
    <w:rsid w:val="00DA37B4"/>
    <w:rsid w:val="00DA64E4"/>
    <w:rsid w:val="00DA6BEB"/>
    <w:rsid w:val="00DA76AD"/>
    <w:rsid w:val="00DB01DA"/>
    <w:rsid w:val="00DB0790"/>
    <w:rsid w:val="00DB2B93"/>
    <w:rsid w:val="00DB4633"/>
    <w:rsid w:val="00DC08F1"/>
    <w:rsid w:val="00DC1EBE"/>
    <w:rsid w:val="00DC284F"/>
    <w:rsid w:val="00DC2B1C"/>
    <w:rsid w:val="00DC352B"/>
    <w:rsid w:val="00DC40CB"/>
    <w:rsid w:val="00DC56C6"/>
    <w:rsid w:val="00DD01FB"/>
    <w:rsid w:val="00DD12F6"/>
    <w:rsid w:val="00DD358E"/>
    <w:rsid w:val="00DD4D2D"/>
    <w:rsid w:val="00DE085D"/>
    <w:rsid w:val="00DE18B8"/>
    <w:rsid w:val="00DE1FB6"/>
    <w:rsid w:val="00DE2C70"/>
    <w:rsid w:val="00DE2E72"/>
    <w:rsid w:val="00DE33EB"/>
    <w:rsid w:val="00DE687E"/>
    <w:rsid w:val="00DE6B13"/>
    <w:rsid w:val="00DE7386"/>
    <w:rsid w:val="00DE75ED"/>
    <w:rsid w:val="00DF4226"/>
    <w:rsid w:val="00DF57B4"/>
    <w:rsid w:val="00E0153F"/>
    <w:rsid w:val="00E05ACF"/>
    <w:rsid w:val="00E060EE"/>
    <w:rsid w:val="00E115C8"/>
    <w:rsid w:val="00E1252E"/>
    <w:rsid w:val="00E12CE5"/>
    <w:rsid w:val="00E13AE8"/>
    <w:rsid w:val="00E1414F"/>
    <w:rsid w:val="00E15D1F"/>
    <w:rsid w:val="00E17A36"/>
    <w:rsid w:val="00E17BCB"/>
    <w:rsid w:val="00E20857"/>
    <w:rsid w:val="00E21A6E"/>
    <w:rsid w:val="00E24E15"/>
    <w:rsid w:val="00E251EB"/>
    <w:rsid w:val="00E277DA"/>
    <w:rsid w:val="00E31BCB"/>
    <w:rsid w:val="00E33ED7"/>
    <w:rsid w:val="00E403A0"/>
    <w:rsid w:val="00E41262"/>
    <w:rsid w:val="00E43424"/>
    <w:rsid w:val="00E43A12"/>
    <w:rsid w:val="00E4612A"/>
    <w:rsid w:val="00E468BE"/>
    <w:rsid w:val="00E47254"/>
    <w:rsid w:val="00E539EE"/>
    <w:rsid w:val="00E55979"/>
    <w:rsid w:val="00E56232"/>
    <w:rsid w:val="00E6070F"/>
    <w:rsid w:val="00E6293F"/>
    <w:rsid w:val="00E6477A"/>
    <w:rsid w:val="00E666B0"/>
    <w:rsid w:val="00E700ED"/>
    <w:rsid w:val="00E7028E"/>
    <w:rsid w:val="00E711CD"/>
    <w:rsid w:val="00E72011"/>
    <w:rsid w:val="00E72232"/>
    <w:rsid w:val="00E73368"/>
    <w:rsid w:val="00E73C11"/>
    <w:rsid w:val="00E74E7C"/>
    <w:rsid w:val="00E77A19"/>
    <w:rsid w:val="00E80A46"/>
    <w:rsid w:val="00E8194F"/>
    <w:rsid w:val="00E82F43"/>
    <w:rsid w:val="00E86F2D"/>
    <w:rsid w:val="00E8753F"/>
    <w:rsid w:val="00E90A90"/>
    <w:rsid w:val="00E92A49"/>
    <w:rsid w:val="00E939B0"/>
    <w:rsid w:val="00EA2657"/>
    <w:rsid w:val="00EA2A83"/>
    <w:rsid w:val="00EA62B4"/>
    <w:rsid w:val="00EA71E6"/>
    <w:rsid w:val="00EB0FCA"/>
    <w:rsid w:val="00EB12D9"/>
    <w:rsid w:val="00EB24A1"/>
    <w:rsid w:val="00EB2976"/>
    <w:rsid w:val="00EB3984"/>
    <w:rsid w:val="00EB3F33"/>
    <w:rsid w:val="00EB5C08"/>
    <w:rsid w:val="00EB5E6B"/>
    <w:rsid w:val="00EB7250"/>
    <w:rsid w:val="00EB7668"/>
    <w:rsid w:val="00EB78BF"/>
    <w:rsid w:val="00EC1039"/>
    <w:rsid w:val="00EC3253"/>
    <w:rsid w:val="00EC3BB4"/>
    <w:rsid w:val="00EC4BD4"/>
    <w:rsid w:val="00EC6F5E"/>
    <w:rsid w:val="00EC7F17"/>
    <w:rsid w:val="00ED2EAE"/>
    <w:rsid w:val="00ED38D3"/>
    <w:rsid w:val="00ED523B"/>
    <w:rsid w:val="00ED618D"/>
    <w:rsid w:val="00ED7B30"/>
    <w:rsid w:val="00ED7D7F"/>
    <w:rsid w:val="00EE0D85"/>
    <w:rsid w:val="00EE187B"/>
    <w:rsid w:val="00EE441C"/>
    <w:rsid w:val="00EE5EC6"/>
    <w:rsid w:val="00EE6FFA"/>
    <w:rsid w:val="00EF1929"/>
    <w:rsid w:val="00EF25AA"/>
    <w:rsid w:val="00EF2C11"/>
    <w:rsid w:val="00EF3710"/>
    <w:rsid w:val="00EF3730"/>
    <w:rsid w:val="00EF6C3E"/>
    <w:rsid w:val="00F06569"/>
    <w:rsid w:val="00F077D3"/>
    <w:rsid w:val="00F10DBD"/>
    <w:rsid w:val="00F11D37"/>
    <w:rsid w:val="00F12B7E"/>
    <w:rsid w:val="00F13AE2"/>
    <w:rsid w:val="00F15EC4"/>
    <w:rsid w:val="00F2526A"/>
    <w:rsid w:val="00F30408"/>
    <w:rsid w:val="00F35927"/>
    <w:rsid w:val="00F368CF"/>
    <w:rsid w:val="00F370DA"/>
    <w:rsid w:val="00F37120"/>
    <w:rsid w:val="00F37E13"/>
    <w:rsid w:val="00F4023B"/>
    <w:rsid w:val="00F40F8F"/>
    <w:rsid w:val="00F41E05"/>
    <w:rsid w:val="00F4549F"/>
    <w:rsid w:val="00F456E9"/>
    <w:rsid w:val="00F45AFD"/>
    <w:rsid w:val="00F45E3E"/>
    <w:rsid w:val="00F46DC7"/>
    <w:rsid w:val="00F50C68"/>
    <w:rsid w:val="00F541FA"/>
    <w:rsid w:val="00F54251"/>
    <w:rsid w:val="00F55ED5"/>
    <w:rsid w:val="00F579ED"/>
    <w:rsid w:val="00F57ECD"/>
    <w:rsid w:val="00F60233"/>
    <w:rsid w:val="00F6040F"/>
    <w:rsid w:val="00F607B5"/>
    <w:rsid w:val="00F609E3"/>
    <w:rsid w:val="00F61753"/>
    <w:rsid w:val="00F66870"/>
    <w:rsid w:val="00F70B96"/>
    <w:rsid w:val="00F71278"/>
    <w:rsid w:val="00F7182F"/>
    <w:rsid w:val="00F71F71"/>
    <w:rsid w:val="00F73CF2"/>
    <w:rsid w:val="00F75E3D"/>
    <w:rsid w:val="00F77761"/>
    <w:rsid w:val="00F81C2C"/>
    <w:rsid w:val="00F832D3"/>
    <w:rsid w:val="00F85D77"/>
    <w:rsid w:val="00F87861"/>
    <w:rsid w:val="00F91266"/>
    <w:rsid w:val="00F9146B"/>
    <w:rsid w:val="00F92516"/>
    <w:rsid w:val="00F967AA"/>
    <w:rsid w:val="00F9796A"/>
    <w:rsid w:val="00FA5426"/>
    <w:rsid w:val="00FA5C3C"/>
    <w:rsid w:val="00FA6876"/>
    <w:rsid w:val="00FB0380"/>
    <w:rsid w:val="00FB0EE4"/>
    <w:rsid w:val="00FB211F"/>
    <w:rsid w:val="00FB3592"/>
    <w:rsid w:val="00FB75A1"/>
    <w:rsid w:val="00FC0472"/>
    <w:rsid w:val="00FC16C3"/>
    <w:rsid w:val="00FC31C1"/>
    <w:rsid w:val="00FD11DC"/>
    <w:rsid w:val="00FD1399"/>
    <w:rsid w:val="00FD32E9"/>
    <w:rsid w:val="00FD4355"/>
    <w:rsid w:val="00FD4C41"/>
    <w:rsid w:val="00FD7678"/>
    <w:rsid w:val="00FE0999"/>
    <w:rsid w:val="00FE2FF9"/>
    <w:rsid w:val="00FE412A"/>
    <w:rsid w:val="00FE4195"/>
    <w:rsid w:val="00FE4617"/>
    <w:rsid w:val="00FE4820"/>
    <w:rsid w:val="00FE55D4"/>
    <w:rsid w:val="00FE7476"/>
    <w:rsid w:val="00FF13A5"/>
    <w:rsid w:val="00FF1AAF"/>
    <w:rsid w:val="00FF296D"/>
    <w:rsid w:val="00FF2F4C"/>
    <w:rsid w:val="00FF3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EA6E"/>
  <w15:chartTrackingRefBased/>
  <w15:docId w15:val="{BE9857D8-8CFC-4CF7-B149-A517D68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unhideWhenUsed/>
    <w:qFormat/>
    <w:rsid w:val="00491431"/>
  </w:style>
  <w:style w:type="paragraph" w:styleId="Heading1">
    <w:name w:val="heading 1"/>
    <w:basedOn w:val="Normal"/>
    <w:next w:val="Normal"/>
    <w:link w:val="Heading1Char"/>
    <w:uiPriority w:val="4"/>
    <w:qFormat/>
    <w:rsid w:val="0077172B"/>
    <w:pPr>
      <w:keepNext/>
      <w:numPr>
        <w:numId w:val="8"/>
      </w:numPr>
      <w:spacing w:before="480"/>
      <w:outlineLvl w:val="0"/>
    </w:pPr>
    <w:rPr>
      <w:rFonts w:cstheme="minorHAnsi"/>
      <w:b/>
      <w:sz w:val="24"/>
    </w:rPr>
  </w:style>
  <w:style w:type="paragraph" w:styleId="Heading2">
    <w:name w:val="heading 2"/>
    <w:basedOn w:val="Normal"/>
    <w:next w:val="Normal"/>
    <w:link w:val="Heading2Char"/>
    <w:uiPriority w:val="4"/>
    <w:qFormat/>
    <w:rsid w:val="0077172B"/>
    <w:pPr>
      <w:keepNext/>
      <w:numPr>
        <w:numId w:val="2"/>
      </w:numPr>
      <w:spacing w:before="480"/>
      <w:contextualSpacing/>
      <w:outlineLvl w:val="1"/>
    </w:pPr>
    <w:rPr>
      <w:rFonts w:cstheme="minorHAnsi"/>
      <w:b/>
    </w:rPr>
  </w:style>
  <w:style w:type="paragraph" w:styleId="Heading3">
    <w:name w:val="heading 3"/>
    <w:basedOn w:val="Normal"/>
    <w:next w:val="Normal"/>
    <w:link w:val="Heading3Char"/>
    <w:uiPriority w:val="4"/>
    <w:qFormat/>
    <w:rsid w:val="0077172B"/>
    <w:pPr>
      <w:keepNext/>
      <w:numPr>
        <w:numId w:val="4"/>
      </w:numPr>
      <w:spacing w:before="480"/>
      <w:ind w:left="284" w:hanging="284"/>
      <w:contextualSpacing/>
      <w:outlineLvl w:val="2"/>
    </w:pPr>
    <w:rPr>
      <w:rFonts w:cstheme="minorHAnsi"/>
      <w:b/>
    </w:rPr>
  </w:style>
  <w:style w:type="paragraph" w:styleId="Heading4">
    <w:name w:val="heading 4"/>
    <w:basedOn w:val="Normal"/>
    <w:next w:val="Normal"/>
    <w:link w:val="Heading4Char"/>
    <w:uiPriority w:val="4"/>
    <w:qFormat/>
    <w:rsid w:val="0077172B"/>
    <w:pPr>
      <w:keepNext/>
      <w:numPr>
        <w:numId w:val="5"/>
      </w:numPr>
      <w:spacing w:before="480"/>
      <w:ind w:left="284" w:hanging="284"/>
      <w:contextualSpacing/>
      <w:outlineLvl w:val="3"/>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B9754A"/>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491431"/>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924A3B"/>
    <w:rPr>
      <w:vertAlign w:val="superscript"/>
    </w:rPr>
  </w:style>
  <w:style w:type="character" w:customStyle="1" w:styleId="Heading1Char">
    <w:name w:val="Heading 1 Char"/>
    <w:basedOn w:val="DefaultParagraphFont"/>
    <w:link w:val="Heading1"/>
    <w:uiPriority w:val="9"/>
    <w:rsid w:val="0077172B"/>
    <w:rPr>
      <w:rFonts w:cstheme="minorHAnsi"/>
      <w:b/>
      <w:sz w:val="24"/>
    </w:rPr>
  </w:style>
  <w:style w:type="paragraph" w:customStyle="1" w:styleId="HaupttiteldesBeitrags">
    <w:name w:val="Haupttitel des Beitrags"/>
    <w:basedOn w:val="Normal"/>
    <w:next w:val="Normal"/>
    <w:uiPriority w:val="1"/>
    <w:qFormat/>
    <w:rsid w:val="00924A3B"/>
    <w:rPr>
      <w:b/>
      <w:sz w:val="24"/>
    </w:rPr>
  </w:style>
  <w:style w:type="paragraph" w:customStyle="1" w:styleId="UntertiteldesBeitrags">
    <w:name w:val="Untertitel des Beitrags"/>
    <w:basedOn w:val="Normal"/>
    <w:next w:val="Normal"/>
    <w:uiPriority w:val="1"/>
    <w:qFormat/>
    <w:rsid w:val="00924A3B"/>
    <w:rPr>
      <w:b/>
      <w:sz w:val="20"/>
      <w:szCs w:val="20"/>
    </w:rPr>
  </w:style>
  <w:style w:type="character" w:customStyle="1" w:styleId="Heading2Char">
    <w:name w:val="Heading 2 Char"/>
    <w:basedOn w:val="DefaultParagraphFont"/>
    <w:link w:val="Heading2"/>
    <w:uiPriority w:val="4"/>
    <w:rsid w:val="0077172B"/>
    <w:rPr>
      <w:rFonts w:cstheme="minorHAnsi"/>
      <w:b/>
    </w:rPr>
  </w:style>
  <w:style w:type="character" w:customStyle="1" w:styleId="Heading3Char">
    <w:name w:val="Heading 3 Char"/>
    <w:basedOn w:val="DefaultParagraphFont"/>
    <w:link w:val="Heading3"/>
    <w:uiPriority w:val="4"/>
    <w:rsid w:val="0077172B"/>
    <w:rPr>
      <w:rFonts w:cstheme="minorHAnsi"/>
      <w:b/>
    </w:rPr>
  </w:style>
  <w:style w:type="character" w:customStyle="1" w:styleId="Heading4Char">
    <w:name w:val="Heading 4 Char"/>
    <w:basedOn w:val="DefaultParagraphFont"/>
    <w:link w:val="Heading4"/>
    <w:uiPriority w:val="4"/>
    <w:rsid w:val="0077172B"/>
    <w:rPr>
      <w:rFonts w:cstheme="minorHAnsi"/>
      <w:b/>
    </w:rPr>
  </w:style>
  <w:style w:type="paragraph" w:customStyle="1" w:styleId="Abstract">
    <w:name w:val="Abstract"/>
    <w:basedOn w:val="Normal"/>
    <w:uiPriority w:val="2"/>
    <w:qFormat/>
    <w:rsid w:val="00B9754A"/>
    <w:pPr>
      <w:spacing w:before="480"/>
    </w:pPr>
    <w:rPr>
      <w:rFonts w:cstheme="minorHAnsi"/>
      <w:lang w:val="en-US"/>
    </w:rPr>
  </w:style>
  <w:style w:type="paragraph" w:customStyle="1" w:styleId="VornameNachname">
    <w:name w:val="Vorname Nachname"/>
    <w:basedOn w:val="Normal"/>
    <w:qFormat/>
    <w:rsid w:val="006A7DAE"/>
    <w:rPr>
      <w:b/>
    </w:rPr>
  </w:style>
  <w:style w:type="paragraph" w:customStyle="1" w:styleId="TextBeitrag1Absatz">
    <w:name w:val="Text Beitrag 1. Absatz"/>
    <w:basedOn w:val="Normal"/>
    <w:next w:val="TextBeitragab2Absatz"/>
    <w:uiPriority w:val="5"/>
    <w:qFormat/>
    <w:rsid w:val="00B9754A"/>
    <w:rPr>
      <w:rFonts w:ascii="Times New Roman" w:hAnsi="Times New Roman"/>
    </w:rPr>
  </w:style>
  <w:style w:type="paragraph" w:customStyle="1" w:styleId="berschriftSummary">
    <w:name w:val="Überschrift Summary"/>
    <w:basedOn w:val="Normal"/>
    <w:uiPriority w:val="7"/>
    <w:qFormat/>
    <w:rsid w:val="00491431"/>
    <w:pPr>
      <w:keepNext/>
      <w:spacing w:before="480"/>
    </w:pPr>
    <w:rPr>
      <w:rFonts w:cstheme="minorHAnsi"/>
      <w:b/>
    </w:rPr>
  </w:style>
  <w:style w:type="paragraph" w:customStyle="1" w:styleId="TextSummary">
    <w:name w:val="Text Summary"/>
    <w:basedOn w:val="Abstract"/>
    <w:uiPriority w:val="8"/>
    <w:qFormat/>
    <w:rsid w:val="00B9754A"/>
    <w:pPr>
      <w:spacing w:before="0"/>
    </w:pPr>
  </w:style>
  <w:style w:type="character" w:styleId="CommentReference">
    <w:name w:val="annotation reference"/>
    <w:basedOn w:val="DefaultParagraphFont"/>
    <w:uiPriority w:val="99"/>
    <w:semiHidden/>
    <w:unhideWhenUsed/>
    <w:rsid w:val="007F5FE8"/>
    <w:rPr>
      <w:sz w:val="16"/>
      <w:szCs w:val="16"/>
    </w:rPr>
  </w:style>
  <w:style w:type="paragraph" w:styleId="CommentText">
    <w:name w:val="annotation text"/>
    <w:basedOn w:val="Normal"/>
    <w:link w:val="CommentTextChar"/>
    <w:uiPriority w:val="99"/>
    <w:semiHidden/>
    <w:rsid w:val="007F5FE8"/>
    <w:pPr>
      <w:spacing w:line="240" w:lineRule="auto"/>
    </w:pPr>
    <w:rPr>
      <w:sz w:val="20"/>
      <w:szCs w:val="20"/>
    </w:rPr>
  </w:style>
  <w:style w:type="character" w:customStyle="1" w:styleId="CommentTextChar">
    <w:name w:val="Comment Text Char"/>
    <w:basedOn w:val="DefaultParagraphFont"/>
    <w:link w:val="CommentText"/>
    <w:uiPriority w:val="99"/>
    <w:semiHidden/>
    <w:rsid w:val="00491431"/>
    <w:rPr>
      <w:sz w:val="20"/>
      <w:szCs w:val="20"/>
    </w:rPr>
  </w:style>
  <w:style w:type="paragraph" w:styleId="CommentSubject">
    <w:name w:val="annotation subject"/>
    <w:basedOn w:val="CommentText"/>
    <w:next w:val="CommentText"/>
    <w:link w:val="CommentSubjectChar"/>
    <w:uiPriority w:val="99"/>
    <w:semiHidden/>
    <w:unhideWhenUsed/>
    <w:rsid w:val="007F5FE8"/>
    <w:rPr>
      <w:b/>
      <w:bCs/>
    </w:rPr>
  </w:style>
  <w:style w:type="character" w:customStyle="1" w:styleId="CommentSubjectChar">
    <w:name w:val="Comment Subject Char"/>
    <w:basedOn w:val="CommentTextChar"/>
    <w:link w:val="CommentSubject"/>
    <w:uiPriority w:val="99"/>
    <w:semiHidden/>
    <w:rsid w:val="007F5FE8"/>
    <w:rPr>
      <w:b/>
      <w:bCs/>
      <w:sz w:val="20"/>
      <w:szCs w:val="20"/>
    </w:rPr>
  </w:style>
  <w:style w:type="paragraph" w:styleId="BalloonText">
    <w:name w:val="Balloon Text"/>
    <w:basedOn w:val="Normal"/>
    <w:link w:val="BalloonTextChar"/>
    <w:uiPriority w:val="99"/>
    <w:semiHidden/>
    <w:unhideWhenUsed/>
    <w:rsid w:val="007F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FE8"/>
    <w:rPr>
      <w:rFonts w:ascii="Segoe UI" w:hAnsi="Segoe UI" w:cs="Segoe UI"/>
      <w:sz w:val="18"/>
      <w:szCs w:val="18"/>
    </w:rPr>
  </w:style>
  <w:style w:type="paragraph" w:customStyle="1" w:styleId="TextBeitragab2Absatz">
    <w:name w:val="Text Beitrag ab 2. Absatz"/>
    <w:basedOn w:val="Normal"/>
    <w:uiPriority w:val="5"/>
    <w:qFormat/>
    <w:rsid w:val="00B9754A"/>
    <w:pPr>
      <w:ind w:firstLine="227"/>
    </w:pPr>
    <w:rPr>
      <w:rFonts w:ascii="Times New Roman" w:hAnsi="Times New Roman"/>
    </w:rPr>
  </w:style>
  <w:style w:type="paragraph" w:customStyle="1" w:styleId="ZitatKleindruck">
    <w:name w:val="Zitat Kleindruck"/>
    <w:basedOn w:val="TextBeitragab2Absatz"/>
    <w:next w:val="TextBeitragab2Absatz"/>
    <w:uiPriority w:val="5"/>
    <w:qFormat/>
    <w:rsid w:val="00B9754A"/>
    <w:pPr>
      <w:ind w:left="227" w:firstLine="0"/>
    </w:pPr>
    <w:rPr>
      <w:sz w:val="20"/>
      <w:szCs w:val="18"/>
    </w:rPr>
  </w:style>
  <w:style w:type="character" w:styleId="Hyperlink">
    <w:name w:val="Hyperlink"/>
    <w:basedOn w:val="DefaultParagraphFont"/>
    <w:uiPriority w:val="99"/>
    <w:rsid w:val="0038461B"/>
    <w:rPr>
      <w:color w:val="0563C1" w:themeColor="hyperlink"/>
      <w:u w:val="single"/>
    </w:rPr>
  </w:style>
  <w:style w:type="paragraph" w:styleId="Header">
    <w:name w:val="header"/>
    <w:basedOn w:val="Normal"/>
    <w:link w:val="HeaderChar"/>
    <w:uiPriority w:val="99"/>
    <w:semiHidden/>
    <w:rsid w:val="00BD301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7658"/>
  </w:style>
  <w:style w:type="paragraph" w:styleId="Footer">
    <w:name w:val="footer"/>
    <w:basedOn w:val="Normal"/>
    <w:link w:val="FooterChar"/>
    <w:uiPriority w:val="99"/>
    <w:semiHidden/>
    <w:rsid w:val="00BD301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91431"/>
  </w:style>
  <w:style w:type="paragraph" w:styleId="Revision">
    <w:name w:val="Revision"/>
    <w:hidden/>
    <w:uiPriority w:val="99"/>
    <w:semiHidden/>
    <w:rsid w:val="00A94332"/>
    <w:pPr>
      <w:spacing w:after="0" w:line="240" w:lineRule="auto"/>
    </w:pPr>
  </w:style>
  <w:style w:type="paragraph" w:customStyle="1" w:styleId="KontaktdatenAutor">
    <w:name w:val="Kontaktdaten Autor"/>
    <w:basedOn w:val="Normal"/>
    <w:link w:val="KontaktdatenAutorZchn"/>
    <w:uiPriority w:val="9"/>
    <w:qFormat/>
    <w:rsid w:val="00B9754A"/>
    <w:rPr>
      <w:rFonts w:ascii="Times New Roman" w:hAnsi="Times New Roman" w:cs="Times New Roman"/>
      <w:sz w:val="20"/>
      <w:szCs w:val="20"/>
    </w:rPr>
  </w:style>
  <w:style w:type="paragraph" w:customStyle="1" w:styleId="Gliederungsebene1">
    <w:name w:val="Gliederungsebene 1"/>
    <w:basedOn w:val="Normal"/>
    <w:link w:val="Gliederungsebene1Zchn"/>
    <w:uiPriority w:val="3"/>
    <w:qFormat/>
    <w:rsid w:val="0077172B"/>
    <w:pPr>
      <w:tabs>
        <w:tab w:val="left" w:pos="426"/>
        <w:tab w:val="right" w:leader="dot" w:pos="9062"/>
      </w:tabs>
      <w:spacing w:after="0"/>
    </w:pPr>
    <w:rPr>
      <w:rFonts w:cstheme="minorHAnsi"/>
      <w:noProof/>
      <w:lang w:val="en-US"/>
    </w:rPr>
  </w:style>
  <w:style w:type="character" w:customStyle="1" w:styleId="KontaktdatenAutorZchn">
    <w:name w:val="Kontaktdaten Autor Zchn"/>
    <w:basedOn w:val="DefaultParagraphFont"/>
    <w:link w:val="KontaktdatenAutor"/>
    <w:uiPriority w:val="9"/>
    <w:rsid w:val="00491431"/>
    <w:rPr>
      <w:rFonts w:ascii="Times New Roman" w:hAnsi="Times New Roman" w:cs="Times New Roman"/>
      <w:sz w:val="20"/>
      <w:szCs w:val="20"/>
    </w:rPr>
  </w:style>
  <w:style w:type="paragraph" w:customStyle="1" w:styleId="Gliederungsebene2">
    <w:name w:val="Gliederungsebene 2"/>
    <w:basedOn w:val="Normal"/>
    <w:link w:val="Gliederungsebene2Zchn"/>
    <w:uiPriority w:val="3"/>
    <w:qFormat/>
    <w:rsid w:val="0077172B"/>
    <w:pPr>
      <w:tabs>
        <w:tab w:val="left" w:pos="426"/>
        <w:tab w:val="right" w:leader="dot" w:pos="9062"/>
      </w:tabs>
      <w:spacing w:after="0"/>
    </w:pPr>
    <w:rPr>
      <w:rFonts w:cstheme="minorHAnsi"/>
      <w:noProof/>
      <w:lang w:val="en-US"/>
    </w:rPr>
  </w:style>
  <w:style w:type="character" w:customStyle="1" w:styleId="Gliederungsebene1Zchn">
    <w:name w:val="Gliederungsebene 1 Zchn"/>
    <w:basedOn w:val="DefaultParagraphFont"/>
    <w:link w:val="Gliederungsebene1"/>
    <w:uiPriority w:val="3"/>
    <w:rsid w:val="0077172B"/>
    <w:rPr>
      <w:rFonts w:cstheme="minorHAnsi"/>
      <w:noProof/>
      <w:lang w:val="en-US"/>
    </w:rPr>
  </w:style>
  <w:style w:type="paragraph" w:customStyle="1" w:styleId="Gliederungsebene3">
    <w:name w:val="Gliederungsebene 3"/>
    <w:basedOn w:val="Normal"/>
    <w:link w:val="Gliederungsebene3Zchn"/>
    <w:uiPriority w:val="3"/>
    <w:qFormat/>
    <w:rsid w:val="0077172B"/>
    <w:pPr>
      <w:tabs>
        <w:tab w:val="left" w:pos="426"/>
        <w:tab w:val="right" w:leader="dot" w:pos="9062"/>
      </w:tabs>
      <w:spacing w:after="0"/>
    </w:pPr>
    <w:rPr>
      <w:rFonts w:cstheme="minorHAnsi"/>
      <w:noProof/>
      <w:lang w:val="en-US"/>
    </w:rPr>
  </w:style>
  <w:style w:type="character" w:customStyle="1" w:styleId="Gliederungsebene2Zchn">
    <w:name w:val="Gliederungsebene 2 Zchn"/>
    <w:basedOn w:val="DefaultParagraphFont"/>
    <w:link w:val="Gliederungsebene2"/>
    <w:uiPriority w:val="3"/>
    <w:rsid w:val="0077172B"/>
    <w:rPr>
      <w:rFonts w:cstheme="minorHAnsi"/>
      <w:noProof/>
      <w:lang w:val="en-US"/>
    </w:rPr>
  </w:style>
  <w:style w:type="paragraph" w:customStyle="1" w:styleId="Gliederungsebene4">
    <w:name w:val="Gliederungsebene 4"/>
    <w:basedOn w:val="Normal"/>
    <w:link w:val="Gliederungsebene4Zchn"/>
    <w:uiPriority w:val="3"/>
    <w:qFormat/>
    <w:rsid w:val="0077172B"/>
    <w:pPr>
      <w:tabs>
        <w:tab w:val="left" w:pos="426"/>
        <w:tab w:val="right" w:leader="dot" w:pos="9062"/>
      </w:tabs>
      <w:spacing w:after="0"/>
    </w:pPr>
    <w:rPr>
      <w:rFonts w:cstheme="minorHAnsi"/>
      <w:noProof/>
    </w:rPr>
  </w:style>
  <w:style w:type="character" w:customStyle="1" w:styleId="Gliederungsebene3Zchn">
    <w:name w:val="Gliederungsebene 3 Zchn"/>
    <w:basedOn w:val="DefaultParagraphFont"/>
    <w:link w:val="Gliederungsebene3"/>
    <w:uiPriority w:val="3"/>
    <w:rsid w:val="0077172B"/>
    <w:rPr>
      <w:rFonts w:cstheme="minorHAnsi"/>
      <w:noProof/>
      <w:lang w:val="en-US"/>
    </w:rPr>
  </w:style>
  <w:style w:type="character" w:customStyle="1" w:styleId="Gliederungsebene4Zchn">
    <w:name w:val="Gliederungsebene 4 Zchn"/>
    <w:basedOn w:val="DefaultParagraphFont"/>
    <w:link w:val="Gliederungsebene4"/>
    <w:uiPriority w:val="3"/>
    <w:rsid w:val="0077172B"/>
    <w:rPr>
      <w:rFonts w:cstheme="minorHAnsi"/>
      <w:noProof/>
    </w:rPr>
  </w:style>
  <w:style w:type="paragraph" w:styleId="Quote">
    <w:name w:val="Quote"/>
    <w:basedOn w:val="Normal"/>
    <w:next w:val="Normal"/>
    <w:link w:val="QuoteChar"/>
    <w:uiPriority w:val="29"/>
    <w:qFormat/>
    <w:rsid w:val="00E74E7C"/>
    <w:pPr>
      <w:spacing w:before="160" w:line="360" w:lineRule="auto"/>
      <w:ind w:left="720" w:right="720"/>
    </w:pPr>
    <w:rPr>
      <w:rFonts w:eastAsiaTheme="minorEastAsia"/>
      <w:i/>
      <w:iCs/>
      <w:color w:val="000000" w:themeColor="text1"/>
      <w:sz w:val="24"/>
      <w:szCs w:val="24"/>
      <w:lang w:val="en-GB"/>
    </w:rPr>
  </w:style>
  <w:style w:type="character" w:customStyle="1" w:styleId="QuoteChar">
    <w:name w:val="Quote Char"/>
    <w:basedOn w:val="DefaultParagraphFont"/>
    <w:link w:val="Quote"/>
    <w:uiPriority w:val="29"/>
    <w:rsid w:val="00E74E7C"/>
    <w:rPr>
      <w:rFonts w:eastAsiaTheme="minorEastAsia"/>
      <w:i/>
      <w:iCs/>
      <w:color w:val="000000" w:themeColor="text1"/>
      <w:sz w:val="24"/>
      <w:szCs w:val="24"/>
      <w:lang w:val="en-GB"/>
    </w:rPr>
  </w:style>
  <w:style w:type="paragraph" w:styleId="TOCHeading">
    <w:name w:val="TOC Heading"/>
    <w:basedOn w:val="Heading1"/>
    <w:next w:val="Normal"/>
    <w:uiPriority w:val="39"/>
    <w:unhideWhenUsed/>
    <w:qFormat/>
    <w:rsid w:val="008041C9"/>
    <w:pPr>
      <w:keepLines/>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8041C9"/>
    <w:pPr>
      <w:spacing w:after="100"/>
    </w:pPr>
  </w:style>
  <w:style w:type="paragraph" w:styleId="TOC2">
    <w:name w:val="toc 2"/>
    <w:basedOn w:val="Normal"/>
    <w:next w:val="Normal"/>
    <w:autoRedefine/>
    <w:uiPriority w:val="39"/>
    <w:unhideWhenUsed/>
    <w:rsid w:val="008041C9"/>
    <w:pPr>
      <w:spacing w:after="100"/>
      <w:ind w:left="220"/>
    </w:pPr>
  </w:style>
  <w:style w:type="paragraph" w:styleId="TOC3">
    <w:name w:val="toc 3"/>
    <w:basedOn w:val="Normal"/>
    <w:next w:val="Normal"/>
    <w:autoRedefine/>
    <w:uiPriority w:val="39"/>
    <w:unhideWhenUsed/>
    <w:rsid w:val="008041C9"/>
    <w:pPr>
      <w:spacing w:after="100"/>
      <w:ind w:left="440"/>
    </w:pPr>
  </w:style>
  <w:style w:type="character" w:styleId="UnresolvedMention">
    <w:name w:val="Unresolved Mention"/>
    <w:basedOn w:val="DefaultParagraphFont"/>
    <w:uiPriority w:val="99"/>
    <w:semiHidden/>
    <w:unhideWhenUsed/>
    <w:rsid w:val="003D3A77"/>
    <w:rPr>
      <w:color w:val="605E5C"/>
      <w:shd w:val="clear" w:color="auto" w:fill="E1DFDD"/>
    </w:rPr>
  </w:style>
  <w:style w:type="character" w:styleId="FollowedHyperlink">
    <w:name w:val="FollowedHyperlink"/>
    <w:basedOn w:val="DefaultParagraphFont"/>
    <w:uiPriority w:val="99"/>
    <w:semiHidden/>
    <w:unhideWhenUsed/>
    <w:rsid w:val="00774C02"/>
    <w:rPr>
      <w:color w:val="954F72" w:themeColor="followedHyperlink"/>
      <w:u w:val="single"/>
    </w:rPr>
  </w:style>
  <w:style w:type="paragraph" w:styleId="ListParagraph">
    <w:name w:val="List Paragraph"/>
    <w:basedOn w:val="Normal"/>
    <w:uiPriority w:val="34"/>
    <w:rsid w:val="0021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1813">
      <w:bodyDiv w:val="1"/>
      <w:marLeft w:val="0"/>
      <w:marRight w:val="0"/>
      <w:marTop w:val="0"/>
      <w:marBottom w:val="0"/>
      <w:divBdr>
        <w:top w:val="none" w:sz="0" w:space="0" w:color="auto"/>
        <w:left w:val="none" w:sz="0" w:space="0" w:color="auto"/>
        <w:bottom w:val="none" w:sz="0" w:space="0" w:color="auto"/>
        <w:right w:val="none" w:sz="0" w:space="0" w:color="auto"/>
      </w:divBdr>
    </w:div>
    <w:div w:id="501705062">
      <w:bodyDiv w:val="1"/>
      <w:marLeft w:val="0"/>
      <w:marRight w:val="0"/>
      <w:marTop w:val="0"/>
      <w:marBottom w:val="0"/>
      <w:divBdr>
        <w:top w:val="none" w:sz="0" w:space="0" w:color="auto"/>
        <w:left w:val="none" w:sz="0" w:space="0" w:color="auto"/>
        <w:bottom w:val="none" w:sz="0" w:space="0" w:color="auto"/>
        <w:right w:val="none" w:sz="0" w:space="0" w:color="auto"/>
      </w:divBdr>
      <w:divsChild>
        <w:div w:id="250159240">
          <w:marLeft w:val="0"/>
          <w:marRight w:val="0"/>
          <w:marTop w:val="0"/>
          <w:marBottom w:val="0"/>
          <w:divBdr>
            <w:top w:val="none" w:sz="0" w:space="0" w:color="auto"/>
            <w:left w:val="none" w:sz="0" w:space="0" w:color="auto"/>
            <w:bottom w:val="none" w:sz="0" w:space="0" w:color="auto"/>
            <w:right w:val="none" w:sz="0" w:space="0" w:color="auto"/>
          </w:divBdr>
        </w:div>
        <w:div w:id="589389103">
          <w:marLeft w:val="0"/>
          <w:marRight w:val="0"/>
          <w:marTop w:val="0"/>
          <w:marBottom w:val="0"/>
          <w:divBdr>
            <w:top w:val="none" w:sz="0" w:space="0" w:color="auto"/>
            <w:left w:val="none" w:sz="0" w:space="0" w:color="auto"/>
            <w:bottom w:val="none" w:sz="0" w:space="0" w:color="auto"/>
            <w:right w:val="none" w:sz="0" w:space="0" w:color="auto"/>
          </w:divBdr>
        </w:div>
        <w:div w:id="1691570088">
          <w:marLeft w:val="0"/>
          <w:marRight w:val="0"/>
          <w:marTop w:val="0"/>
          <w:marBottom w:val="0"/>
          <w:divBdr>
            <w:top w:val="none" w:sz="0" w:space="0" w:color="auto"/>
            <w:left w:val="none" w:sz="0" w:space="0" w:color="auto"/>
            <w:bottom w:val="none" w:sz="0" w:space="0" w:color="auto"/>
            <w:right w:val="none" w:sz="0" w:space="0" w:color="auto"/>
          </w:divBdr>
        </w:div>
        <w:div w:id="2126191485">
          <w:marLeft w:val="0"/>
          <w:marRight w:val="0"/>
          <w:marTop w:val="0"/>
          <w:marBottom w:val="0"/>
          <w:divBdr>
            <w:top w:val="none" w:sz="0" w:space="0" w:color="auto"/>
            <w:left w:val="none" w:sz="0" w:space="0" w:color="auto"/>
            <w:bottom w:val="none" w:sz="0" w:space="0" w:color="auto"/>
            <w:right w:val="none" w:sz="0" w:space="0" w:color="auto"/>
          </w:divBdr>
        </w:div>
        <w:div w:id="577640495">
          <w:marLeft w:val="0"/>
          <w:marRight w:val="0"/>
          <w:marTop w:val="0"/>
          <w:marBottom w:val="0"/>
          <w:divBdr>
            <w:top w:val="none" w:sz="0" w:space="0" w:color="auto"/>
            <w:left w:val="none" w:sz="0" w:space="0" w:color="auto"/>
            <w:bottom w:val="none" w:sz="0" w:space="0" w:color="auto"/>
            <w:right w:val="none" w:sz="0" w:space="0" w:color="auto"/>
          </w:divBdr>
        </w:div>
        <w:div w:id="1400784818">
          <w:marLeft w:val="0"/>
          <w:marRight w:val="0"/>
          <w:marTop w:val="0"/>
          <w:marBottom w:val="0"/>
          <w:divBdr>
            <w:top w:val="none" w:sz="0" w:space="0" w:color="auto"/>
            <w:left w:val="none" w:sz="0" w:space="0" w:color="auto"/>
            <w:bottom w:val="none" w:sz="0" w:space="0" w:color="auto"/>
            <w:right w:val="none" w:sz="0" w:space="0" w:color="auto"/>
          </w:divBdr>
        </w:div>
        <w:div w:id="576673462">
          <w:marLeft w:val="0"/>
          <w:marRight w:val="0"/>
          <w:marTop w:val="0"/>
          <w:marBottom w:val="0"/>
          <w:divBdr>
            <w:top w:val="none" w:sz="0" w:space="0" w:color="auto"/>
            <w:left w:val="none" w:sz="0" w:space="0" w:color="auto"/>
            <w:bottom w:val="none" w:sz="0" w:space="0" w:color="auto"/>
            <w:right w:val="none" w:sz="0" w:space="0" w:color="auto"/>
          </w:divBdr>
        </w:div>
        <w:div w:id="620918250">
          <w:marLeft w:val="0"/>
          <w:marRight w:val="0"/>
          <w:marTop w:val="0"/>
          <w:marBottom w:val="0"/>
          <w:divBdr>
            <w:top w:val="none" w:sz="0" w:space="0" w:color="auto"/>
            <w:left w:val="none" w:sz="0" w:space="0" w:color="auto"/>
            <w:bottom w:val="none" w:sz="0" w:space="0" w:color="auto"/>
            <w:right w:val="none" w:sz="0" w:space="0" w:color="auto"/>
          </w:divBdr>
        </w:div>
        <w:div w:id="1199313436">
          <w:marLeft w:val="0"/>
          <w:marRight w:val="0"/>
          <w:marTop w:val="0"/>
          <w:marBottom w:val="0"/>
          <w:divBdr>
            <w:top w:val="none" w:sz="0" w:space="0" w:color="auto"/>
            <w:left w:val="none" w:sz="0" w:space="0" w:color="auto"/>
            <w:bottom w:val="none" w:sz="0" w:space="0" w:color="auto"/>
            <w:right w:val="none" w:sz="0" w:space="0" w:color="auto"/>
          </w:divBdr>
        </w:div>
        <w:div w:id="1282807347">
          <w:marLeft w:val="0"/>
          <w:marRight w:val="0"/>
          <w:marTop w:val="0"/>
          <w:marBottom w:val="0"/>
          <w:divBdr>
            <w:top w:val="none" w:sz="0" w:space="0" w:color="auto"/>
            <w:left w:val="none" w:sz="0" w:space="0" w:color="auto"/>
            <w:bottom w:val="none" w:sz="0" w:space="0" w:color="auto"/>
            <w:right w:val="none" w:sz="0" w:space="0" w:color="auto"/>
          </w:divBdr>
        </w:div>
        <w:div w:id="507210382">
          <w:marLeft w:val="0"/>
          <w:marRight w:val="0"/>
          <w:marTop w:val="0"/>
          <w:marBottom w:val="0"/>
          <w:divBdr>
            <w:top w:val="none" w:sz="0" w:space="0" w:color="auto"/>
            <w:left w:val="none" w:sz="0" w:space="0" w:color="auto"/>
            <w:bottom w:val="none" w:sz="0" w:space="0" w:color="auto"/>
            <w:right w:val="none" w:sz="0" w:space="0" w:color="auto"/>
          </w:divBdr>
        </w:div>
        <w:div w:id="1873224020">
          <w:marLeft w:val="0"/>
          <w:marRight w:val="0"/>
          <w:marTop w:val="0"/>
          <w:marBottom w:val="0"/>
          <w:divBdr>
            <w:top w:val="none" w:sz="0" w:space="0" w:color="auto"/>
            <w:left w:val="none" w:sz="0" w:space="0" w:color="auto"/>
            <w:bottom w:val="none" w:sz="0" w:space="0" w:color="auto"/>
            <w:right w:val="none" w:sz="0" w:space="0" w:color="auto"/>
          </w:divBdr>
        </w:div>
        <w:div w:id="410589954">
          <w:marLeft w:val="0"/>
          <w:marRight w:val="0"/>
          <w:marTop w:val="0"/>
          <w:marBottom w:val="0"/>
          <w:divBdr>
            <w:top w:val="none" w:sz="0" w:space="0" w:color="auto"/>
            <w:left w:val="none" w:sz="0" w:space="0" w:color="auto"/>
            <w:bottom w:val="none" w:sz="0" w:space="0" w:color="auto"/>
            <w:right w:val="none" w:sz="0" w:space="0" w:color="auto"/>
          </w:divBdr>
        </w:div>
        <w:div w:id="843514880">
          <w:marLeft w:val="0"/>
          <w:marRight w:val="0"/>
          <w:marTop w:val="0"/>
          <w:marBottom w:val="0"/>
          <w:divBdr>
            <w:top w:val="none" w:sz="0" w:space="0" w:color="auto"/>
            <w:left w:val="none" w:sz="0" w:space="0" w:color="auto"/>
            <w:bottom w:val="none" w:sz="0" w:space="0" w:color="auto"/>
            <w:right w:val="none" w:sz="0" w:space="0" w:color="auto"/>
          </w:divBdr>
        </w:div>
        <w:div w:id="1909412116">
          <w:marLeft w:val="0"/>
          <w:marRight w:val="0"/>
          <w:marTop w:val="0"/>
          <w:marBottom w:val="0"/>
          <w:divBdr>
            <w:top w:val="none" w:sz="0" w:space="0" w:color="auto"/>
            <w:left w:val="none" w:sz="0" w:space="0" w:color="auto"/>
            <w:bottom w:val="none" w:sz="0" w:space="0" w:color="auto"/>
            <w:right w:val="none" w:sz="0" w:space="0" w:color="auto"/>
          </w:divBdr>
        </w:div>
        <w:div w:id="15611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ommunia-association.org/2021/02/04/france-once-more-fails-to-demonstrate-support-for-its-interpretation-of-article-17/" TargetMode="External"/><Relationship Id="rId2" Type="http://schemas.openxmlformats.org/officeDocument/2006/relationships/hyperlink" Target="https://papers.ssrn.com/sol3/papers.cfm?abstract_id=3064175" TargetMode="External"/><Relationship Id="rId1" Type="http://schemas.openxmlformats.org/officeDocument/2006/relationships/hyperlink" Target="https://ohrh.law.ox.ac.uk/horizontality-and-the-constitutional-right-to-equality-recent-developments-in-the-jurisprudence-of-the-german-federal-constitutio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610A-D2EB-40CD-AEB6-22DCE151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24</Pages>
  <Words>10502</Words>
  <Characters>59863</Characters>
  <Application>Microsoft Office Word</Application>
  <DocSecurity>0</DocSecurity>
  <Lines>498</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Caroline Scherpe-Blessing</dc:creator>
  <cp:keywords/>
  <dc:description/>
  <cp:lastModifiedBy>Georgia Jenkins</cp:lastModifiedBy>
  <cp:revision>1216</cp:revision>
  <cp:lastPrinted>2023-12-11T13:35:00Z</cp:lastPrinted>
  <dcterms:created xsi:type="dcterms:W3CDTF">2023-11-23T09:08:00Z</dcterms:created>
  <dcterms:modified xsi:type="dcterms:W3CDTF">2024-03-07T13:43:00Z</dcterms:modified>
</cp:coreProperties>
</file>